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8FD92" w14:textId="77777777" w:rsidR="00C172AD" w:rsidRPr="00C172AD" w:rsidRDefault="00CA2161" w:rsidP="00C172AD">
      <w:pPr>
        <w:spacing w:after="16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C172AD">
        <w:rPr>
          <w:rFonts w:ascii="Times New Roman" w:hAnsi="Times New Roman" w:cs="Times New Roman"/>
          <w:b/>
          <w:sz w:val="32"/>
          <w:szCs w:val="32"/>
        </w:rPr>
        <w:t>AI</w:t>
      </w:r>
      <w:r w:rsidR="00C172AD" w:rsidRPr="00C172AD">
        <w:rPr>
          <w:rFonts w:ascii="Times New Roman" w:hAnsi="Times New Roman" w:cs="Times New Roman"/>
          <w:b/>
          <w:sz w:val="32"/>
          <w:szCs w:val="32"/>
        </w:rPr>
        <w:t>R NAVIGATION (CHARGES) ACT 1976</w:t>
      </w:r>
    </w:p>
    <w:p w14:paraId="4874C106" w14:textId="77777777" w:rsidR="00F74406" w:rsidRPr="00C172AD" w:rsidRDefault="00CA2161" w:rsidP="00C172A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AD">
        <w:rPr>
          <w:rFonts w:ascii="Times New Roman" w:hAnsi="Times New Roman" w:cs="Times New Roman"/>
          <w:b/>
          <w:sz w:val="28"/>
          <w:szCs w:val="28"/>
        </w:rPr>
        <w:t>No. 5 of 1976</w:t>
      </w:r>
      <w:bookmarkEnd w:id="0"/>
    </w:p>
    <w:p w14:paraId="421DEE1A" w14:textId="0F597BFA" w:rsidR="00F74406" w:rsidRPr="00C172AD" w:rsidRDefault="00CA2161" w:rsidP="00C172AD">
      <w:pPr>
        <w:pStyle w:val="BodyText21"/>
        <w:spacing w:after="240" w:line="240" w:lineRule="auto"/>
        <w:ind w:firstLine="0"/>
        <w:rPr>
          <w:sz w:val="24"/>
          <w:szCs w:val="24"/>
        </w:rPr>
      </w:pPr>
      <w:r w:rsidRPr="00C172AD">
        <w:rPr>
          <w:rStyle w:val="BodyText1"/>
          <w:sz w:val="24"/>
          <w:szCs w:val="24"/>
        </w:rPr>
        <w:t xml:space="preserve">An Act to amend the </w:t>
      </w:r>
      <w:r w:rsidRPr="00FC41B4">
        <w:rPr>
          <w:rStyle w:val="BodyText1"/>
          <w:i/>
          <w:sz w:val="24"/>
          <w:szCs w:val="24"/>
        </w:rPr>
        <w:t>Ai</w:t>
      </w:r>
      <w:r w:rsidRPr="00C172AD">
        <w:rPr>
          <w:rStyle w:val="BodytextItalic"/>
          <w:sz w:val="24"/>
          <w:szCs w:val="24"/>
        </w:rPr>
        <w:t>r Navigation (Charges) Act</w:t>
      </w:r>
      <w:r w:rsidRPr="00C172AD">
        <w:rPr>
          <w:rStyle w:val="BodyText1"/>
          <w:sz w:val="24"/>
          <w:szCs w:val="24"/>
        </w:rPr>
        <w:t xml:space="preserve"> 1952-1974.</w:t>
      </w:r>
    </w:p>
    <w:p w14:paraId="11443D01" w14:textId="77777777" w:rsidR="00F74406" w:rsidRPr="00C172AD" w:rsidRDefault="00CA2161" w:rsidP="00C172AD">
      <w:pPr>
        <w:pStyle w:val="BodyText21"/>
        <w:spacing w:line="240" w:lineRule="auto"/>
        <w:ind w:firstLine="270"/>
        <w:jc w:val="both"/>
        <w:rPr>
          <w:sz w:val="24"/>
          <w:szCs w:val="24"/>
        </w:rPr>
      </w:pPr>
      <w:r w:rsidRPr="00C172AD">
        <w:rPr>
          <w:rStyle w:val="BodyText1"/>
          <w:sz w:val="24"/>
          <w:szCs w:val="24"/>
        </w:rPr>
        <w:t>BE IT ENACTED by the Queen, and the Senate and House of Representatives of the Commonwealth of Australia, as follows:—</w:t>
      </w:r>
    </w:p>
    <w:p w14:paraId="01E515E0" w14:textId="77777777" w:rsidR="00F74406" w:rsidRPr="00C172AD" w:rsidRDefault="00CA2161" w:rsidP="00C172AD">
      <w:pPr>
        <w:pStyle w:val="Bodytext51"/>
        <w:spacing w:before="120" w:after="60" w:line="240" w:lineRule="auto"/>
        <w:ind w:firstLine="0"/>
        <w:jc w:val="both"/>
        <w:rPr>
          <w:b/>
          <w:sz w:val="20"/>
          <w:szCs w:val="20"/>
        </w:rPr>
      </w:pPr>
      <w:r w:rsidRPr="00C172AD">
        <w:rPr>
          <w:rStyle w:val="Bodytext5"/>
          <w:b/>
          <w:sz w:val="20"/>
          <w:szCs w:val="20"/>
        </w:rPr>
        <w:t>Short title and citation.</w:t>
      </w:r>
    </w:p>
    <w:p w14:paraId="4C84E2EE" w14:textId="76F5E103" w:rsidR="00F74406" w:rsidRPr="00C172AD" w:rsidRDefault="00087E79" w:rsidP="00C172AD">
      <w:pPr>
        <w:pStyle w:val="BodyText21"/>
        <w:spacing w:after="60" w:line="240" w:lineRule="auto"/>
        <w:ind w:firstLine="274"/>
        <w:jc w:val="both"/>
        <w:rPr>
          <w:sz w:val="24"/>
          <w:szCs w:val="24"/>
        </w:rPr>
      </w:pPr>
      <w:r w:rsidRPr="00C172AD">
        <w:rPr>
          <w:rStyle w:val="BodyText1"/>
          <w:b/>
          <w:sz w:val="24"/>
          <w:szCs w:val="24"/>
        </w:rPr>
        <w:t xml:space="preserve">1. </w:t>
      </w:r>
      <w:r w:rsidR="00CA2161" w:rsidRPr="00C172AD">
        <w:rPr>
          <w:rStyle w:val="BodyText1"/>
          <w:sz w:val="24"/>
          <w:szCs w:val="24"/>
        </w:rPr>
        <w:t xml:space="preserve">(1) This Act may be cited as the </w:t>
      </w:r>
      <w:r w:rsidR="00CA2161" w:rsidRPr="00C172AD">
        <w:rPr>
          <w:rStyle w:val="BodytextItalic"/>
          <w:sz w:val="24"/>
          <w:szCs w:val="24"/>
        </w:rPr>
        <w:t xml:space="preserve">Air Navigation (Charges) Act </w:t>
      </w:r>
      <w:r w:rsidR="00CA2161" w:rsidRPr="00C172AD">
        <w:rPr>
          <w:rStyle w:val="BodyText1"/>
          <w:sz w:val="24"/>
          <w:szCs w:val="24"/>
        </w:rPr>
        <w:t>1976.</w:t>
      </w:r>
    </w:p>
    <w:p w14:paraId="210292EA" w14:textId="51C61CF6" w:rsidR="00F74406" w:rsidRPr="00C172AD" w:rsidRDefault="00087E79" w:rsidP="00C172AD">
      <w:pPr>
        <w:pStyle w:val="BodyText21"/>
        <w:spacing w:after="60" w:line="240" w:lineRule="auto"/>
        <w:ind w:firstLine="274"/>
        <w:jc w:val="both"/>
        <w:rPr>
          <w:sz w:val="24"/>
          <w:szCs w:val="24"/>
        </w:rPr>
      </w:pPr>
      <w:r w:rsidRPr="00C172AD">
        <w:rPr>
          <w:rStyle w:val="BodyText1"/>
          <w:sz w:val="24"/>
          <w:szCs w:val="24"/>
        </w:rPr>
        <w:t xml:space="preserve">(2) </w:t>
      </w:r>
      <w:r w:rsidR="00CA2161" w:rsidRPr="00C172AD">
        <w:rPr>
          <w:rStyle w:val="BodyText1"/>
          <w:sz w:val="24"/>
          <w:szCs w:val="24"/>
        </w:rPr>
        <w:t xml:space="preserve">The </w:t>
      </w:r>
      <w:r w:rsidR="00CA2161" w:rsidRPr="00C172AD">
        <w:rPr>
          <w:rStyle w:val="BodytextItalic"/>
          <w:sz w:val="24"/>
          <w:szCs w:val="24"/>
        </w:rPr>
        <w:t>Air Navigation (Charges) Act</w:t>
      </w:r>
      <w:r w:rsidR="00CA2161" w:rsidRPr="00C172AD">
        <w:rPr>
          <w:rStyle w:val="BodyText1"/>
          <w:sz w:val="24"/>
          <w:szCs w:val="24"/>
        </w:rPr>
        <w:t xml:space="preserve"> 1952-1974 is in this Act referred to as the Principal Act.</w:t>
      </w:r>
    </w:p>
    <w:p w14:paraId="7ACAEC4D" w14:textId="77777777" w:rsidR="00F74406" w:rsidRPr="00C172AD" w:rsidRDefault="00087E79" w:rsidP="00C172AD">
      <w:pPr>
        <w:pStyle w:val="BodyText21"/>
        <w:spacing w:after="60" w:line="240" w:lineRule="auto"/>
        <w:ind w:firstLine="274"/>
        <w:jc w:val="both"/>
        <w:rPr>
          <w:sz w:val="24"/>
          <w:szCs w:val="24"/>
        </w:rPr>
      </w:pPr>
      <w:r w:rsidRPr="00C172AD">
        <w:rPr>
          <w:rStyle w:val="BodyText1"/>
          <w:sz w:val="24"/>
          <w:szCs w:val="24"/>
        </w:rPr>
        <w:t xml:space="preserve">(3) </w:t>
      </w:r>
      <w:r w:rsidR="00CA2161" w:rsidRPr="00C172AD">
        <w:rPr>
          <w:rStyle w:val="BodyText1"/>
          <w:sz w:val="24"/>
          <w:szCs w:val="24"/>
        </w:rPr>
        <w:t xml:space="preserve">The Principal Act, as amended by this Act, may be cited as the </w:t>
      </w:r>
      <w:r w:rsidR="00CA2161" w:rsidRPr="00C172AD">
        <w:rPr>
          <w:rStyle w:val="BodytextItalic"/>
          <w:sz w:val="24"/>
          <w:szCs w:val="24"/>
        </w:rPr>
        <w:t>Air Navigation (Charges) Act</w:t>
      </w:r>
      <w:r w:rsidR="00CA2161" w:rsidRPr="00C172AD">
        <w:rPr>
          <w:rStyle w:val="BodyText1"/>
          <w:sz w:val="24"/>
          <w:szCs w:val="24"/>
        </w:rPr>
        <w:t xml:space="preserve"> 1952-1976.</w:t>
      </w:r>
    </w:p>
    <w:p w14:paraId="55D8493F" w14:textId="77777777" w:rsidR="00F74406" w:rsidRPr="00C172AD" w:rsidRDefault="00087E79" w:rsidP="00C172AD">
      <w:pPr>
        <w:pStyle w:val="Bodytext51"/>
        <w:spacing w:before="120" w:after="60" w:line="240" w:lineRule="auto"/>
        <w:ind w:firstLine="0"/>
        <w:jc w:val="both"/>
        <w:rPr>
          <w:b/>
          <w:sz w:val="20"/>
          <w:szCs w:val="20"/>
        </w:rPr>
      </w:pPr>
      <w:r w:rsidRPr="00C172AD">
        <w:rPr>
          <w:rStyle w:val="Bodytext5"/>
          <w:b/>
          <w:sz w:val="20"/>
          <w:szCs w:val="20"/>
        </w:rPr>
        <w:t>Commence</w:t>
      </w:r>
      <w:r w:rsidR="00CA2161" w:rsidRPr="00C172AD">
        <w:rPr>
          <w:rStyle w:val="Bodytext5"/>
          <w:b/>
          <w:sz w:val="20"/>
          <w:szCs w:val="20"/>
        </w:rPr>
        <w:t>ment.</w:t>
      </w:r>
    </w:p>
    <w:p w14:paraId="657ED8B7" w14:textId="3851E05C" w:rsidR="00F74406" w:rsidRPr="00C172AD" w:rsidRDefault="00087E79" w:rsidP="00C172AD">
      <w:pPr>
        <w:pStyle w:val="BodyText21"/>
        <w:tabs>
          <w:tab w:val="left" w:pos="630"/>
        </w:tabs>
        <w:spacing w:line="240" w:lineRule="auto"/>
        <w:ind w:firstLine="270"/>
        <w:jc w:val="both"/>
        <w:rPr>
          <w:sz w:val="24"/>
          <w:szCs w:val="24"/>
        </w:rPr>
      </w:pPr>
      <w:r w:rsidRPr="00C172AD">
        <w:rPr>
          <w:rStyle w:val="BodyText1"/>
          <w:b/>
          <w:sz w:val="24"/>
          <w:szCs w:val="24"/>
        </w:rPr>
        <w:t>2.</w:t>
      </w:r>
      <w:r w:rsidR="00C172AD">
        <w:rPr>
          <w:rStyle w:val="BodyText1"/>
          <w:b/>
          <w:sz w:val="24"/>
          <w:szCs w:val="24"/>
        </w:rPr>
        <w:tab/>
      </w:r>
      <w:r w:rsidR="00CA2161" w:rsidRPr="00C172AD">
        <w:rPr>
          <w:rStyle w:val="BodyText1"/>
          <w:sz w:val="24"/>
          <w:szCs w:val="24"/>
        </w:rPr>
        <w:t>This Act shall come into operation on the day on which it receives the Royal Assent.</w:t>
      </w:r>
    </w:p>
    <w:p w14:paraId="4E4CD4B9" w14:textId="2C851766" w:rsidR="00087E79" w:rsidRPr="00C172AD" w:rsidRDefault="00087E79" w:rsidP="00C172AD">
      <w:pPr>
        <w:pStyle w:val="Bodytext51"/>
        <w:spacing w:before="120" w:after="60" w:line="240" w:lineRule="auto"/>
        <w:ind w:firstLine="0"/>
        <w:jc w:val="both"/>
        <w:rPr>
          <w:rStyle w:val="BodyText1"/>
          <w:b/>
          <w:sz w:val="20"/>
          <w:szCs w:val="20"/>
        </w:rPr>
      </w:pPr>
      <w:r w:rsidRPr="00C172AD">
        <w:rPr>
          <w:rStyle w:val="Bodytext5"/>
          <w:b/>
          <w:sz w:val="20"/>
          <w:szCs w:val="20"/>
        </w:rPr>
        <w:t>Schedule 1</w:t>
      </w:r>
      <w:r w:rsidR="00FC41B4">
        <w:rPr>
          <w:rStyle w:val="Bodytext5"/>
          <w:b/>
          <w:sz w:val="20"/>
          <w:szCs w:val="20"/>
        </w:rPr>
        <w:t>—</w:t>
      </w:r>
      <w:r w:rsidRPr="00C172AD">
        <w:rPr>
          <w:rStyle w:val="Bodytext5"/>
          <w:b/>
          <w:sz w:val="20"/>
          <w:szCs w:val="20"/>
        </w:rPr>
        <w:t>paragraph 3.</w:t>
      </w:r>
    </w:p>
    <w:p w14:paraId="74899ACA" w14:textId="43216F8B" w:rsidR="00F74406" w:rsidRPr="00C172AD" w:rsidRDefault="00087E79" w:rsidP="00C172AD">
      <w:pPr>
        <w:pStyle w:val="BodyText21"/>
        <w:tabs>
          <w:tab w:val="left" w:pos="630"/>
        </w:tabs>
        <w:spacing w:line="240" w:lineRule="auto"/>
        <w:ind w:firstLine="270"/>
        <w:jc w:val="both"/>
        <w:rPr>
          <w:sz w:val="24"/>
          <w:szCs w:val="24"/>
        </w:rPr>
      </w:pPr>
      <w:r w:rsidRPr="00C172AD">
        <w:rPr>
          <w:rStyle w:val="BodyText1"/>
          <w:b/>
          <w:sz w:val="24"/>
          <w:szCs w:val="24"/>
        </w:rPr>
        <w:t>3.</w:t>
      </w:r>
      <w:r w:rsidR="00C172AD">
        <w:rPr>
          <w:rStyle w:val="BodyText1"/>
          <w:sz w:val="24"/>
          <w:szCs w:val="24"/>
        </w:rPr>
        <w:tab/>
      </w:r>
      <w:r w:rsidR="00CA2161" w:rsidRPr="00C172AD">
        <w:rPr>
          <w:rStyle w:val="BodyText1"/>
          <w:sz w:val="24"/>
          <w:szCs w:val="24"/>
        </w:rPr>
        <w:t xml:space="preserve">Paragraph 3 of Schedule 1 to the Principal Act is amended by omitting from sub-paragraph (1) the words </w:t>
      </w:r>
      <w:r w:rsidR="00FC41B4">
        <w:rPr>
          <w:rStyle w:val="BodyText1"/>
          <w:sz w:val="24"/>
          <w:szCs w:val="24"/>
        </w:rPr>
        <w:t>“</w:t>
      </w:r>
      <w:r w:rsidR="00CA2161" w:rsidRPr="00C172AD">
        <w:rPr>
          <w:rStyle w:val="BodyText1"/>
          <w:sz w:val="24"/>
          <w:szCs w:val="24"/>
        </w:rPr>
        <w:t>Port Moresby</w:t>
      </w:r>
      <w:r w:rsidR="00FC41B4">
        <w:rPr>
          <w:rStyle w:val="BodyText1"/>
          <w:sz w:val="24"/>
          <w:szCs w:val="24"/>
        </w:rPr>
        <w:t>”</w:t>
      </w:r>
      <w:r w:rsidR="00CA2161" w:rsidRPr="00C172AD">
        <w:rPr>
          <w:rStyle w:val="BodyText1"/>
          <w:sz w:val="24"/>
          <w:szCs w:val="24"/>
        </w:rPr>
        <w:t xml:space="preserve"> (twice occurring).</w:t>
      </w:r>
    </w:p>
    <w:p w14:paraId="5E043290" w14:textId="08DF7249" w:rsidR="00087E79" w:rsidRPr="00C172AD" w:rsidRDefault="005B7D43" w:rsidP="00C172AD">
      <w:pPr>
        <w:pStyle w:val="Bodytext51"/>
        <w:spacing w:before="120" w:after="60" w:line="240" w:lineRule="auto"/>
        <w:ind w:firstLine="0"/>
        <w:jc w:val="both"/>
        <w:rPr>
          <w:rStyle w:val="BodyText1"/>
          <w:b/>
          <w:sz w:val="20"/>
          <w:szCs w:val="20"/>
        </w:rPr>
      </w:pPr>
      <w:r>
        <w:rPr>
          <w:rStyle w:val="Bodytext5"/>
          <w:b/>
          <w:sz w:val="20"/>
          <w:szCs w:val="20"/>
        </w:rPr>
        <w:t>Schedule 1</w:t>
      </w:r>
      <w:r w:rsidR="00087E79" w:rsidRPr="00C172AD">
        <w:rPr>
          <w:rStyle w:val="Bodytext5"/>
          <w:b/>
          <w:sz w:val="20"/>
          <w:szCs w:val="20"/>
        </w:rPr>
        <w:t>—paragraph 7.</w:t>
      </w:r>
    </w:p>
    <w:p w14:paraId="6214AFD4" w14:textId="7F2FFFE8" w:rsidR="00F74406" w:rsidRPr="00C172AD" w:rsidRDefault="00087E79" w:rsidP="00C172AD">
      <w:pPr>
        <w:pStyle w:val="BodyText21"/>
        <w:tabs>
          <w:tab w:val="left" w:pos="630"/>
        </w:tabs>
        <w:spacing w:after="60" w:line="240" w:lineRule="auto"/>
        <w:ind w:firstLine="274"/>
        <w:jc w:val="both"/>
        <w:rPr>
          <w:sz w:val="24"/>
          <w:szCs w:val="24"/>
        </w:rPr>
      </w:pPr>
      <w:r w:rsidRPr="00C172AD">
        <w:rPr>
          <w:rStyle w:val="BodyText1"/>
          <w:b/>
          <w:sz w:val="24"/>
          <w:szCs w:val="24"/>
        </w:rPr>
        <w:t>4.</w:t>
      </w:r>
      <w:r w:rsidR="00C172AD">
        <w:rPr>
          <w:rStyle w:val="BodyText1"/>
          <w:sz w:val="24"/>
          <w:szCs w:val="24"/>
        </w:rPr>
        <w:tab/>
      </w:r>
      <w:r w:rsidR="00CA2161" w:rsidRPr="00C172AD">
        <w:rPr>
          <w:rStyle w:val="BodyText1"/>
          <w:sz w:val="24"/>
          <w:szCs w:val="24"/>
        </w:rPr>
        <w:t>Paragraph 7 of Schedule 1 to the Principal Act is amended by omitting the table in sub-paragraph (1) and substituting the following table:—</w:t>
      </w:r>
    </w:p>
    <w:tbl>
      <w:tblPr>
        <w:tblOverlap w:val="never"/>
        <w:tblW w:w="97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0"/>
        <w:gridCol w:w="6273"/>
      </w:tblGrid>
      <w:tr w:rsidR="00F74406" w:rsidRPr="00C172AD" w14:paraId="25CAAC70" w14:textId="77777777" w:rsidTr="00B0476C">
        <w:trPr>
          <w:trHeight w:val="250"/>
        </w:trPr>
        <w:tc>
          <w:tcPr>
            <w:tcW w:w="3520" w:type="dxa"/>
            <w:tcBorders>
              <w:top w:val="single" w:sz="4" w:space="0" w:color="auto"/>
            </w:tcBorders>
            <w:vAlign w:val="center"/>
          </w:tcPr>
          <w:p w14:paraId="4EAA38F9" w14:textId="77777777" w:rsidR="00F74406" w:rsidRPr="00C172AD" w:rsidRDefault="00C172AD" w:rsidP="00C172AD">
            <w:pPr>
              <w:pStyle w:val="BodyText21"/>
              <w:spacing w:line="240" w:lineRule="auto"/>
              <w:ind w:firstLine="0"/>
              <w:rPr>
                <w:sz w:val="20"/>
                <w:szCs w:val="20"/>
              </w:rPr>
            </w:pPr>
            <w:r w:rsidRPr="00C172AD">
              <w:rPr>
                <w:rStyle w:val="Bodytext75pt"/>
                <w:sz w:val="20"/>
                <w:szCs w:val="20"/>
              </w:rPr>
              <w:t>Column 1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vAlign w:val="center"/>
          </w:tcPr>
          <w:p w14:paraId="735883F1" w14:textId="77777777" w:rsidR="00F74406" w:rsidRPr="00C172AD" w:rsidRDefault="00CA2161" w:rsidP="00C172AD">
            <w:pPr>
              <w:pStyle w:val="BodyText21"/>
              <w:spacing w:line="240" w:lineRule="auto"/>
              <w:ind w:firstLine="0"/>
              <w:rPr>
                <w:sz w:val="20"/>
                <w:szCs w:val="20"/>
              </w:rPr>
            </w:pPr>
            <w:r w:rsidRPr="00C172AD">
              <w:rPr>
                <w:rStyle w:val="Bodytext75pt"/>
                <w:sz w:val="20"/>
                <w:szCs w:val="20"/>
              </w:rPr>
              <w:t>Column 2</w:t>
            </w:r>
          </w:p>
        </w:tc>
      </w:tr>
      <w:tr w:rsidR="00C172AD" w:rsidRPr="00C172AD" w14:paraId="0955C504" w14:textId="77777777" w:rsidTr="00B0476C">
        <w:trPr>
          <w:trHeight w:val="313"/>
        </w:trPr>
        <w:tc>
          <w:tcPr>
            <w:tcW w:w="3520" w:type="dxa"/>
            <w:vMerge w:val="restart"/>
            <w:vAlign w:val="center"/>
          </w:tcPr>
          <w:p w14:paraId="6B461023" w14:textId="77777777" w:rsidR="00C172AD" w:rsidRPr="00C172AD" w:rsidRDefault="00C172AD" w:rsidP="00C172AD">
            <w:pPr>
              <w:pStyle w:val="BodyText21"/>
              <w:spacing w:line="240" w:lineRule="auto"/>
              <w:ind w:firstLine="0"/>
              <w:rPr>
                <w:rStyle w:val="Bodytext75pt"/>
                <w:sz w:val="20"/>
                <w:szCs w:val="20"/>
              </w:rPr>
            </w:pPr>
            <w:r w:rsidRPr="00C172AD">
              <w:rPr>
                <w:rStyle w:val="Bodytext75pt"/>
                <w:sz w:val="20"/>
                <w:szCs w:val="20"/>
              </w:rPr>
              <w:t xml:space="preserve">Weight of aircraft in </w:t>
            </w:r>
            <w:r w:rsidRPr="00C172AD">
              <w:rPr>
                <w:rStyle w:val="Bodytext75pt"/>
                <w:sz w:val="20"/>
                <w:szCs w:val="20"/>
              </w:rPr>
              <w:br/>
            </w:r>
            <w:proofErr w:type="spellStart"/>
            <w:r w:rsidRPr="00C172AD">
              <w:rPr>
                <w:rStyle w:val="Bodytext75pt"/>
                <w:sz w:val="20"/>
                <w:szCs w:val="20"/>
              </w:rPr>
              <w:t>kilogrammes</w:t>
            </w:r>
            <w:proofErr w:type="spellEnd"/>
          </w:p>
        </w:tc>
        <w:tc>
          <w:tcPr>
            <w:tcW w:w="6273" w:type="dxa"/>
            <w:vAlign w:val="center"/>
          </w:tcPr>
          <w:p w14:paraId="79E60B8B" w14:textId="77777777" w:rsidR="00C172AD" w:rsidRPr="00C172AD" w:rsidRDefault="00C172AD" w:rsidP="00C172AD">
            <w:pPr>
              <w:pStyle w:val="BodyText21"/>
              <w:spacing w:line="240" w:lineRule="auto"/>
              <w:ind w:hanging="10"/>
              <w:rPr>
                <w:rStyle w:val="Bodytext75pt"/>
                <w:sz w:val="20"/>
                <w:szCs w:val="20"/>
              </w:rPr>
            </w:pPr>
          </w:p>
        </w:tc>
      </w:tr>
      <w:tr w:rsidR="00C172AD" w:rsidRPr="00C172AD" w14:paraId="5AA0383E" w14:textId="77777777" w:rsidTr="00B0476C">
        <w:trPr>
          <w:trHeight w:val="162"/>
        </w:trPr>
        <w:tc>
          <w:tcPr>
            <w:tcW w:w="3520" w:type="dxa"/>
            <w:vMerge/>
            <w:tcBorders>
              <w:bottom w:val="single" w:sz="4" w:space="0" w:color="auto"/>
            </w:tcBorders>
            <w:vAlign w:val="center"/>
          </w:tcPr>
          <w:p w14:paraId="3A73E51F" w14:textId="77777777" w:rsidR="00C172AD" w:rsidRPr="00C172AD" w:rsidRDefault="00C172AD" w:rsidP="00C172AD">
            <w:pPr>
              <w:pStyle w:val="BodyText21"/>
              <w:spacing w:line="240" w:lineRule="auto"/>
              <w:ind w:firstLine="0"/>
              <w:rPr>
                <w:rStyle w:val="Bodytext75pt"/>
                <w:sz w:val="20"/>
                <w:szCs w:val="20"/>
              </w:rPr>
            </w:pPr>
          </w:p>
        </w:tc>
        <w:tc>
          <w:tcPr>
            <w:tcW w:w="6273" w:type="dxa"/>
            <w:tcBorders>
              <w:bottom w:val="single" w:sz="4" w:space="0" w:color="auto"/>
            </w:tcBorders>
            <w:vAlign w:val="center"/>
          </w:tcPr>
          <w:p w14:paraId="0B29B8B9" w14:textId="77777777" w:rsidR="00C172AD" w:rsidRPr="00C172AD" w:rsidRDefault="00C172AD" w:rsidP="00C172AD">
            <w:pPr>
              <w:pStyle w:val="BodyText21"/>
              <w:spacing w:line="240" w:lineRule="auto"/>
              <w:ind w:hanging="10"/>
              <w:rPr>
                <w:rStyle w:val="Bodytext75pt"/>
                <w:sz w:val="20"/>
                <w:szCs w:val="20"/>
              </w:rPr>
            </w:pPr>
            <w:r w:rsidRPr="00C172AD">
              <w:rPr>
                <w:rStyle w:val="Bodytext75pt"/>
                <w:sz w:val="20"/>
                <w:szCs w:val="20"/>
              </w:rPr>
              <w:t>Amount of unit charge</w:t>
            </w:r>
          </w:p>
        </w:tc>
      </w:tr>
      <w:tr w:rsidR="00F74406" w:rsidRPr="00C172AD" w14:paraId="7DB8495B" w14:textId="77777777" w:rsidTr="00B0476C">
        <w:trPr>
          <w:trHeight w:val="269"/>
        </w:trPr>
        <w:tc>
          <w:tcPr>
            <w:tcW w:w="3520" w:type="dxa"/>
            <w:tcBorders>
              <w:top w:val="single" w:sz="4" w:space="0" w:color="auto"/>
            </w:tcBorders>
          </w:tcPr>
          <w:p w14:paraId="4F9A94B7" w14:textId="77777777" w:rsidR="00F74406" w:rsidRPr="00C172AD" w:rsidRDefault="00CA2161" w:rsidP="00B0476C">
            <w:pPr>
              <w:pStyle w:val="BodyText21"/>
              <w:tabs>
                <w:tab w:val="left" w:leader="dot" w:pos="34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2AD">
              <w:rPr>
                <w:rStyle w:val="Bodytext75pt"/>
                <w:sz w:val="24"/>
                <w:szCs w:val="24"/>
              </w:rPr>
              <w:t>Not more than 700</w:t>
            </w:r>
            <w:r w:rsidR="00B0476C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273" w:type="dxa"/>
            <w:tcBorders>
              <w:top w:val="single" w:sz="4" w:space="0" w:color="auto"/>
            </w:tcBorders>
          </w:tcPr>
          <w:p w14:paraId="7848036C" w14:textId="77777777" w:rsidR="00F74406" w:rsidRPr="00C172AD" w:rsidRDefault="00CA2161" w:rsidP="00C172AD">
            <w:pPr>
              <w:pStyle w:val="BodyText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2AD">
              <w:rPr>
                <w:rStyle w:val="Bodytext75pt"/>
                <w:sz w:val="24"/>
                <w:szCs w:val="24"/>
              </w:rPr>
              <w:t>8 cents</w:t>
            </w:r>
          </w:p>
        </w:tc>
      </w:tr>
      <w:tr w:rsidR="00F74406" w:rsidRPr="00C172AD" w14:paraId="6D4E0758" w14:textId="77777777" w:rsidTr="00B0476C">
        <w:trPr>
          <w:trHeight w:val="350"/>
        </w:trPr>
        <w:tc>
          <w:tcPr>
            <w:tcW w:w="3520" w:type="dxa"/>
          </w:tcPr>
          <w:p w14:paraId="21E32378" w14:textId="77777777" w:rsidR="00F74406" w:rsidRPr="00C172AD" w:rsidRDefault="00CA2161" w:rsidP="00C172AD">
            <w:pPr>
              <w:pStyle w:val="BodyText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2AD">
              <w:rPr>
                <w:rStyle w:val="Bodytext75pt"/>
                <w:sz w:val="24"/>
                <w:szCs w:val="24"/>
              </w:rPr>
              <w:t>More than 700 but not more than 9,000</w:t>
            </w:r>
          </w:p>
        </w:tc>
        <w:tc>
          <w:tcPr>
            <w:tcW w:w="6273" w:type="dxa"/>
          </w:tcPr>
          <w:p w14:paraId="21D46C5E" w14:textId="77777777" w:rsidR="00F74406" w:rsidRPr="00C172AD" w:rsidRDefault="00CA2161" w:rsidP="00C172AD">
            <w:pPr>
              <w:pStyle w:val="BodyText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2AD">
              <w:rPr>
                <w:rStyle w:val="Bodytext75pt"/>
                <w:sz w:val="24"/>
                <w:szCs w:val="24"/>
              </w:rPr>
              <w:t xml:space="preserve">13.2 cents for each 450 </w:t>
            </w:r>
            <w:proofErr w:type="spellStart"/>
            <w:r w:rsidRPr="00C172AD">
              <w:rPr>
                <w:rStyle w:val="Bodytext75pt"/>
                <w:sz w:val="24"/>
                <w:szCs w:val="24"/>
              </w:rPr>
              <w:t>k</w:t>
            </w:r>
            <w:r w:rsidR="00C172AD">
              <w:rPr>
                <w:rStyle w:val="Bodytext75pt"/>
                <w:sz w:val="24"/>
                <w:szCs w:val="24"/>
              </w:rPr>
              <w:t>ilogrammes</w:t>
            </w:r>
            <w:proofErr w:type="spellEnd"/>
            <w:r w:rsidR="00C172AD">
              <w:rPr>
                <w:rStyle w:val="Bodytext75pt"/>
                <w:sz w:val="24"/>
                <w:szCs w:val="24"/>
              </w:rPr>
              <w:t xml:space="preserve">, or part of 450 </w:t>
            </w:r>
            <w:proofErr w:type="spellStart"/>
            <w:r w:rsidR="00087E79" w:rsidRPr="00C172AD">
              <w:rPr>
                <w:rStyle w:val="Bodytext75pt"/>
                <w:sz w:val="24"/>
                <w:szCs w:val="24"/>
              </w:rPr>
              <w:t>kilo</w:t>
            </w:r>
            <w:r w:rsidRPr="00C172AD">
              <w:rPr>
                <w:rStyle w:val="Bodytext75pt"/>
                <w:sz w:val="24"/>
                <w:szCs w:val="24"/>
              </w:rPr>
              <w:t>grammes</w:t>
            </w:r>
            <w:proofErr w:type="spellEnd"/>
            <w:r w:rsidRPr="00C172AD">
              <w:rPr>
                <w:rStyle w:val="Bodytext75pt"/>
                <w:sz w:val="24"/>
                <w:szCs w:val="24"/>
              </w:rPr>
              <w:t>, of the weight of the aircraft</w:t>
            </w:r>
          </w:p>
        </w:tc>
      </w:tr>
      <w:tr w:rsidR="00F74406" w:rsidRPr="00C172AD" w14:paraId="5BD66C42" w14:textId="77777777" w:rsidTr="00B0476C">
        <w:trPr>
          <w:trHeight w:val="509"/>
        </w:trPr>
        <w:tc>
          <w:tcPr>
            <w:tcW w:w="3520" w:type="dxa"/>
          </w:tcPr>
          <w:p w14:paraId="657CB9D2" w14:textId="77777777" w:rsidR="00F74406" w:rsidRPr="00C172AD" w:rsidRDefault="00CA2161" w:rsidP="00C172AD">
            <w:pPr>
              <w:pStyle w:val="BodyText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2AD">
              <w:rPr>
                <w:rStyle w:val="Bodytext75pt"/>
                <w:sz w:val="24"/>
                <w:szCs w:val="24"/>
              </w:rPr>
              <w:t>More than 9,000 but not more than 20,000</w:t>
            </w:r>
          </w:p>
        </w:tc>
        <w:tc>
          <w:tcPr>
            <w:tcW w:w="6273" w:type="dxa"/>
          </w:tcPr>
          <w:p w14:paraId="7CF19B0E" w14:textId="77777777" w:rsidR="00F74406" w:rsidRPr="00C172AD" w:rsidRDefault="00CA2161" w:rsidP="00C172AD">
            <w:pPr>
              <w:pStyle w:val="BodyText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2AD">
              <w:rPr>
                <w:rStyle w:val="Bodytext75pt"/>
                <w:sz w:val="24"/>
                <w:szCs w:val="24"/>
              </w:rPr>
              <w:t xml:space="preserve">$2.64 plus 31.7 cents for each 500 </w:t>
            </w:r>
            <w:proofErr w:type="spellStart"/>
            <w:r w:rsidRPr="00C172AD">
              <w:rPr>
                <w:rStyle w:val="Bodytext75pt"/>
                <w:sz w:val="24"/>
                <w:szCs w:val="24"/>
              </w:rPr>
              <w:t>kilogrammes</w:t>
            </w:r>
            <w:proofErr w:type="spellEnd"/>
            <w:r w:rsidRPr="00C172AD">
              <w:rPr>
                <w:rStyle w:val="Bodytext75pt"/>
                <w:sz w:val="24"/>
                <w:szCs w:val="24"/>
              </w:rPr>
              <w:t xml:space="preserve">, or part of 500 </w:t>
            </w:r>
            <w:proofErr w:type="spellStart"/>
            <w:r w:rsidRPr="00C172AD">
              <w:rPr>
                <w:rStyle w:val="Bodytext75pt"/>
                <w:sz w:val="24"/>
                <w:szCs w:val="24"/>
              </w:rPr>
              <w:t>kilogrammes</w:t>
            </w:r>
            <w:proofErr w:type="spellEnd"/>
            <w:r w:rsidRPr="00C172AD">
              <w:rPr>
                <w:rStyle w:val="Bodytext75pt"/>
                <w:sz w:val="24"/>
                <w:szCs w:val="24"/>
              </w:rPr>
              <w:t xml:space="preserve">, by which the weight of the aircraft exceeds 9,000 </w:t>
            </w:r>
            <w:proofErr w:type="spellStart"/>
            <w:r w:rsidRPr="00C172AD">
              <w:rPr>
                <w:rStyle w:val="Bodytext75pt"/>
                <w:sz w:val="24"/>
                <w:szCs w:val="24"/>
              </w:rPr>
              <w:t>kilogrammes</w:t>
            </w:r>
            <w:proofErr w:type="spellEnd"/>
          </w:p>
        </w:tc>
      </w:tr>
      <w:tr w:rsidR="00F74406" w:rsidRPr="00C172AD" w14:paraId="3EA1AFCB" w14:textId="77777777" w:rsidTr="00B0476C">
        <w:trPr>
          <w:trHeight w:val="528"/>
        </w:trPr>
        <w:tc>
          <w:tcPr>
            <w:tcW w:w="3520" w:type="dxa"/>
          </w:tcPr>
          <w:p w14:paraId="4C0409B3" w14:textId="77777777" w:rsidR="00F74406" w:rsidRPr="00C172AD" w:rsidRDefault="00CA2161" w:rsidP="00C172AD">
            <w:pPr>
              <w:pStyle w:val="BodyText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2AD">
              <w:rPr>
                <w:rStyle w:val="Bodytext75pt"/>
                <w:sz w:val="24"/>
                <w:szCs w:val="24"/>
              </w:rPr>
              <w:t>More than 20,000 but not more than 100,000</w:t>
            </w:r>
          </w:p>
        </w:tc>
        <w:tc>
          <w:tcPr>
            <w:tcW w:w="6273" w:type="dxa"/>
          </w:tcPr>
          <w:p w14:paraId="51F4FD2E" w14:textId="77777777" w:rsidR="00F74406" w:rsidRPr="00C172AD" w:rsidRDefault="00CA2161" w:rsidP="00C172AD">
            <w:pPr>
              <w:pStyle w:val="BodyText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2AD">
              <w:rPr>
                <w:rStyle w:val="Bodytext75pt"/>
                <w:sz w:val="24"/>
                <w:szCs w:val="24"/>
              </w:rPr>
              <w:t xml:space="preserve">$9.61 plus 39 cents for each 500 </w:t>
            </w:r>
            <w:proofErr w:type="spellStart"/>
            <w:r w:rsidRPr="00C172AD">
              <w:rPr>
                <w:rStyle w:val="Bodytext75pt"/>
                <w:sz w:val="24"/>
                <w:szCs w:val="24"/>
              </w:rPr>
              <w:t>kilogrammes</w:t>
            </w:r>
            <w:proofErr w:type="spellEnd"/>
            <w:r w:rsidRPr="00C172AD">
              <w:rPr>
                <w:rStyle w:val="Bodytext75pt"/>
                <w:sz w:val="24"/>
                <w:szCs w:val="24"/>
              </w:rPr>
              <w:t xml:space="preserve">, or part of 500 </w:t>
            </w:r>
            <w:proofErr w:type="spellStart"/>
            <w:r w:rsidRPr="00C172AD">
              <w:rPr>
                <w:rStyle w:val="Bodytext75pt"/>
                <w:sz w:val="24"/>
                <w:szCs w:val="24"/>
              </w:rPr>
              <w:t>kilogrammes</w:t>
            </w:r>
            <w:proofErr w:type="spellEnd"/>
            <w:r w:rsidRPr="00C172AD">
              <w:rPr>
                <w:rStyle w:val="Bodytext75pt"/>
                <w:sz w:val="24"/>
                <w:szCs w:val="24"/>
              </w:rPr>
              <w:t xml:space="preserve">, by which the weight of the aircraft exceeds 20,000 </w:t>
            </w:r>
            <w:proofErr w:type="spellStart"/>
            <w:r w:rsidRPr="00C172AD">
              <w:rPr>
                <w:rStyle w:val="Bodytext75pt"/>
                <w:sz w:val="24"/>
                <w:szCs w:val="24"/>
              </w:rPr>
              <w:t>kilogrammes</w:t>
            </w:r>
            <w:proofErr w:type="spellEnd"/>
          </w:p>
        </w:tc>
      </w:tr>
      <w:tr w:rsidR="00F74406" w:rsidRPr="00C172AD" w14:paraId="7A3D1FA8" w14:textId="77777777" w:rsidTr="00B0476C">
        <w:trPr>
          <w:trHeight w:val="581"/>
        </w:trPr>
        <w:tc>
          <w:tcPr>
            <w:tcW w:w="3520" w:type="dxa"/>
            <w:tcBorders>
              <w:bottom w:val="single" w:sz="4" w:space="0" w:color="auto"/>
            </w:tcBorders>
          </w:tcPr>
          <w:p w14:paraId="5BE1CFAB" w14:textId="77777777" w:rsidR="00F74406" w:rsidRPr="00C172AD" w:rsidRDefault="00CA2161" w:rsidP="00B0476C">
            <w:pPr>
              <w:pStyle w:val="BodyText21"/>
              <w:tabs>
                <w:tab w:val="left" w:leader="dot" w:pos="34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2AD">
              <w:rPr>
                <w:rStyle w:val="Bodytext75pt"/>
                <w:sz w:val="24"/>
                <w:szCs w:val="24"/>
              </w:rPr>
              <w:t>More than 100,000</w:t>
            </w:r>
            <w:r w:rsidR="00B0476C">
              <w:rPr>
                <w:rStyle w:val="Bodytext75pt"/>
                <w:sz w:val="24"/>
                <w:szCs w:val="24"/>
              </w:rPr>
              <w:tab/>
            </w:r>
          </w:p>
        </w:tc>
        <w:tc>
          <w:tcPr>
            <w:tcW w:w="6273" w:type="dxa"/>
            <w:tcBorders>
              <w:bottom w:val="single" w:sz="4" w:space="0" w:color="auto"/>
            </w:tcBorders>
          </w:tcPr>
          <w:p w14:paraId="00E8B38F" w14:textId="77777777" w:rsidR="00F74406" w:rsidRPr="00C172AD" w:rsidRDefault="00CA2161" w:rsidP="00C172AD">
            <w:pPr>
              <w:pStyle w:val="BodyText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2AD">
              <w:rPr>
                <w:rStyle w:val="Bodytext75pt"/>
                <w:sz w:val="24"/>
                <w:szCs w:val="24"/>
              </w:rPr>
              <w:t xml:space="preserve">$72.01 plus 36.1 cents for each 500 </w:t>
            </w:r>
            <w:proofErr w:type="spellStart"/>
            <w:r w:rsidRPr="00C172AD">
              <w:rPr>
                <w:rStyle w:val="Bodytext75pt"/>
                <w:sz w:val="24"/>
                <w:szCs w:val="24"/>
              </w:rPr>
              <w:t>kilogrammes</w:t>
            </w:r>
            <w:proofErr w:type="spellEnd"/>
            <w:r w:rsidRPr="00C172AD">
              <w:rPr>
                <w:rStyle w:val="Bodytext75pt"/>
                <w:sz w:val="24"/>
                <w:szCs w:val="24"/>
              </w:rPr>
              <w:t xml:space="preserve">, or part of 500 </w:t>
            </w:r>
            <w:proofErr w:type="spellStart"/>
            <w:r w:rsidRPr="00C172AD">
              <w:rPr>
                <w:rStyle w:val="Bodytext75pt"/>
                <w:sz w:val="24"/>
                <w:szCs w:val="24"/>
              </w:rPr>
              <w:t>kilogrammes</w:t>
            </w:r>
            <w:proofErr w:type="spellEnd"/>
            <w:r w:rsidRPr="00C172AD">
              <w:rPr>
                <w:rStyle w:val="Bodytext75pt"/>
                <w:sz w:val="24"/>
                <w:szCs w:val="24"/>
              </w:rPr>
              <w:t xml:space="preserve">, by which the weight of the aircraft exceeds 100,000 </w:t>
            </w:r>
            <w:proofErr w:type="spellStart"/>
            <w:r w:rsidRPr="00C172AD">
              <w:rPr>
                <w:rStyle w:val="Bodytext75pt"/>
                <w:sz w:val="24"/>
                <w:szCs w:val="24"/>
              </w:rPr>
              <w:t>kilogrammes</w:t>
            </w:r>
            <w:proofErr w:type="spellEnd"/>
          </w:p>
        </w:tc>
      </w:tr>
    </w:tbl>
    <w:p w14:paraId="15F45E68" w14:textId="77777777" w:rsidR="00F74406" w:rsidRPr="00C172AD" w:rsidRDefault="00CA2161" w:rsidP="00C172AD">
      <w:pPr>
        <w:pStyle w:val="Bodytext51"/>
        <w:spacing w:before="120" w:after="60" w:line="240" w:lineRule="auto"/>
        <w:ind w:firstLine="0"/>
        <w:jc w:val="both"/>
        <w:rPr>
          <w:b/>
          <w:sz w:val="20"/>
          <w:szCs w:val="20"/>
        </w:rPr>
      </w:pPr>
      <w:r w:rsidRPr="00C172AD">
        <w:rPr>
          <w:rStyle w:val="Bodytext5"/>
          <w:b/>
          <w:sz w:val="20"/>
          <w:szCs w:val="20"/>
        </w:rPr>
        <w:t>Schedule 1— Table of Flights.</w:t>
      </w:r>
    </w:p>
    <w:p w14:paraId="5AD669DC" w14:textId="77777777" w:rsidR="00F74406" w:rsidRPr="00C172AD" w:rsidRDefault="00087E79" w:rsidP="00B0476C">
      <w:pPr>
        <w:pStyle w:val="BodyText21"/>
        <w:tabs>
          <w:tab w:val="left" w:pos="630"/>
        </w:tabs>
        <w:spacing w:after="60" w:line="240" w:lineRule="auto"/>
        <w:ind w:firstLine="274"/>
        <w:jc w:val="both"/>
        <w:rPr>
          <w:sz w:val="24"/>
          <w:szCs w:val="24"/>
        </w:rPr>
      </w:pPr>
      <w:r w:rsidRPr="00B0476C">
        <w:rPr>
          <w:rStyle w:val="BodyText1"/>
          <w:b/>
          <w:sz w:val="24"/>
          <w:szCs w:val="24"/>
        </w:rPr>
        <w:t>5.</w:t>
      </w:r>
      <w:r w:rsidR="00B0476C">
        <w:rPr>
          <w:rStyle w:val="BodyText1"/>
          <w:b/>
          <w:sz w:val="24"/>
          <w:szCs w:val="24"/>
        </w:rPr>
        <w:tab/>
      </w:r>
      <w:r w:rsidR="00CA2161" w:rsidRPr="00C172AD">
        <w:rPr>
          <w:rStyle w:val="BodyText1"/>
          <w:sz w:val="24"/>
          <w:szCs w:val="24"/>
        </w:rPr>
        <w:t>The Table of Flights contained in Schedule 1 to the Principal Act is amended—</w:t>
      </w:r>
    </w:p>
    <w:p w14:paraId="6EA811F5" w14:textId="6E2ED388" w:rsidR="00F74406" w:rsidRPr="00C172AD" w:rsidRDefault="00087E79" w:rsidP="00B0476C">
      <w:pPr>
        <w:pStyle w:val="BodyText21"/>
        <w:spacing w:after="60" w:line="240" w:lineRule="auto"/>
        <w:ind w:firstLine="274"/>
        <w:jc w:val="both"/>
        <w:rPr>
          <w:sz w:val="24"/>
          <w:szCs w:val="24"/>
        </w:rPr>
      </w:pPr>
      <w:r w:rsidRPr="00C172AD">
        <w:rPr>
          <w:rStyle w:val="BodyText1"/>
          <w:sz w:val="24"/>
          <w:szCs w:val="24"/>
        </w:rPr>
        <w:t xml:space="preserve">(a) </w:t>
      </w:r>
      <w:r w:rsidR="00CA2161" w:rsidRPr="00C172AD">
        <w:rPr>
          <w:rStyle w:val="BodyText1"/>
          <w:sz w:val="24"/>
          <w:szCs w:val="24"/>
        </w:rPr>
        <w:t>by omitting items 48, 66, 110, 115, 122, 125, 158</w:t>
      </w:r>
      <w:r w:rsidR="00FC41B4">
        <w:rPr>
          <w:rStyle w:val="BodyText1"/>
          <w:smallCaps/>
          <w:sz w:val="24"/>
          <w:szCs w:val="24"/>
        </w:rPr>
        <w:t>a</w:t>
      </w:r>
      <w:r w:rsidR="00CA2161" w:rsidRPr="00C172AD">
        <w:rPr>
          <w:rStyle w:val="BodyText1"/>
          <w:sz w:val="24"/>
          <w:szCs w:val="24"/>
        </w:rPr>
        <w:t xml:space="preserve"> and 165;</w:t>
      </w:r>
    </w:p>
    <w:p w14:paraId="40C5D991" w14:textId="77777777" w:rsidR="00F74406" w:rsidRPr="00C172AD" w:rsidRDefault="00087E79" w:rsidP="00B0476C">
      <w:pPr>
        <w:pStyle w:val="BodyText21"/>
        <w:spacing w:after="60" w:line="240" w:lineRule="auto"/>
        <w:ind w:firstLine="274"/>
        <w:jc w:val="both"/>
        <w:rPr>
          <w:sz w:val="24"/>
          <w:szCs w:val="24"/>
        </w:rPr>
      </w:pPr>
      <w:r w:rsidRPr="00C172AD">
        <w:rPr>
          <w:rStyle w:val="BodyText1"/>
          <w:sz w:val="24"/>
          <w:szCs w:val="24"/>
        </w:rPr>
        <w:t xml:space="preserve">(b) </w:t>
      </w:r>
      <w:r w:rsidR="00CA2161" w:rsidRPr="00C172AD">
        <w:rPr>
          <w:rStyle w:val="BodyText1"/>
          <w:sz w:val="24"/>
          <w:szCs w:val="24"/>
        </w:rPr>
        <w:t>by inserting after item 202 the following item:—</w:t>
      </w:r>
    </w:p>
    <w:p w14:paraId="0138695E" w14:textId="77777777" w:rsidR="00C172AD" w:rsidRDefault="00CA2161" w:rsidP="00B0476C">
      <w:pPr>
        <w:pStyle w:val="Bodytext51"/>
        <w:spacing w:line="240" w:lineRule="auto"/>
        <w:ind w:firstLine="810"/>
        <w:jc w:val="both"/>
        <w:rPr>
          <w:sz w:val="24"/>
          <w:szCs w:val="24"/>
        </w:rPr>
      </w:pPr>
      <w:r w:rsidRPr="00C172AD">
        <w:rPr>
          <w:rStyle w:val="Bodytext5SmallCaps"/>
          <w:sz w:val="24"/>
          <w:szCs w:val="24"/>
        </w:rPr>
        <w:t>“202aa|</w:t>
      </w:r>
      <w:r w:rsidRPr="00C172AD">
        <w:rPr>
          <w:sz w:val="24"/>
          <w:szCs w:val="24"/>
        </w:rPr>
        <w:t xml:space="preserve"> Perth-Christmas Island | 12”;</w:t>
      </w:r>
    </w:p>
    <w:p w14:paraId="61F505BC" w14:textId="1F2337EA" w:rsidR="00F74406" w:rsidRPr="00C172AD" w:rsidRDefault="00087E79" w:rsidP="00B0476C">
      <w:pPr>
        <w:pStyle w:val="BodyText21"/>
        <w:spacing w:after="60" w:line="240" w:lineRule="auto"/>
        <w:ind w:firstLine="274"/>
        <w:jc w:val="both"/>
        <w:rPr>
          <w:sz w:val="24"/>
          <w:szCs w:val="24"/>
        </w:rPr>
      </w:pPr>
      <w:r w:rsidRPr="00B0476C">
        <w:rPr>
          <w:rStyle w:val="Bodytext6NotBold"/>
          <w:b w:val="0"/>
          <w:spacing w:val="0"/>
          <w:sz w:val="24"/>
          <w:szCs w:val="24"/>
        </w:rPr>
        <w:t xml:space="preserve">(c) </w:t>
      </w:r>
      <w:r w:rsidR="00CA2161" w:rsidRPr="00B0476C">
        <w:rPr>
          <w:rStyle w:val="Bodytext6NotBold"/>
          <w:b w:val="0"/>
          <w:spacing w:val="0"/>
          <w:sz w:val="24"/>
          <w:szCs w:val="24"/>
        </w:rPr>
        <w:t>by omitting item 239</w:t>
      </w:r>
      <w:r w:rsidR="00FC41B4">
        <w:rPr>
          <w:rStyle w:val="Bodytext6NotBold"/>
          <w:b w:val="0"/>
          <w:smallCaps/>
          <w:spacing w:val="0"/>
          <w:sz w:val="24"/>
          <w:szCs w:val="24"/>
        </w:rPr>
        <w:t>aa</w:t>
      </w:r>
      <w:r w:rsidR="00CA2161" w:rsidRPr="00B0476C">
        <w:rPr>
          <w:rStyle w:val="Bodytext6NotBold"/>
          <w:b w:val="0"/>
          <w:spacing w:val="0"/>
          <w:sz w:val="24"/>
          <w:szCs w:val="24"/>
        </w:rPr>
        <w:t xml:space="preserve"> and substituting the following item:</w:t>
      </w:r>
      <w:r w:rsidR="00CA2161" w:rsidRPr="00C172AD">
        <w:rPr>
          <w:rStyle w:val="Bodytext6NotBold"/>
          <w:spacing w:val="0"/>
          <w:sz w:val="24"/>
          <w:szCs w:val="24"/>
        </w:rPr>
        <w:t>—</w:t>
      </w:r>
    </w:p>
    <w:p w14:paraId="0FE9D664" w14:textId="77777777" w:rsidR="00F74406" w:rsidRPr="00C172AD" w:rsidRDefault="00CA2161" w:rsidP="00B0476C">
      <w:pPr>
        <w:pStyle w:val="Bodytext22"/>
        <w:spacing w:line="240" w:lineRule="auto"/>
        <w:ind w:firstLine="810"/>
        <w:rPr>
          <w:sz w:val="24"/>
          <w:szCs w:val="24"/>
        </w:rPr>
      </w:pPr>
      <w:r w:rsidRPr="00C172AD">
        <w:rPr>
          <w:rStyle w:val="Bodytext2MalgunGothic"/>
          <w:rFonts w:ascii="Times New Roman" w:hAnsi="Times New Roman" w:cs="Times New Roman"/>
          <w:sz w:val="24"/>
          <w:szCs w:val="24"/>
        </w:rPr>
        <w:t>“</w:t>
      </w:r>
      <w:r w:rsidRPr="00C172AD">
        <w:rPr>
          <w:rStyle w:val="Bodytext275pt0"/>
          <w:sz w:val="24"/>
          <w:szCs w:val="24"/>
        </w:rPr>
        <w:t>239</w:t>
      </w:r>
      <w:r w:rsidR="00B212CC" w:rsidRPr="00C172AD">
        <w:rPr>
          <w:rStyle w:val="Bodytext5SmallCaps"/>
          <w:sz w:val="24"/>
          <w:szCs w:val="24"/>
        </w:rPr>
        <w:t>aa</w:t>
      </w:r>
      <w:r w:rsidR="00B212CC">
        <w:rPr>
          <w:rStyle w:val="Bodytext255pt"/>
          <w:sz w:val="24"/>
          <w:szCs w:val="24"/>
        </w:rPr>
        <w:t xml:space="preserve"> </w:t>
      </w:r>
      <w:r w:rsidRPr="00C172AD">
        <w:rPr>
          <w:rStyle w:val="Bodytext2MalgunGothic"/>
          <w:rFonts w:ascii="Times New Roman" w:hAnsi="Times New Roman" w:cs="Times New Roman"/>
          <w:sz w:val="24"/>
          <w:szCs w:val="24"/>
        </w:rPr>
        <w:t xml:space="preserve">| </w:t>
      </w:r>
      <w:r w:rsidRPr="00C172AD">
        <w:rPr>
          <w:rStyle w:val="Bodytext275pt1"/>
          <w:sz w:val="24"/>
          <w:szCs w:val="24"/>
        </w:rPr>
        <w:t xml:space="preserve">Darwin-Port Hedland| </w:t>
      </w:r>
      <w:r w:rsidRPr="00C172AD">
        <w:rPr>
          <w:rStyle w:val="Bodytext295pt"/>
          <w:spacing w:val="0"/>
          <w:sz w:val="24"/>
          <w:szCs w:val="24"/>
        </w:rPr>
        <w:t>5”; and</w:t>
      </w:r>
    </w:p>
    <w:p w14:paraId="18D26CAF" w14:textId="50603FA1" w:rsidR="00F74406" w:rsidRPr="00C172AD" w:rsidRDefault="00087E79" w:rsidP="00B0476C">
      <w:pPr>
        <w:pStyle w:val="BodyText21"/>
        <w:spacing w:after="60" w:line="240" w:lineRule="auto"/>
        <w:ind w:firstLine="274"/>
        <w:jc w:val="both"/>
        <w:rPr>
          <w:sz w:val="24"/>
          <w:szCs w:val="24"/>
        </w:rPr>
      </w:pPr>
      <w:bookmarkStart w:id="1" w:name="bookmark1"/>
      <w:r w:rsidRPr="00C172AD">
        <w:rPr>
          <w:sz w:val="24"/>
          <w:szCs w:val="24"/>
        </w:rPr>
        <w:t xml:space="preserve">(d) </w:t>
      </w:r>
      <w:r w:rsidR="00CA2161" w:rsidRPr="00C172AD">
        <w:rPr>
          <w:sz w:val="24"/>
          <w:szCs w:val="24"/>
        </w:rPr>
        <w:t>by omitting items 257, 259, 261, 263, 290</w:t>
      </w:r>
      <w:r w:rsidR="00CA2161" w:rsidRPr="00FC41B4">
        <w:rPr>
          <w:smallCaps/>
          <w:sz w:val="24"/>
          <w:szCs w:val="24"/>
        </w:rPr>
        <w:t>a</w:t>
      </w:r>
      <w:r w:rsidR="00CA2161" w:rsidRPr="00C172AD">
        <w:rPr>
          <w:sz w:val="24"/>
          <w:szCs w:val="24"/>
        </w:rPr>
        <w:t>, 305, 307, 309 and 310.</w:t>
      </w:r>
      <w:bookmarkEnd w:id="1"/>
    </w:p>
    <w:p w14:paraId="5BA02B72" w14:textId="77777777" w:rsidR="00F74406" w:rsidRPr="00C172AD" w:rsidRDefault="00CA2161" w:rsidP="00C172AD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72AD">
        <w:rPr>
          <w:rFonts w:ascii="Times New Roman" w:hAnsi="Times New Roman" w:cs="Times New Roman"/>
          <w:b/>
          <w:sz w:val="20"/>
          <w:szCs w:val="20"/>
        </w:rPr>
        <w:t>Application of amendment.</w:t>
      </w:r>
    </w:p>
    <w:p w14:paraId="2AAFA542" w14:textId="77777777" w:rsidR="00F74406" w:rsidRPr="00C172AD" w:rsidRDefault="00087E79" w:rsidP="00B0476C">
      <w:pPr>
        <w:pStyle w:val="BodyText21"/>
        <w:tabs>
          <w:tab w:val="left" w:pos="630"/>
        </w:tabs>
        <w:spacing w:line="240" w:lineRule="auto"/>
        <w:ind w:firstLine="270"/>
        <w:jc w:val="both"/>
        <w:rPr>
          <w:sz w:val="24"/>
          <w:szCs w:val="24"/>
        </w:rPr>
      </w:pPr>
      <w:r w:rsidRPr="00B0476C">
        <w:rPr>
          <w:rStyle w:val="BodyText1"/>
          <w:b/>
          <w:sz w:val="24"/>
          <w:szCs w:val="24"/>
        </w:rPr>
        <w:t>6.</w:t>
      </w:r>
      <w:r w:rsidR="00B0476C">
        <w:rPr>
          <w:rStyle w:val="BodyText1"/>
          <w:b/>
          <w:sz w:val="24"/>
          <w:szCs w:val="24"/>
        </w:rPr>
        <w:tab/>
      </w:r>
      <w:r w:rsidR="00CA2161" w:rsidRPr="00C172AD">
        <w:rPr>
          <w:rStyle w:val="BodyText1"/>
          <w:sz w:val="24"/>
          <w:szCs w:val="24"/>
        </w:rPr>
        <w:t>The amendment of the Principal Act made by section 4 applies—</w:t>
      </w:r>
    </w:p>
    <w:p w14:paraId="2F639D95" w14:textId="77777777" w:rsidR="00F74406" w:rsidRPr="00C172AD" w:rsidRDefault="00087E79" w:rsidP="00B0476C">
      <w:pPr>
        <w:pStyle w:val="BodyText21"/>
        <w:spacing w:line="240" w:lineRule="auto"/>
        <w:ind w:left="594" w:hanging="324"/>
        <w:jc w:val="both"/>
        <w:rPr>
          <w:sz w:val="24"/>
          <w:szCs w:val="24"/>
        </w:rPr>
      </w:pPr>
      <w:r w:rsidRPr="00C172AD">
        <w:rPr>
          <w:rStyle w:val="BodyText1"/>
          <w:sz w:val="24"/>
          <w:szCs w:val="24"/>
        </w:rPr>
        <w:t xml:space="preserve">(a) </w:t>
      </w:r>
      <w:r w:rsidR="00CA2161" w:rsidRPr="00C172AD">
        <w:rPr>
          <w:rStyle w:val="BodyText1"/>
          <w:sz w:val="24"/>
          <w:szCs w:val="24"/>
        </w:rPr>
        <w:t>in relation to a charge payable in respect of a flight completed on or after 1</w:t>
      </w:r>
      <w:r w:rsidR="00CA2161" w:rsidRPr="00C172AD">
        <w:rPr>
          <w:rStyle w:val="Bodytext95pt"/>
          <w:spacing w:val="0"/>
          <w:sz w:val="24"/>
          <w:szCs w:val="24"/>
        </w:rPr>
        <w:t xml:space="preserve"> </w:t>
      </w:r>
      <w:r w:rsidR="00CA2161" w:rsidRPr="00C172AD">
        <w:rPr>
          <w:rStyle w:val="BodyText1"/>
          <w:sz w:val="24"/>
          <w:szCs w:val="24"/>
        </w:rPr>
        <w:t xml:space="preserve">December </w:t>
      </w:r>
      <w:r w:rsidR="00CA2161" w:rsidRPr="00C172AD">
        <w:rPr>
          <w:rStyle w:val="Bodytext95pt"/>
          <w:spacing w:val="0"/>
          <w:sz w:val="24"/>
          <w:szCs w:val="24"/>
        </w:rPr>
        <w:t xml:space="preserve">1975 </w:t>
      </w:r>
      <w:r w:rsidR="00CA2161" w:rsidRPr="00C172AD">
        <w:rPr>
          <w:rStyle w:val="BodyText1"/>
          <w:sz w:val="24"/>
          <w:szCs w:val="24"/>
        </w:rPr>
        <w:t>or a take-off or landing on or after that date; and</w:t>
      </w:r>
    </w:p>
    <w:p w14:paraId="1BA13758" w14:textId="77777777" w:rsidR="00F74406" w:rsidRPr="00C172AD" w:rsidRDefault="00087E79" w:rsidP="00B0476C">
      <w:pPr>
        <w:pStyle w:val="BodyText21"/>
        <w:spacing w:line="240" w:lineRule="auto"/>
        <w:ind w:left="594" w:hanging="324"/>
        <w:jc w:val="both"/>
        <w:rPr>
          <w:sz w:val="24"/>
          <w:szCs w:val="24"/>
        </w:rPr>
      </w:pPr>
      <w:r w:rsidRPr="00C172AD">
        <w:rPr>
          <w:rStyle w:val="BodyText1"/>
          <w:sz w:val="24"/>
          <w:szCs w:val="24"/>
        </w:rPr>
        <w:t xml:space="preserve">(b) </w:t>
      </w:r>
      <w:r w:rsidR="00CA2161" w:rsidRPr="00C172AD">
        <w:rPr>
          <w:rStyle w:val="BodyText1"/>
          <w:sz w:val="24"/>
          <w:szCs w:val="24"/>
        </w:rPr>
        <w:t>in relation to a charge—</w:t>
      </w:r>
    </w:p>
    <w:p w14:paraId="12D4F91F" w14:textId="77777777" w:rsidR="00F74406" w:rsidRPr="00C172AD" w:rsidRDefault="00087E79" w:rsidP="00B0476C">
      <w:pPr>
        <w:pStyle w:val="BodyText21"/>
        <w:spacing w:line="240" w:lineRule="auto"/>
        <w:ind w:left="1278" w:hanging="288"/>
        <w:jc w:val="both"/>
        <w:rPr>
          <w:sz w:val="24"/>
          <w:szCs w:val="24"/>
        </w:rPr>
      </w:pPr>
      <w:r w:rsidRPr="00C172AD">
        <w:rPr>
          <w:rStyle w:val="BodyText1"/>
          <w:sz w:val="24"/>
          <w:szCs w:val="24"/>
        </w:rPr>
        <w:t>(</w:t>
      </w:r>
      <w:proofErr w:type="spellStart"/>
      <w:r w:rsidRPr="00C172AD">
        <w:rPr>
          <w:rStyle w:val="BodyText1"/>
          <w:sz w:val="24"/>
          <w:szCs w:val="24"/>
        </w:rPr>
        <w:t>i</w:t>
      </w:r>
      <w:proofErr w:type="spellEnd"/>
      <w:r w:rsidRPr="00C172AD">
        <w:rPr>
          <w:rStyle w:val="BodyText1"/>
          <w:sz w:val="24"/>
          <w:szCs w:val="24"/>
        </w:rPr>
        <w:t xml:space="preserve">) </w:t>
      </w:r>
      <w:r w:rsidR="00CA2161" w:rsidRPr="00C172AD">
        <w:rPr>
          <w:rStyle w:val="BodyText1"/>
          <w:sz w:val="24"/>
          <w:szCs w:val="24"/>
        </w:rPr>
        <w:t>payable in respect of a year of registration of an aircraft commencing on or after that date; or</w:t>
      </w:r>
    </w:p>
    <w:p w14:paraId="111FE3B3" w14:textId="77777777" w:rsidR="00FC41B4" w:rsidRDefault="00FC41B4">
      <w:pPr>
        <w:rPr>
          <w:rStyle w:val="BodyText1"/>
          <w:rFonts w:eastAsia="Courier New"/>
          <w:sz w:val="24"/>
          <w:szCs w:val="24"/>
        </w:rPr>
      </w:pPr>
      <w:r>
        <w:rPr>
          <w:rStyle w:val="BodyText1"/>
          <w:rFonts w:eastAsia="Courier New"/>
          <w:sz w:val="24"/>
          <w:szCs w:val="24"/>
        </w:rPr>
        <w:br w:type="page"/>
      </w:r>
      <w:bookmarkStart w:id="2" w:name="_GoBack"/>
      <w:bookmarkEnd w:id="2"/>
    </w:p>
    <w:p w14:paraId="0F65DF0D" w14:textId="2524D584" w:rsidR="00F74406" w:rsidRPr="00C172AD" w:rsidRDefault="00087E79" w:rsidP="00B0476C">
      <w:pPr>
        <w:pStyle w:val="BodyText21"/>
        <w:spacing w:line="240" w:lineRule="auto"/>
        <w:ind w:left="1278" w:hanging="351"/>
        <w:jc w:val="both"/>
        <w:rPr>
          <w:sz w:val="24"/>
          <w:szCs w:val="24"/>
        </w:rPr>
      </w:pPr>
      <w:r w:rsidRPr="00C172AD">
        <w:rPr>
          <w:rStyle w:val="BodyText1"/>
          <w:sz w:val="24"/>
          <w:szCs w:val="24"/>
        </w:rPr>
        <w:lastRenderedPageBreak/>
        <w:t xml:space="preserve">(ii) </w:t>
      </w:r>
      <w:r w:rsidR="00CA2161" w:rsidRPr="00C172AD">
        <w:rPr>
          <w:rStyle w:val="BodyText1"/>
          <w:sz w:val="24"/>
          <w:szCs w:val="24"/>
        </w:rPr>
        <w:t>payable by the owner of a foreign aircraft in respect of a week or part of a week commencing on or after that date,</w:t>
      </w:r>
    </w:p>
    <w:p w14:paraId="522A9F75" w14:textId="77777777" w:rsidR="00F74406" w:rsidRDefault="00CA2161" w:rsidP="00C172AD">
      <w:pPr>
        <w:pStyle w:val="BodyText21"/>
        <w:spacing w:line="240" w:lineRule="auto"/>
        <w:ind w:firstLine="0"/>
        <w:jc w:val="both"/>
        <w:rPr>
          <w:rStyle w:val="BodyText1"/>
          <w:sz w:val="24"/>
          <w:szCs w:val="24"/>
        </w:rPr>
      </w:pPr>
      <w:r w:rsidRPr="00C172AD">
        <w:rPr>
          <w:rStyle w:val="BodyText1"/>
          <w:sz w:val="24"/>
          <w:szCs w:val="24"/>
        </w:rPr>
        <w:t>as if this Act had come into operation on that date.</w:t>
      </w:r>
    </w:p>
    <w:p w14:paraId="48342C03" w14:textId="77777777" w:rsidR="00B0476C" w:rsidRPr="00C172AD" w:rsidRDefault="00B0476C" w:rsidP="00B0476C">
      <w:pPr>
        <w:pStyle w:val="BodyText21"/>
        <w:pBdr>
          <w:bottom w:val="single" w:sz="12" w:space="1" w:color="auto"/>
        </w:pBdr>
        <w:spacing w:after="160" w:line="240" w:lineRule="auto"/>
        <w:ind w:firstLine="0"/>
        <w:jc w:val="both"/>
        <w:rPr>
          <w:sz w:val="24"/>
          <w:szCs w:val="24"/>
        </w:rPr>
      </w:pPr>
    </w:p>
    <w:sectPr w:rsidR="00B0476C" w:rsidRPr="00C172AD" w:rsidSect="00416011">
      <w:headerReference w:type="default" r:id="rId8"/>
      <w:type w:val="continuous"/>
      <w:pgSz w:w="11909" w:h="18000" w:code="9"/>
      <w:pgMar w:top="1080" w:right="1080" w:bottom="1080" w:left="1080" w:header="54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05C688" w15:done="0"/>
  <w15:commentEx w15:paraId="3A5A845B" w15:done="0"/>
  <w15:commentEx w15:paraId="4BA12335" w15:done="0"/>
  <w15:commentEx w15:paraId="6D22D6F0" w15:done="0"/>
  <w15:commentEx w15:paraId="008FCF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05C688" w16cid:durableId="1F55BB32"/>
  <w16cid:commentId w16cid:paraId="3A5A845B" w16cid:durableId="1F55BB47"/>
  <w16cid:commentId w16cid:paraId="4BA12335" w16cid:durableId="1F55BB77"/>
  <w16cid:commentId w16cid:paraId="6D22D6F0" w16cid:durableId="1F55BB8A"/>
  <w16cid:commentId w16cid:paraId="008FCFAF" w16cid:durableId="1F55BB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4F935" w14:textId="77777777" w:rsidR="002B3CCB" w:rsidRDefault="002B3CCB">
      <w:r>
        <w:separator/>
      </w:r>
    </w:p>
  </w:endnote>
  <w:endnote w:type="continuationSeparator" w:id="0">
    <w:p w14:paraId="0CDEF2EE" w14:textId="77777777" w:rsidR="002B3CCB" w:rsidRDefault="002B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27CCA" w14:textId="77777777" w:rsidR="002B3CCB" w:rsidRDefault="002B3CCB">
      <w:r>
        <w:separator/>
      </w:r>
    </w:p>
  </w:footnote>
  <w:footnote w:type="continuationSeparator" w:id="0">
    <w:p w14:paraId="281FBE48" w14:textId="77777777" w:rsidR="002B3CCB" w:rsidRDefault="002B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06DF0" w14:textId="77777777" w:rsidR="00B835E4" w:rsidRPr="00B835E4" w:rsidRDefault="00B835E4" w:rsidP="00B835E4">
    <w:pPr>
      <w:pStyle w:val="Header"/>
      <w:tabs>
        <w:tab w:val="clear" w:pos="9026"/>
        <w:tab w:val="right" w:pos="9180"/>
      </w:tabs>
      <w:rPr>
        <w:rFonts w:ascii="Times New Roman" w:hAnsi="Times New Roman" w:cs="Times New Roman"/>
        <w:sz w:val="22"/>
        <w:szCs w:val="22"/>
        <w:lang w:val="en-IN"/>
      </w:rPr>
    </w:pPr>
    <w:r w:rsidRPr="00B835E4">
      <w:rPr>
        <w:rFonts w:ascii="Times New Roman" w:hAnsi="Times New Roman" w:cs="Times New Roman"/>
        <w:sz w:val="22"/>
        <w:szCs w:val="22"/>
        <w:lang w:val="en-IN"/>
      </w:rPr>
      <w:t>No. 5</w:t>
    </w:r>
    <w:r w:rsidRPr="00B835E4">
      <w:rPr>
        <w:rFonts w:ascii="Times New Roman" w:hAnsi="Times New Roman" w:cs="Times New Roman"/>
        <w:sz w:val="22"/>
        <w:szCs w:val="22"/>
        <w:lang w:val="en-IN"/>
      </w:rPr>
      <w:tab/>
    </w:r>
    <w:r w:rsidRPr="00B835E4">
      <w:rPr>
        <w:rFonts w:ascii="Times New Roman" w:hAnsi="Times New Roman" w:cs="Times New Roman"/>
        <w:i/>
        <w:sz w:val="22"/>
        <w:szCs w:val="22"/>
        <w:lang w:val="en-IN"/>
      </w:rPr>
      <w:t>Air Navigation (Charges)</w:t>
    </w:r>
    <w:r w:rsidRPr="00B835E4">
      <w:rPr>
        <w:rFonts w:ascii="Times New Roman" w:hAnsi="Times New Roman" w:cs="Times New Roman"/>
        <w:sz w:val="22"/>
        <w:szCs w:val="22"/>
        <w:lang w:val="en-IN"/>
      </w:rPr>
      <w:tab/>
      <w:t>1976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407"/>
    <w:multiLevelType w:val="multilevel"/>
    <w:tmpl w:val="3BFCC00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A50FD"/>
    <w:multiLevelType w:val="multilevel"/>
    <w:tmpl w:val="8B30407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8C3657"/>
    <w:multiLevelType w:val="multilevel"/>
    <w:tmpl w:val="BA1C5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97E6C"/>
    <w:multiLevelType w:val="multilevel"/>
    <w:tmpl w:val="8BF846B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F60076"/>
    <w:multiLevelType w:val="multilevel"/>
    <w:tmpl w:val="D92C0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5F5A"/>
    <w:multiLevelType w:val="multilevel"/>
    <w:tmpl w:val="7C5E93DA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74406"/>
    <w:rsid w:val="00087E79"/>
    <w:rsid w:val="001E7F65"/>
    <w:rsid w:val="002B3CCB"/>
    <w:rsid w:val="00416011"/>
    <w:rsid w:val="005B7D43"/>
    <w:rsid w:val="00A33097"/>
    <w:rsid w:val="00B0476C"/>
    <w:rsid w:val="00B212CC"/>
    <w:rsid w:val="00B835E4"/>
    <w:rsid w:val="00C172AD"/>
    <w:rsid w:val="00CA2161"/>
    <w:rsid w:val="00D15D82"/>
    <w:rsid w:val="00DA3F44"/>
    <w:rsid w:val="00F74406"/>
    <w:rsid w:val="00FC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7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5">
    <w:name w:val="Body text (5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75pt">
    <w:name w:val="Body text (2) + 7.5 pt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DefaultParagraphFont"/>
    <w:link w:val="Heading1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75pt">
    <w:name w:val="Body text + 7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50">
    <w:name w:val="Body text (5)_"/>
    <w:basedOn w:val="DefaultParagraphFont"/>
    <w:link w:val="Bodytext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SmallCaps">
    <w:name w:val="Body text (5) + Small Caps"/>
    <w:basedOn w:val="Bodytext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6NotBold">
    <w:name w:val="Body text (6) + Not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/>
    </w:rPr>
  </w:style>
  <w:style w:type="character" w:customStyle="1" w:styleId="Bodytext20">
    <w:name w:val="Body text (2)_"/>
    <w:basedOn w:val="DefaultParagraphFont"/>
    <w:link w:val="Bodytext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MalgunGothic">
    <w:name w:val="Body text (2) + Malgun Gothic"/>
    <w:aliases w:val="6 pt"/>
    <w:basedOn w:val="Bodytext2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Bodytext275pt0">
    <w:name w:val="Body text (2) + 7.5 pt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255pt">
    <w:name w:val="Body text (2) + 5.5 pt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275pt1">
    <w:name w:val="Body text (2) + 7.5 pt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295pt">
    <w:name w:val="Body text (2) + 9.5 pt"/>
    <w:aliases w:val="Spacing 0 pt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95pt">
    <w:name w:val="Heading #2 + 9.5 pt"/>
    <w:aliases w:val="Spacing 0 pt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/>
    </w:rPr>
  </w:style>
  <w:style w:type="character" w:customStyle="1" w:styleId="Heading295pt0">
    <w:name w:val="Heading #2 + 9.5 pt"/>
    <w:aliases w:val="Small Caps,Spacing 0 pt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lang w:val="en-US"/>
    </w:rPr>
  </w:style>
  <w:style w:type="character" w:customStyle="1" w:styleId="Bodytext95pt">
    <w:name w:val="Body text + 9.5 pt"/>
    <w:aliases w:val="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/>
    </w:rPr>
  </w:style>
  <w:style w:type="paragraph" w:customStyle="1" w:styleId="Bodytext51">
    <w:name w:val="Body text (5)"/>
    <w:basedOn w:val="Normal"/>
    <w:link w:val="Bodytext50"/>
    <w:pPr>
      <w:spacing w:line="0" w:lineRule="atLeast"/>
      <w:ind w:hanging="3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2">
    <w:name w:val="Body text (2)"/>
    <w:basedOn w:val="Normal"/>
    <w:link w:val="Bodytext20"/>
    <w:pPr>
      <w:spacing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pacing w:line="518" w:lineRule="exact"/>
      <w:jc w:val="center"/>
      <w:outlineLvl w:val="0"/>
    </w:pPr>
    <w:rPr>
      <w:rFonts w:ascii="Malgun Gothic" w:eastAsia="Malgun Gothic" w:hAnsi="Malgun Gothic" w:cs="Malgun Gothic"/>
      <w:b/>
      <w:bCs/>
      <w:sz w:val="27"/>
      <w:szCs w:val="27"/>
    </w:rPr>
  </w:style>
  <w:style w:type="paragraph" w:customStyle="1" w:styleId="BodyText21">
    <w:name w:val="Body Text2"/>
    <w:basedOn w:val="Normal"/>
    <w:link w:val="Bodytext"/>
    <w:pPr>
      <w:spacing w:line="0" w:lineRule="atLeast"/>
      <w:ind w:hanging="5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60">
    <w:name w:val="Body text (6)"/>
    <w:basedOn w:val="Normal"/>
    <w:link w:val="Bodytext6"/>
    <w:pPr>
      <w:spacing w:line="0" w:lineRule="atLeast"/>
      <w:ind w:hanging="580"/>
      <w:jc w:val="both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Heading20">
    <w:name w:val="Heading #2"/>
    <w:basedOn w:val="Normal"/>
    <w:link w:val="Heading2"/>
    <w:pPr>
      <w:spacing w:line="240" w:lineRule="exact"/>
      <w:ind w:hanging="560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3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5E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3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5E4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33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0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09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097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0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097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FC41B4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2018-09-25T22:02:00Z</dcterms:created>
  <dcterms:modified xsi:type="dcterms:W3CDTF">2019-07-24T03:46:00Z</dcterms:modified>
</cp:coreProperties>
</file>