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859D6" w14:textId="0CABAA80" w:rsidR="00A01778" w:rsidRPr="00190FC3" w:rsidRDefault="00124864" w:rsidP="00FD7ED2">
      <w:pPr>
        <w:spacing w:after="1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190FC3">
        <w:rPr>
          <w:rFonts w:ascii="Times New Roman" w:hAnsi="Times New Roman" w:cs="Times New Roman"/>
          <w:b/>
          <w:sz w:val="32"/>
          <w:szCs w:val="32"/>
        </w:rPr>
        <w:t>AUSTRALIAN SECURITY INTELLIGENCE ORGANIZATION ACT 1976</w:t>
      </w:r>
      <w:bookmarkEnd w:id="0"/>
    </w:p>
    <w:p w14:paraId="0AAB5CFC" w14:textId="77777777" w:rsidR="00A01778" w:rsidRPr="00190FC3" w:rsidRDefault="00124864" w:rsidP="00FD7ED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190FC3">
        <w:rPr>
          <w:rFonts w:ascii="Times New Roman" w:hAnsi="Times New Roman" w:cs="Times New Roman"/>
          <w:b/>
          <w:sz w:val="28"/>
          <w:szCs w:val="28"/>
        </w:rPr>
        <w:t>No. 2 of 1976</w:t>
      </w:r>
      <w:bookmarkEnd w:id="1"/>
    </w:p>
    <w:p w14:paraId="6B1AD4EF" w14:textId="77777777" w:rsidR="00A01778" w:rsidRPr="00190FC3" w:rsidRDefault="00124864" w:rsidP="00FD7ED2">
      <w:pPr>
        <w:pStyle w:val="BodyText2"/>
        <w:spacing w:after="240" w:line="240" w:lineRule="auto"/>
        <w:ind w:firstLine="0"/>
        <w:rPr>
          <w:sz w:val="24"/>
          <w:szCs w:val="24"/>
        </w:rPr>
      </w:pPr>
      <w:r w:rsidRPr="00190FC3">
        <w:rPr>
          <w:sz w:val="24"/>
          <w:szCs w:val="24"/>
        </w:rPr>
        <w:t xml:space="preserve">An Act to amend the </w:t>
      </w:r>
      <w:r w:rsidRPr="00190FC3">
        <w:rPr>
          <w:rStyle w:val="BodytextItalic"/>
          <w:sz w:val="24"/>
          <w:szCs w:val="24"/>
        </w:rPr>
        <w:t xml:space="preserve">Australian Security Intelligence Organization Act </w:t>
      </w:r>
      <w:r w:rsidRPr="00190FC3">
        <w:rPr>
          <w:sz w:val="24"/>
          <w:szCs w:val="24"/>
        </w:rPr>
        <w:t>1956-1973 in relation to the office of Director-General of Security, and with respect to certain formal matters.</w:t>
      </w:r>
    </w:p>
    <w:p w14:paraId="7F67C729" w14:textId="77777777" w:rsidR="00A01778" w:rsidRPr="00190FC3" w:rsidRDefault="00124864" w:rsidP="00FD7ED2">
      <w:pPr>
        <w:pStyle w:val="BodyText2"/>
        <w:spacing w:line="240" w:lineRule="auto"/>
        <w:ind w:firstLine="270"/>
        <w:rPr>
          <w:sz w:val="24"/>
          <w:szCs w:val="24"/>
        </w:rPr>
      </w:pPr>
      <w:r w:rsidRPr="00190FC3">
        <w:rPr>
          <w:sz w:val="24"/>
          <w:szCs w:val="24"/>
        </w:rPr>
        <w:t>BE IT ENACTED by the Queen, and the Senate and House of Representatives of the Commonwealth of Australia, as follows:—</w:t>
      </w:r>
    </w:p>
    <w:p w14:paraId="4B50774A" w14:textId="77777777" w:rsidR="00A01778" w:rsidRPr="00190FC3" w:rsidRDefault="00124864" w:rsidP="00FD7ED2">
      <w:pPr>
        <w:pStyle w:val="Bodytext42"/>
        <w:spacing w:before="120" w:after="60" w:line="240" w:lineRule="auto"/>
        <w:ind w:firstLine="0"/>
        <w:rPr>
          <w:b/>
          <w:sz w:val="20"/>
          <w:szCs w:val="20"/>
        </w:rPr>
      </w:pPr>
      <w:r w:rsidRPr="00190FC3">
        <w:rPr>
          <w:rStyle w:val="Bodytext4"/>
          <w:b/>
          <w:sz w:val="20"/>
          <w:szCs w:val="20"/>
        </w:rPr>
        <w:t>Short title and citation.</w:t>
      </w:r>
    </w:p>
    <w:p w14:paraId="68FD3469" w14:textId="540D2AE4" w:rsidR="00A01778" w:rsidRPr="00190FC3" w:rsidRDefault="00CF6B55" w:rsidP="00FD7ED2">
      <w:pPr>
        <w:pStyle w:val="Bodytext21"/>
        <w:spacing w:after="60" w:line="240" w:lineRule="auto"/>
        <w:ind w:firstLine="274"/>
        <w:rPr>
          <w:sz w:val="24"/>
          <w:szCs w:val="24"/>
        </w:rPr>
      </w:pPr>
      <w:r w:rsidRPr="00190FC3">
        <w:rPr>
          <w:rStyle w:val="Bodytext2NotItalic"/>
          <w:b/>
          <w:sz w:val="24"/>
          <w:szCs w:val="24"/>
        </w:rPr>
        <w:t>1.</w:t>
      </w:r>
      <w:r w:rsidRPr="00190FC3">
        <w:rPr>
          <w:rStyle w:val="Bodytext2NotItalic"/>
          <w:sz w:val="24"/>
          <w:szCs w:val="24"/>
        </w:rPr>
        <w:t xml:space="preserve"> </w:t>
      </w:r>
      <w:r w:rsidR="00124864" w:rsidRPr="00190FC3">
        <w:rPr>
          <w:rStyle w:val="Bodytext2NotItalic"/>
          <w:sz w:val="24"/>
          <w:szCs w:val="24"/>
        </w:rPr>
        <w:t xml:space="preserve">(1) This Act may be cited as the </w:t>
      </w:r>
      <w:r w:rsidR="00124864" w:rsidRPr="00190FC3">
        <w:rPr>
          <w:sz w:val="24"/>
          <w:szCs w:val="24"/>
        </w:rPr>
        <w:t>Australian Security Intelligence Organization Act</w:t>
      </w:r>
      <w:r w:rsidR="00124864" w:rsidRPr="00190FC3">
        <w:rPr>
          <w:rStyle w:val="Bodytext2NotItalic"/>
          <w:sz w:val="24"/>
          <w:szCs w:val="24"/>
        </w:rPr>
        <w:t xml:space="preserve"> 1976.</w:t>
      </w:r>
    </w:p>
    <w:p w14:paraId="54D09AE0" w14:textId="1833597A" w:rsidR="00A01778" w:rsidRPr="00190FC3" w:rsidRDefault="00CF6B55" w:rsidP="00FD7ED2">
      <w:pPr>
        <w:pStyle w:val="BodyText2"/>
        <w:spacing w:after="60" w:line="240" w:lineRule="auto"/>
        <w:ind w:firstLine="270"/>
        <w:rPr>
          <w:sz w:val="24"/>
          <w:szCs w:val="24"/>
        </w:rPr>
      </w:pPr>
      <w:r w:rsidRPr="00190FC3">
        <w:rPr>
          <w:sz w:val="24"/>
          <w:szCs w:val="24"/>
        </w:rPr>
        <w:t xml:space="preserve">(2) </w:t>
      </w:r>
      <w:r w:rsidR="00124864" w:rsidRPr="00190FC3">
        <w:rPr>
          <w:sz w:val="24"/>
          <w:szCs w:val="24"/>
        </w:rPr>
        <w:t xml:space="preserve">The </w:t>
      </w:r>
      <w:r w:rsidR="00124864" w:rsidRPr="00190FC3">
        <w:rPr>
          <w:rStyle w:val="BodytextItalic"/>
          <w:sz w:val="24"/>
          <w:szCs w:val="24"/>
        </w:rPr>
        <w:t xml:space="preserve">Australian Security Intelligence Organization Act </w:t>
      </w:r>
      <w:r w:rsidR="00124864" w:rsidRPr="00950F33">
        <w:rPr>
          <w:rStyle w:val="BodytextItalic"/>
          <w:i w:val="0"/>
          <w:sz w:val="24"/>
          <w:szCs w:val="24"/>
        </w:rPr>
        <w:t>19</w:t>
      </w:r>
      <w:r w:rsidR="00124864" w:rsidRPr="00190FC3">
        <w:rPr>
          <w:sz w:val="24"/>
          <w:szCs w:val="24"/>
        </w:rPr>
        <w:t>56-1973 is in this Act referred to as the Principal Act.</w:t>
      </w:r>
    </w:p>
    <w:p w14:paraId="61D27171" w14:textId="77777777" w:rsidR="00A01778" w:rsidRPr="00190FC3" w:rsidRDefault="00CF6B55" w:rsidP="00FD7ED2">
      <w:pPr>
        <w:pStyle w:val="BodyText2"/>
        <w:spacing w:line="240" w:lineRule="auto"/>
        <w:ind w:firstLine="270"/>
        <w:rPr>
          <w:sz w:val="24"/>
          <w:szCs w:val="24"/>
        </w:rPr>
      </w:pPr>
      <w:r w:rsidRPr="00190FC3">
        <w:rPr>
          <w:sz w:val="24"/>
          <w:szCs w:val="24"/>
        </w:rPr>
        <w:t xml:space="preserve">(3) </w:t>
      </w:r>
      <w:r w:rsidR="00124864" w:rsidRPr="00190FC3">
        <w:rPr>
          <w:sz w:val="24"/>
          <w:szCs w:val="24"/>
        </w:rPr>
        <w:t xml:space="preserve">The Principal Act, as amended by this Act, may be cited as the </w:t>
      </w:r>
      <w:r w:rsidR="00124864" w:rsidRPr="00190FC3">
        <w:rPr>
          <w:rStyle w:val="BodytextItalic"/>
          <w:sz w:val="24"/>
          <w:szCs w:val="24"/>
        </w:rPr>
        <w:t>Australian Security Intelligence Organization Act</w:t>
      </w:r>
      <w:r w:rsidR="00124864" w:rsidRPr="00190FC3">
        <w:rPr>
          <w:sz w:val="24"/>
          <w:szCs w:val="24"/>
        </w:rPr>
        <w:t xml:space="preserve"> 1956-1976.</w:t>
      </w:r>
    </w:p>
    <w:p w14:paraId="6156F5BC" w14:textId="77777777" w:rsidR="00A01778" w:rsidRPr="00190FC3" w:rsidRDefault="00CF6B55" w:rsidP="00FD7ED2">
      <w:pPr>
        <w:pStyle w:val="Bodytext42"/>
        <w:spacing w:before="120" w:after="60" w:line="240" w:lineRule="auto"/>
        <w:ind w:firstLine="0"/>
        <w:rPr>
          <w:b/>
          <w:sz w:val="20"/>
          <w:szCs w:val="20"/>
        </w:rPr>
      </w:pPr>
      <w:r w:rsidRPr="00190FC3">
        <w:rPr>
          <w:rStyle w:val="Bodytext4"/>
          <w:b/>
          <w:sz w:val="20"/>
          <w:szCs w:val="20"/>
        </w:rPr>
        <w:t>Commence</w:t>
      </w:r>
      <w:r w:rsidR="00124864" w:rsidRPr="00190FC3">
        <w:rPr>
          <w:rStyle w:val="Bodytext4"/>
          <w:b/>
          <w:sz w:val="20"/>
          <w:szCs w:val="20"/>
        </w:rPr>
        <w:t>ment.</w:t>
      </w:r>
    </w:p>
    <w:p w14:paraId="601E0689" w14:textId="04FC5F56" w:rsidR="00A01778" w:rsidRPr="00190FC3" w:rsidRDefault="00CF6B55" w:rsidP="00FD7ED2">
      <w:pPr>
        <w:pStyle w:val="BodyText2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190FC3">
        <w:rPr>
          <w:b/>
          <w:sz w:val="24"/>
          <w:szCs w:val="24"/>
        </w:rPr>
        <w:t>2.</w:t>
      </w:r>
      <w:r w:rsidR="00FD7ED2" w:rsidRPr="00190FC3">
        <w:rPr>
          <w:b/>
          <w:sz w:val="24"/>
          <w:szCs w:val="24"/>
        </w:rPr>
        <w:tab/>
      </w:r>
      <w:r w:rsidR="00124864" w:rsidRPr="00190FC3">
        <w:rPr>
          <w:sz w:val="24"/>
          <w:szCs w:val="24"/>
        </w:rPr>
        <w:t>This Act shall come into operation on the day on which it receives the Royal Assent.</w:t>
      </w:r>
    </w:p>
    <w:p w14:paraId="7AED9C6B" w14:textId="77777777" w:rsidR="00CF6B55" w:rsidRPr="00190FC3" w:rsidRDefault="00CF6B55" w:rsidP="00FD7ED2">
      <w:pPr>
        <w:pStyle w:val="Bodytext42"/>
        <w:spacing w:before="120" w:after="60" w:line="240" w:lineRule="auto"/>
        <w:ind w:firstLine="0"/>
        <w:rPr>
          <w:b/>
          <w:sz w:val="20"/>
          <w:szCs w:val="20"/>
        </w:rPr>
      </w:pPr>
      <w:r w:rsidRPr="00190FC3">
        <w:rPr>
          <w:rStyle w:val="Bodytext4"/>
          <w:b/>
          <w:sz w:val="20"/>
          <w:szCs w:val="20"/>
        </w:rPr>
        <w:t>Definitions.</w:t>
      </w:r>
    </w:p>
    <w:p w14:paraId="0896AF3C" w14:textId="77777777" w:rsidR="00A01778" w:rsidRPr="00190FC3" w:rsidRDefault="00CF6B55" w:rsidP="00FD7ED2">
      <w:pPr>
        <w:pStyle w:val="BodyText2"/>
        <w:tabs>
          <w:tab w:val="left" w:pos="630"/>
        </w:tabs>
        <w:spacing w:after="60" w:line="240" w:lineRule="auto"/>
        <w:ind w:firstLine="274"/>
        <w:rPr>
          <w:sz w:val="24"/>
          <w:szCs w:val="24"/>
        </w:rPr>
      </w:pPr>
      <w:r w:rsidRPr="00190FC3">
        <w:rPr>
          <w:b/>
          <w:sz w:val="24"/>
          <w:szCs w:val="24"/>
        </w:rPr>
        <w:t>3.</w:t>
      </w:r>
      <w:r w:rsidR="00FD7ED2" w:rsidRPr="00190FC3">
        <w:rPr>
          <w:b/>
          <w:sz w:val="24"/>
          <w:szCs w:val="24"/>
        </w:rPr>
        <w:tab/>
      </w:r>
      <w:r w:rsidR="00124864" w:rsidRPr="00190FC3">
        <w:rPr>
          <w:sz w:val="24"/>
          <w:szCs w:val="24"/>
        </w:rPr>
        <w:t>Section 2 of the Principal Act is amended by inserting after the definition of “employee'' the following definition:—</w:t>
      </w:r>
    </w:p>
    <w:p w14:paraId="17CD35BD" w14:textId="5D26D7D5" w:rsidR="00A01778" w:rsidRPr="00190FC3" w:rsidRDefault="00950F33" w:rsidP="00FD7ED2">
      <w:pPr>
        <w:pStyle w:val="BodyText2"/>
        <w:spacing w:after="60" w:line="240" w:lineRule="auto"/>
        <w:ind w:firstLine="274"/>
        <w:rPr>
          <w:sz w:val="24"/>
          <w:szCs w:val="24"/>
        </w:rPr>
      </w:pPr>
      <w:r>
        <w:rPr>
          <w:sz w:val="24"/>
          <w:szCs w:val="24"/>
        </w:rPr>
        <w:t>“</w:t>
      </w:r>
      <w:r w:rsidR="00124864" w:rsidRPr="00190FC3">
        <w:rPr>
          <w:sz w:val="24"/>
          <w:szCs w:val="24"/>
        </w:rPr>
        <w:t>‘Judge’ means a Judge of a court created by the Parliament;</w:t>
      </w:r>
    </w:p>
    <w:p w14:paraId="36935C31" w14:textId="77777777" w:rsidR="00A01778" w:rsidRPr="00190FC3" w:rsidRDefault="00CF6B55" w:rsidP="00FD7ED2">
      <w:pPr>
        <w:pStyle w:val="BodyText2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190FC3">
        <w:rPr>
          <w:b/>
          <w:sz w:val="24"/>
          <w:szCs w:val="24"/>
        </w:rPr>
        <w:t>4.</w:t>
      </w:r>
      <w:r w:rsidR="00FD7ED2" w:rsidRPr="00190FC3">
        <w:rPr>
          <w:b/>
          <w:sz w:val="24"/>
          <w:szCs w:val="24"/>
        </w:rPr>
        <w:tab/>
      </w:r>
      <w:r w:rsidR="00124864" w:rsidRPr="00190FC3">
        <w:rPr>
          <w:sz w:val="24"/>
          <w:szCs w:val="24"/>
        </w:rPr>
        <w:t>After section 6 of the Principal Act the f</w:t>
      </w:r>
      <w:r w:rsidR="00FD7ED2" w:rsidRPr="00190FC3">
        <w:rPr>
          <w:sz w:val="24"/>
          <w:szCs w:val="24"/>
        </w:rPr>
        <w:t>ollowing sections are inserted:</w:t>
      </w:r>
      <w:r w:rsidR="00124864" w:rsidRPr="00190FC3">
        <w:rPr>
          <w:sz w:val="24"/>
          <w:szCs w:val="24"/>
        </w:rPr>
        <w:t>—</w:t>
      </w:r>
    </w:p>
    <w:p w14:paraId="4E44970C" w14:textId="1372CD3A" w:rsidR="00A01778" w:rsidRPr="00190FC3" w:rsidRDefault="00124864" w:rsidP="00FD7ED2">
      <w:pPr>
        <w:pStyle w:val="Bodytext42"/>
        <w:spacing w:before="120" w:after="60" w:line="240" w:lineRule="auto"/>
        <w:ind w:firstLine="0"/>
        <w:rPr>
          <w:b/>
          <w:sz w:val="20"/>
          <w:szCs w:val="20"/>
        </w:rPr>
      </w:pPr>
      <w:r w:rsidRPr="00190FC3">
        <w:rPr>
          <w:rStyle w:val="Bodytext4"/>
          <w:b/>
          <w:sz w:val="20"/>
          <w:szCs w:val="20"/>
        </w:rPr>
        <w:t>Appointment of a Judge as D</w:t>
      </w:r>
      <w:r w:rsidR="00950F33">
        <w:rPr>
          <w:rStyle w:val="Bodytext4"/>
          <w:b/>
          <w:sz w:val="20"/>
          <w:szCs w:val="20"/>
        </w:rPr>
        <w:t>irector-</w:t>
      </w:r>
      <w:r w:rsidRPr="00190FC3">
        <w:rPr>
          <w:rStyle w:val="Bodytext4"/>
          <w:b/>
          <w:sz w:val="20"/>
          <w:szCs w:val="20"/>
        </w:rPr>
        <w:t>General</w:t>
      </w:r>
      <w:r w:rsidR="00950F33">
        <w:rPr>
          <w:rStyle w:val="Bodytext4"/>
          <w:b/>
          <w:sz w:val="20"/>
          <w:szCs w:val="20"/>
        </w:rPr>
        <w:t xml:space="preserve"> </w:t>
      </w:r>
      <w:r w:rsidRPr="00190FC3">
        <w:rPr>
          <w:rStyle w:val="Bodytext4"/>
          <w:b/>
          <w:sz w:val="20"/>
          <w:szCs w:val="20"/>
        </w:rPr>
        <w:t>not to affect tenure, &amp;c.</w:t>
      </w:r>
    </w:p>
    <w:p w14:paraId="386379A2" w14:textId="77777777" w:rsidR="00A01778" w:rsidRPr="00190FC3" w:rsidRDefault="00124864" w:rsidP="00FD7ED2">
      <w:pPr>
        <w:pStyle w:val="BodyText2"/>
        <w:spacing w:line="240" w:lineRule="auto"/>
        <w:ind w:firstLine="270"/>
        <w:rPr>
          <w:sz w:val="24"/>
          <w:szCs w:val="24"/>
        </w:rPr>
      </w:pPr>
      <w:r w:rsidRPr="00190FC3">
        <w:rPr>
          <w:rStyle w:val="Bodytext7pt"/>
          <w:sz w:val="24"/>
          <w:szCs w:val="24"/>
        </w:rPr>
        <w:t xml:space="preserve">“6a. </w:t>
      </w:r>
      <w:r w:rsidRPr="00190FC3">
        <w:rPr>
          <w:sz w:val="24"/>
          <w:szCs w:val="24"/>
        </w:rPr>
        <w:t>The appointment of a Judge as Director-General, or service of a Judge as Director-General, does not affect the tenure of his office as a Judge or his rank, title, status, precedence</w:t>
      </w:r>
      <w:r w:rsidR="00FD7ED2" w:rsidRPr="00190FC3">
        <w:rPr>
          <w:sz w:val="24"/>
          <w:szCs w:val="24"/>
        </w:rPr>
        <w:t>, salary, annual or other allow</w:t>
      </w:r>
      <w:r w:rsidRPr="00190FC3">
        <w:rPr>
          <w:sz w:val="24"/>
          <w:szCs w:val="24"/>
        </w:rPr>
        <w:t>ances or other rights or privileges as the holder of his office as a Judge and, for all purposes, his service as Director-General shall be taken to be service as the holder of his office as a Judge.</w:t>
      </w:r>
    </w:p>
    <w:p w14:paraId="5B3E0042" w14:textId="179FDC85" w:rsidR="00CF6B55" w:rsidRPr="00190FC3" w:rsidRDefault="00CF6B55" w:rsidP="00FD7ED2">
      <w:pPr>
        <w:pStyle w:val="BodyText2"/>
        <w:spacing w:before="120" w:after="60" w:line="240" w:lineRule="auto"/>
        <w:ind w:firstLine="0"/>
        <w:rPr>
          <w:rStyle w:val="Bodytext7pt"/>
          <w:b/>
          <w:sz w:val="20"/>
          <w:szCs w:val="20"/>
        </w:rPr>
      </w:pPr>
      <w:r w:rsidRPr="00190FC3">
        <w:rPr>
          <w:rStyle w:val="Bodytext4"/>
          <w:b/>
          <w:sz w:val="20"/>
          <w:szCs w:val="20"/>
        </w:rPr>
        <w:t>Remuneration</w:t>
      </w:r>
      <w:r w:rsidRPr="00190FC3">
        <w:rPr>
          <w:b/>
          <w:sz w:val="20"/>
          <w:szCs w:val="20"/>
        </w:rPr>
        <w:t xml:space="preserve"> </w:t>
      </w:r>
      <w:r w:rsidRPr="00190FC3">
        <w:rPr>
          <w:rStyle w:val="Bodytext4"/>
          <w:b/>
          <w:sz w:val="20"/>
          <w:szCs w:val="20"/>
        </w:rPr>
        <w:t>and</w:t>
      </w:r>
      <w:r w:rsidRPr="00190FC3">
        <w:rPr>
          <w:b/>
          <w:sz w:val="20"/>
          <w:szCs w:val="20"/>
        </w:rPr>
        <w:t xml:space="preserve"> </w:t>
      </w:r>
      <w:r w:rsidRPr="00190FC3">
        <w:rPr>
          <w:rStyle w:val="Bodytext4"/>
          <w:b/>
          <w:sz w:val="20"/>
          <w:szCs w:val="20"/>
        </w:rPr>
        <w:t>allowances of Director-General.</w:t>
      </w:r>
    </w:p>
    <w:p w14:paraId="749CDDF5" w14:textId="77777777" w:rsidR="00A01778" w:rsidRPr="00190FC3" w:rsidRDefault="00124864" w:rsidP="00FD7ED2">
      <w:pPr>
        <w:pStyle w:val="BodyText2"/>
        <w:spacing w:after="60" w:line="240" w:lineRule="auto"/>
        <w:ind w:firstLine="274"/>
        <w:rPr>
          <w:sz w:val="24"/>
          <w:szCs w:val="24"/>
        </w:rPr>
      </w:pPr>
      <w:r w:rsidRPr="00190FC3">
        <w:rPr>
          <w:rStyle w:val="Bodytext7pt"/>
          <w:sz w:val="24"/>
          <w:szCs w:val="24"/>
        </w:rPr>
        <w:t>“6b. (1)</w:t>
      </w:r>
      <w:r w:rsidRPr="00190FC3">
        <w:rPr>
          <w:sz w:val="24"/>
          <w:szCs w:val="24"/>
        </w:rPr>
        <w:t xml:space="preserve"> If the Director-General is not a Judge, he shall be paid such remuneration as is determined by the Remuneration Tribunal and such allowances as are prescribed.</w:t>
      </w:r>
    </w:p>
    <w:p w14:paraId="40FBF51E" w14:textId="77777777" w:rsidR="00A01778" w:rsidRPr="00190FC3" w:rsidRDefault="00CF6B55" w:rsidP="00FD7ED2">
      <w:pPr>
        <w:pStyle w:val="BodyText2"/>
        <w:spacing w:after="60" w:line="240" w:lineRule="auto"/>
        <w:ind w:firstLine="274"/>
        <w:rPr>
          <w:sz w:val="24"/>
          <w:szCs w:val="24"/>
        </w:rPr>
      </w:pPr>
      <w:r w:rsidRPr="00190FC3">
        <w:rPr>
          <w:sz w:val="24"/>
          <w:szCs w:val="24"/>
        </w:rPr>
        <w:t>“(2) Sub-s</w:t>
      </w:r>
      <w:r w:rsidR="00124864" w:rsidRPr="00190FC3">
        <w:rPr>
          <w:sz w:val="24"/>
          <w:szCs w:val="24"/>
        </w:rPr>
        <w:t xml:space="preserve">ection (1) has effect subject to the </w:t>
      </w:r>
      <w:r w:rsidR="00FD7ED2" w:rsidRPr="00190FC3">
        <w:rPr>
          <w:rStyle w:val="BodytextItalic"/>
          <w:sz w:val="24"/>
          <w:szCs w:val="24"/>
        </w:rPr>
        <w:t>Remuneration Tri</w:t>
      </w:r>
      <w:r w:rsidR="00124864" w:rsidRPr="00190FC3">
        <w:rPr>
          <w:rStyle w:val="BodytextItalic"/>
          <w:sz w:val="24"/>
          <w:szCs w:val="24"/>
        </w:rPr>
        <w:t>bunals Act</w:t>
      </w:r>
      <w:r w:rsidR="00124864" w:rsidRPr="00190FC3">
        <w:rPr>
          <w:sz w:val="24"/>
          <w:szCs w:val="24"/>
        </w:rPr>
        <w:t xml:space="preserve"> 1973-1975.</w:t>
      </w:r>
    </w:p>
    <w:p w14:paraId="2919B085" w14:textId="0EA4F995" w:rsidR="00A01778" w:rsidRPr="00190FC3" w:rsidRDefault="00124864" w:rsidP="00950F33">
      <w:pPr>
        <w:pStyle w:val="BodyText2"/>
        <w:spacing w:line="240" w:lineRule="auto"/>
        <w:ind w:firstLine="270"/>
        <w:rPr>
          <w:sz w:val="24"/>
          <w:szCs w:val="24"/>
        </w:rPr>
      </w:pPr>
      <w:r w:rsidRPr="00190FC3">
        <w:rPr>
          <w:sz w:val="24"/>
          <w:szCs w:val="24"/>
        </w:rPr>
        <w:t>“(3) If the Director-General is a Judge, other than Chief Judge of the Australian Industrial Court, and the rate per annum of his salary as a Judge is less than the rate per annum of the salary applicable to the Chief</w:t>
      </w:r>
      <w:r w:rsidR="00950F33">
        <w:rPr>
          <w:sz w:val="24"/>
          <w:szCs w:val="24"/>
        </w:rPr>
        <w:t xml:space="preserve"> </w:t>
      </w:r>
      <w:r w:rsidRPr="00190FC3">
        <w:rPr>
          <w:rStyle w:val="BodyText1"/>
          <w:sz w:val="24"/>
          <w:szCs w:val="24"/>
        </w:rPr>
        <w:t>Judge of the Australian Industrial Court, he shall be paid additional sal</w:t>
      </w:r>
      <w:r w:rsidRPr="00190FC3">
        <w:rPr>
          <w:rStyle w:val="BodyText1"/>
          <w:sz w:val="24"/>
          <w:szCs w:val="24"/>
        </w:rPr>
        <w:softHyphen/>
        <w:t>ary at a rate equal to the difference between the rates of those salaries, and, if the rate per annum of his annual allowance as a Judge is less than the rate per annum of the annual allowance applicable to the Chief Judge of the Australian Industrial Court, he shall be paid additional annual allowance at a rate equal to the difference between the rates of those annual allowances.</w:t>
      </w:r>
    </w:p>
    <w:p w14:paraId="59959A8F" w14:textId="258DBEA7" w:rsidR="00A01778" w:rsidRPr="00190FC3" w:rsidRDefault="00124864" w:rsidP="00FD7ED2">
      <w:pPr>
        <w:pStyle w:val="BodyText2"/>
        <w:spacing w:after="60" w:line="240" w:lineRule="auto"/>
        <w:ind w:firstLine="274"/>
        <w:rPr>
          <w:sz w:val="24"/>
          <w:szCs w:val="24"/>
        </w:rPr>
      </w:pPr>
      <w:r w:rsidRPr="00190FC3">
        <w:rPr>
          <w:rStyle w:val="BodyText1"/>
          <w:sz w:val="24"/>
          <w:szCs w:val="24"/>
        </w:rPr>
        <w:t xml:space="preserve">“(4) Where a Judge, not being the Chief Judge of the Australian Industrial Court, retires as a Judge or dies and, immediately before his retirement or death, he held office as Director-General, the </w:t>
      </w:r>
      <w:r w:rsidR="00950F33">
        <w:rPr>
          <w:rStyle w:val="BodytextItalic0"/>
          <w:sz w:val="24"/>
          <w:szCs w:val="24"/>
        </w:rPr>
        <w:t>Judges’</w:t>
      </w:r>
      <w:bookmarkStart w:id="2" w:name="_GoBack"/>
      <w:bookmarkEnd w:id="2"/>
      <w:r w:rsidR="00FD7ED2" w:rsidRPr="00190FC3">
        <w:rPr>
          <w:rStyle w:val="BodytextItalic0"/>
          <w:sz w:val="24"/>
          <w:szCs w:val="24"/>
        </w:rPr>
        <w:t xml:space="preserve"> Pen</w:t>
      </w:r>
      <w:r w:rsidRPr="00190FC3">
        <w:rPr>
          <w:rStyle w:val="BodytextItalic0"/>
          <w:sz w:val="24"/>
          <w:szCs w:val="24"/>
        </w:rPr>
        <w:t>sions Act</w:t>
      </w:r>
      <w:r w:rsidRPr="00190FC3">
        <w:rPr>
          <w:rStyle w:val="BodyText1"/>
          <w:sz w:val="24"/>
          <w:szCs w:val="24"/>
        </w:rPr>
        <w:t xml:space="preserve"> 1968-1974 applies to or in relation to him as if he had been Chief Judge of the Australian Industrial Court immediately before his retirement or death.</w:t>
      </w:r>
      <w:r w:rsidR="00FD7ED2" w:rsidRPr="00190FC3">
        <w:rPr>
          <w:rStyle w:val="BodyText1"/>
          <w:sz w:val="24"/>
          <w:szCs w:val="24"/>
        </w:rPr>
        <w:t>”</w:t>
      </w:r>
      <w:r w:rsidRPr="00190FC3">
        <w:rPr>
          <w:rStyle w:val="BodyText1"/>
          <w:sz w:val="24"/>
          <w:szCs w:val="24"/>
        </w:rPr>
        <w:t>.</w:t>
      </w:r>
    </w:p>
    <w:p w14:paraId="5B573B49" w14:textId="77777777" w:rsidR="00A01778" w:rsidRPr="00190FC3" w:rsidRDefault="00CF6B55" w:rsidP="00FD7ED2">
      <w:pPr>
        <w:pStyle w:val="BodyText2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190FC3">
        <w:rPr>
          <w:rStyle w:val="BodyText1"/>
          <w:b/>
          <w:sz w:val="24"/>
          <w:szCs w:val="24"/>
        </w:rPr>
        <w:t>5.</w:t>
      </w:r>
      <w:r w:rsidR="00FD7ED2" w:rsidRPr="00190FC3">
        <w:rPr>
          <w:rStyle w:val="BodyText1"/>
          <w:b/>
          <w:sz w:val="24"/>
          <w:szCs w:val="24"/>
        </w:rPr>
        <w:tab/>
      </w:r>
      <w:r w:rsidR="00124864" w:rsidRPr="00190FC3">
        <w:rPr>
          <w:rStyle w:val="BodyText1"/>
          <w:sz w:val="24"/>
          <w:szCs w:val="24"/>
        </w:rPr>
        <w:t>After section 15 of the Principal Act the following section is added:—</w:t>
      </w:r>
    </w:p>
    <w:p w14:paraId="3C8A4978" w14:textId="77777777" w:rsidR="00A01778" w:rsidRPr="00190FC3" w:rsidRDefault="00124864" w:rsidP="00FD7ED2">
      <w:pPr>
        <w:pStyle w:val="Bodytext42"/>
        <w:spacing w:before="120" w:after="60" w:line="240" w:lineRule="auto"/>
        <w:ind w:firstLine="0"/>
        <w:rPr>
          <w:b/>
          <w:sz w:val="20"/>
          <w:szCs w:val="20"/>
        </w:rPr>
      </w:pPr>
      <w:r w:rsidRPr="00190FC3">
        <w:rPr>
          <w:rStyle w:val="Bodytext40"/>
          <w:b/>
          <w:sz w:val="20"/>
          <w:szCs w:val="20"/>
        </w:rPr>
        <w:t>Regulations.</w:t>
      </w:r>
    </w:p>
    <w:p w14:paraId="2031544A" w14:textId="0446BBA8" w:rsidR="00A01778" w:rsidRPr="00190FC3" w:rsidRDefault="00124864" w:rsidP="00FD7ED2">
      <w:pPr>
        <w:pStyle w:val="BodyText2"/>
        <w:spacing w:line="240" w:lineRule="auto"/>
        <w:ind w:firstLine="270"/>
        <w:rPr>
          <w:sz w:val="24"/>
          <w:szCs w:val="24"/>
        </w:rPr>
      </w:pPr>
      <w:r w:rsidRPr="00190FC3">
        <w:rPr>
          <w:rStyle w:val="BodyText1"/>
          <w:sz w:val="24"/>
          <w:szCs w:val="24"/>
        </w:rPr>
        <w:t xml:space="preserve">“16. The Governor-General may make regulations, not inconsistent with this Act, for the purposes of section </w:t>
      </w:r>
      <w:r w:rsidRPr="00190FC3">
        <w:rPr>
          <w:rStyle w:val="Bodytext7pt0"/>
          <w:sz w:val="24"/>
          <w:szCs w:val="24"/>
        </w:rPr>
        <w:t>6</w:t>
      </w:r>
      <w:r w:rsidR="00950F33" w:rsidRPr="00950F33">
        <w:rPr>
          <w:rStyle w:val="Bodytext7pt0"/>
          <w:smallCaps/>
          <w:sz w:val="24"/>
          <w:szCs w:val="24"/>
        </w:rPr>
        <w:t>b</w:t>
      </w:r>
      <w:r w:rsidRPr="00190FC3">
        <w:rPr>
          <w:rStyle w:val="Bodytext7pt0"/>
          <w:sz w:val="24"/>
          <w:szCs w:val="24"/>
        </w:rPr>
        <w:t xml:space="preserve"> </w:t>
      </w:r>
      <w:r w:rsidRPr="00190FC3">
        <w:rPr>
          <w:rStyle w:val="BodyText1"/>
          <w:sz w:val="24"/>
          <w:szCs w:val="24"/>
        </w:rPr>
        <w:t>of this Act.</w:t>
      </w:r>
      <w:r w:rsidR="00950F33">
        <w:rPr>
          <w:rStyle w:val="BodyText1"/>
          <w:sz w:val="24"/>
          <w:szCs w:val="24"/>
        </w:rPr>
        <w:t>”</w:t>
      </w:r>
      <w:r w:rsidRPr="00190FC3">
        <w:rPr>
          <w:rStyle w:val="BodyText1"/>
          <w:sz w:val="24"/>
          <w:szCs w:val="24"/>
        </w:rPr>
        <w:t>.</w:t>
      </w:r>
    </w:p>
    <w:p w14:paraId="1F7B709A" w14:textId="77777777" w:rsidR="00CF6B55" w:rsidRPr="00190FC3" w:rsidRDefault="00CF6B55" w:rsidP="00FD7ED2">
      <w:pPr>
        <w:pStyle w:val="BodyText2"/>
        <w:spacing w:before="120" w:after="60" w:line="240" w:lineRule="auto"/>
        <w:ind w:firstLine="0"/>
        <w:rPr>
          <w:rStyle w:val="BodyText1"/>
          <w:b/>
          <w:sz w:val="20"/>
          <w:szCs w:val="20"/>
        </w:rPr>
      </w:pPr>
      <w:r w:rsidRPr="00190FC3">
        <w:rPr>
          <w:rStyle w:val="Bodytext40"/>
          <w:b/>
          <w:sz w:val="20"/>
          <w:szCs w:val="20"/>
        </w:rPr>
        <w:t>Formal amendments.</w:t>
      </w:r>
    </w:p>
    <w:p w14:paraId="5D9B95FE" w14:textId="77777777" w:rsidR="00A01778" w:rsidRPr="00190FC3" w:rsidRDefault="00CF6B55" w:rsidP="00FD7ED2">
      <w:pPr>
        <w:pStyle w:val="BodyText2"/>
        <w:tabs>
          <w:tab w:val="left" w:pos="630"/>
        </w:tabs>
        <w:spacing w:line="240" w:lineRule="auto"/>
        <w:ind w:firstLine="270"/>
        <w:rPr>
          <w:rStyle w:val="BodyText1"/>
          <w:sz w:val="24"/>
          <w:szCs w:val="24"/>
        </w:rPr>
      </w:pPr>
      <w:r w:rsidRPr="00190FC3">
        <w:rPr>
          <w:rStyle w:val="BodyText1"/>
          <w:b/>
          <w:sz w:val="24"/>
          <w:szCs w:val="24"/>
        </w:rPr>
        <w:t>6.</w:t>
      </w:r>
      <w:r w:rsidR="00FD7ED2" w:rsidRPr="00190FC3">
        <w:rPr>
          <w:rStyle w:val="BodyText1"/>
          <w:b/>
          <w:sz w:val="24"/>
          <w:szCs w:val="24"/>
        </w:rPr>
        <w:tab/>
      </w:r>
      <w:r w:rsidR="00124864" w:rsidRPr="00190FC3">
        <w:rPr>
          <w:rStyle w:val="BodyText1"/>
          <w:sz w:val="24"/>
          <w:szCs w:val="24"/>
        </w:rPr>
        <w:t>The Principal Act is amended as set out in the Schedule.</w:t>
      </w:r>
    </w:p>
    <w:p w14:paraId="34D60724" w14:textId="77777777" w:rsidR="00FD7ED2" w:rsidRPr="00190FC3" w:rsidRDefault="00FD7ED2" w:rsidP="00FD7ED2">
      <w:pPr>
        <w:pStyle w:val="BodyText2"/>
        <w:tabs>
          <w:tab w:val="left" w:pos="630"/>
        </w:tabs>
        <w:spacing w:line="240" w:lineRule="auto"/>
        <w:ind w:firstLine="270"/>
        <w:rPr>
          <w:rStyle w:val="BodyText1"/>
          <w:sz w:val="24"/>
          <w:szCs w:val="24"/>
        </w:rPr>
      </w:pPr>
    </w:p>
    <w:p w14:paraId="11DCD010" w14:textId="77777777" w:rsidR="00FD7ED2" w:rsidRPr="00190FC3" w:rsidRDefault="00FD7ED2" w:rsidP="00FD7ED2">
      <w:pPr>
        <w:pStyle w:val="BodyText2"/>
        <w:tabs>
          <w:tab w:val="left" w:pos="630"/>
        </w:tabs>
        <w:spacing w:line="240" w:lineRule="auto"/>
        <w:ind w:firstLine="270"/>
        <w:jc w:val="center"/>
        <w:rPr>
          <w:rStyle w:val="BodyText1"/>
          <w:sz w:val="24"/>
          <w:szCs w:val="24"/>
        </w:rPr>
      </w:pPr>
      <w:r w:rsidRPr="00190FC3">
        <w:rPr>
          <w:rStyle w:val="BodyText1"/>
          <w:sz w:val="24"/>
          <w:szCs w:val="24"/>
        </w:rPr>
        <w:t>________</w:t>
      </w:r>
    </w:p>
    <w:p w14:paraId="5F26C370" w14:textId="77777777" w:rsidR="00FD7ED2" w:rsidRPr="00190FC3" w:rsidRDefault="00FD7ED2" w:rsidP="00FD7ED2">
      <w:pPr>
        <w:pStyle w:val="BodyText2"/>
        <w:tabs>
          <w:tab w:val="left" w:pos="630"/>
        </w:tabs>
        <w:spacing w:line="240" w:lineRule="auto"/>
        <w:ind w:firstLine="270"/>
        <w:jc w:val="center"/>
        <w:rPr>
          <w:rStyle w:val="BodyText1"/>
          <w:sz w:val="24"/>
          <w:szCs w:val="24"/>
        </w:rPr>
      </w:pPr>
    </w:p>
    <w:p w14:paraId="6D24806B" w14:textId="77777777" w:rsidR="00FD7ED2" w:rsidRPr="00190FC3" w:rsidRDefault="00FD7ED2" w:rsidP="00FD7ED2">
      <w:pPr>
        <w:pStyle w:val="BodyText2"/>
        <w:tabs>
          <w:tab w:val="left" w:pos="630"/>
        </w:tabs>
        <w:spacing w:line="240" w:lineRule="auto"/>
        <w:ind w:firstLine="270"/>
        <w:jc w:val="center"/>
        <w:rPr>
          <w:sz w:val="24"/>
          <w:szCs w:val="24"/>
        </w:rPr>
      </w:pPr>
    </w:p>
    <w:p w14:paraId="2C5F75D2" w14:textId="77777777" w:rsidR="00A01778" w:rsidRPr="00190FC3" w:rsidRDefault="00FD7ED2" w:rsidP="00FD7ED2">
      <w:pPr>
        <w:pStyle w:val="Bodytext42"/>
        <w:tabs>
          <w:tab w:val="left" w:pos="8100"/>
        </w:tabs>
        <w:spacing w:after="60" w:line="240" w:lineRule="auto"/>
        <w:ind w:firstLine="4046"/>
        <w:jc w:val="center"/>
        <w:rPr>
          <w:sz w:val="24"/>
          <w:szCs w:val="24"/>
        </w:rPr>
      </w:pPr>
      <w:r w:rsidRPr="00190FC3">
        <w:rPr>
          <w:rStyle w:val="Bodytext4105pt"/>
          <w:sz w:val="28"/>
          <w:szCs w:val="28"/>
        </w:rPr>
        <w:t>SCHEDULE</w:t>
      </w:r>
      <w:r w:rsidRPr="00190FC3">
        <w:rPr>
          <w:rStyle w:val="Bodytext4105pt"/>
          <w:sz w:val="24"/>
          <w:szCs w:val="24"/>
        </w:rPr>
        <w:tab/>
      </w:r>
      <w:r w:rsidR="00124864" w:rsidRPr="00190FC3">
        <w:rPr>
          <w:rStyle w:val="Bodytext43"/>
          <w:sz w:val="24"/>
          <w:szCs w:val="24"/>
        </w:rPr>
        <w:t>Section 6</w:t>
      </w:r>
    </w:p>
    <w:p w14:paraId="6537B0F5" w14:textId="77777777" w:rsidR="00A01778" w:rsidRPr="00190FC3" w:rsidRDefault="00124864" w:rsidP="00FD7ED2">
      <w:pPr>
        <w:pStyle w:val="Bodytext42"/>
        <w:spacing w:after="60" w:line="240" w:lineRule="auto"/>
        <w:ind w:firstLine="0"/>
        <w:jc w:val="center"/>
        <w:rPr>
          <w:sz w:val="24"/>
          <w:szCs w:val="24"/>
        </w:rPr>
      </w:pPr>
      <w:r w:rsidRPr="00190FC3">
        <w:rPr>
          <w:rStyle w:val="Bodytext43"/>
          <w:sz w:val="24"/>
          <w:szCs w:val="24"/>
        </w:rPr>
        <w:t>FORMAL AMENDMENTS</w:t>
      </w:r>
    </w:p>
    <w:p w14:paraId="248CA5A2" w14:textId="77777777" w:rsidR="00A01778" w:rsidRPr="00950F33" w:rsidRDefault="00CF6B55" w:rsidP="003B5D9B">
      <w:pPr>
        <w:pStyle w:val="Bodytext42"/>
        <w:tabs>
          <w:tab w:val="left" w:pos="630"/>
        </w:tabs>
        <w:spacing w:after="60" w:line="240" w:lineRule="auto"/>
        <w:ind w:firstLine="274"/>
        <w:rPr>
          <w:sz w:val="24"/>
          <w:szCs w:val="24"/>
        </w:rPr>
      </w:pPr>
      <w:r w:rsidRPr="00950F33">
        <w:rPr>
          <w:rStyle w:val="Bodytext43"/>
          <w:sz w:val="24"/>
          <w:szCs w:val="24"/>
        </w:rPr>
        <w:t>1.</w:t>
      </w:r>
      <w:r w:rsidR="00FD7ED2" w:rsidRPr="00950F33">
        <w:rPr>
          <w:rStyle w:val="Bodytext43"/>
          <w:sz w:val="24"/>
          <w:szCs w:val="24"/>
        </w:rPr>
        <w:tab/>
      </w:r>
      <w:r w:rsidR="00124864" w:rsidRPr="00950F33">
        <w:rPr>
          <w:rStyle w:val="Bodytext43"/>
          <w:sz w:val="24"/>
          <w:szCs w:val="24"/>
        </w:rPr>
        <w:t xml:space="preserve">The following provisions of the Principal Act are amended by omitting any number expressed in words that is used to identify a section of that Act </w:t>
      </w:r>
      <w:r w:rsidR="00FD7ED2" w:rsidRPr="00950F33">
        <w:rPr>
          <w:rStyle w:val="Bodytext43"/>
          <w:sz w:val="24"/>
          <w:szCs w:val="24"/>
        </w:rPr>
        <w:t>or of another Act and substitut</w:t>
      </w:r>
      <w:r w:rsidR="00124864" w:rsidRPr="00950F33">
        <w:rPr>
          <w:rStyle w:val="Bodytext43"/>
          <w:sz w:val="24"/>
          <w:szCs w:val="24"/>
        </w:rPr>
        <w:t>ing that</w:t>
      </w:r>
      <w:r w:rsidR="00FD7ED2" w:rsidRPr="00950F33">
        <w:rPr>
          <w:rStyle w:val="Bodytext43"/>
          <w:sz w:val="24"/>
          <w:szCs w:val="24"/>
        </w:rPr>
        <w:t xml:space="preserve"> number expressed in figures:</w:t>
      </w:r>
      <w:r w:rsidR="00124864" w:rsidRPr="00950F33">
        <w:rPr>
          <w:rStyle w:val="Bodytext43"/>
          <w:sz w:val="24"/>
          <w:szCs w:val="24"/>
        </w:rPr>
        <w:t>—</w:t>
      </w:r>
    </w:p>
    <w:p w14:paraId="42BB10A4" w14:textId="07134D6B" w:rsidR="00A01778" w:rsidRPr="00950F33" w:rsidRDefault="00124864" w:rsidP="003B5D9B">
      <w:pPr>
        <w:pStyle w:val="Bodytext42"/>
        <w:spacing w:after="60" w:line="240" w:lineRule="auto"/>
        <w:ind w:left="720" w:hanging="446"/>
        <w:rPr>
          <w:sz w:val="24"/>
          <w:szCs w:val="24"/>
        </w:rPr>
      </w:pPr>
      <w:r w:rsidRPr="00950F33">
        <w:rPr>
          <w:rStyle w:val="Bodytext43"/>
          <w:sz w:val="24"/>
          <w:szCs w:val="24"/>
        </w:rPr>
        <w:t>Sections 2 (definitions of</w:t>
      </w:r>
      <w:r w:rsidR="00FD7ED2" w:rsidRPr="00950F33">
        <w:rPr>
          <w:rStyle w:val="Bodytext43"/>
          <w:sz w:val="24"/>
          <w:szCs w:val="24"/>
        </w:rPr>
        <w:t xml:space="preserve"> “</w:t>
      </w:r>
      <w:r w:rsidRPr="00950F33">
        <w:rPr>
          <w:rStyle w:val="Bodytext43"/>
          <w:sz w:val="24"/>
          <w:szCs w:val="24"/>
        </w:rPr>
        <w:t>employee</w:t>
      </w:r>
      <w:r w:rsidR="00FD7ED2" w:rsidRPr="00950F33">
        <w:rPr>
          <w:rStyle w:val="Bodytext43"/>
          <w:sz w:val="24"/>
          <w:szCs w:val="24"/>
        </w:rPr>
        <w:t>’</w:t>
      </w:r>
      <w:r w:rsidRPr="00950F33">
        <w:rPr>
          <w:rStyle w:val="Bodytext43"/>
          <w:sz w:val="24"/>
          <w:szCs w:val="24"/>
        </w:rPr>
        <w:t xml:space="preserve"> or </w:t>
      </w:r>
      <w:r w:rsidR="00FD7ED2" w:rsidRPr="00950F33">
        <w:rPr>
          <w:rStyle w:val="Bodytext43"/>
          <w:sz w:val="24"/>
          <w:szCs w:val="24"/>
        </w:rPr>
        <w:t>‘</w:t>
      </w:r>
      <w:r w:rsidRPr="00950F33">
        <w:rPr>
          <w:rStyle w:val="Bodytext43"/>
          <w:sz w:val="24"/>
          <w:szCs w:val="24"/>
        </w:rPr>
        <w:t>employee of the Organization</w:t>
      </w:r>
      <w:r w:rsidR="00FD7ED2" w:rsidRPr="00950F33">
        <w:rPr>
          <w:rStyle w:val="Bodytext43"/>
          <w:sz w:val="24"/>
          <w:szCs w:val="24"/>
        </w:rPr>
        <w:t>’</w:t>
      </w:r>
      <w:r w:rsidR="00950F33" w:rsidRPr="00950F33">
        <w:rPr>
          <w:rStyle w:val="Bodytext43"/>
          <w:sz w:val="24"/>
          <w:szCs w:val="24"/>
        </w:rPr>
        <w:t xml:space="preserve">” </w:t>
      </w:r>
      <w:r w:rsidR="00FD7ED2" w:rsidRPr="00950F33">
        <w:rPr>
          <w:rStyle w:val="Bodytext43"/>
          <w:sz w:val="24"/>
          <w:szCs w:val="24"/>
        </w:rPr>
        <w:t>and</w:t>
      </w:r>
      <w:r w:rsidRPr="00950F33">
        <w:rPr>
          <w:rStyle w:val="Bodytext43"/>
          <w:sz w:val="24"/>
          <w:szCs w:val="24"/>
        </w:rPr>
        <w:t xml:space="preserve"> </w:t>
      </w:r>
      <w:r w:rsidR="00950F33" w:rsidRPr="00950F33">
        <w:rPr>
          <w:rStyle w:val="Bodytext43"/>
          <w:sz w:val="24"/>
          <w:szCs w:val="24"/>
        </w:rPr>
        <w:t>“</w:t>
      </w:r>
      <w:r w:rsidR="00FD7ED2" w:rsidRPr="00950F33">
        <w:rPr>
          <w:rStyle w:val="Bodytext43"/>
          <w:sz w:val="24"/>
          <w:szCs w:val="24"/>
        </w:rPr>
        <w:t>‘</w:t>
      </w:r>
      <w:r w:rsidRPr="00950F33">
        <w:rPr>
          <w:rStyle w:val="Bodytext43"/>
          <w:sz w:val="24"/>
          <w:szCs w:val="24"/>
        </w:rPr>
        <w:t>officer or</w:t>
      </w:r>
      <w:r w:rsidR="003B5D9B" w:rsidRPr="00950F33">
        <w:rPr>
          <w:rStyle w:val="Bodytext43"/>
          <w:sz w:val="24"/>
          <w:szCs w:val="24"/>
        </w:rPr>
        <w:t>’</w:t>
      </w:r>
      <w:r w:rsidRPr="00950F33">
        <w:rPr>
          <w:rStyle w:val="Bodytext43"/>
          <w:sz w:val="24"/>
          <w:szCs w:val="24"/>
        </w:rPr>
        <w:t xml:space="preserve"> off</w:t>
      </w:r>
      <w:r w:rsidR="00950F33" w:rsidRPr="00950F33">
        <w:rPr>
          <w:rStyle w:val="Bodytext43"/>
          <w:sz w:val="24"/>
          <w:szCs w:val="24"/>
        </w:rPr>
        <w:t>icer of the Organization’”), 7</w:t>
      </w:r>
      <w:r w:rsidRPr="00950F33">
        <w:rPr>
          <w:rStyle w:val="Bodytext43"/>
          <w:sz w:val="24"/>
          <w:szCs w:val="24"/>
        </w:rPr>
        <w:t>(2)(b), 11 and 13.</w:t>
      </w:r>
    </w:p>
    <w:p w14:paraId="1D7A46C9" w14:textId="736238D5" w:rsidR="00A01778" w:rsidRPr="00950F33" w:rsidRDefault="00CF6B55" w:rsidP="003B5D9B">
      <w:pPr>
        <w:pStyle w:val="Bodytext42"/>
        <w:tabs>
          <w:tab w:val="left" w:pos="630"/>
        </w:tabs>
        <w:spacing w:after="60" w:line="240" w:lineRule="auto"/>
        <w:ind w:firstLine="274"/>
        <w:rPr>
          <w:sz w:val="24"/>
          <w:szCs w:val="24"/>
        </w:rPr>
      </w:pPr>
      <w:r w:rsidRPr="00950F33">
        <w:rPr>
          <w:rStyle w:val="Bodytext43"/>
          <w:sz w:val="24"/>
          <w:szCs w:val="24"/>
        </w:rPr>
        <w:t>2.</w:t>
      </w:r>
      <w:r w:rsidR="003B5D9B" w:rsidRPr="00950F33">
        <w:rPr>
          <w:rStyle w:val="Bodytext43"/>
          <w:sz w:val="24"/>
          <w:szCs w:val="24"/>
        </w:rPr>
        <w:tab/>
      </w:r>
      <w:r w:rsidR="00124864" w:rsidRPr="00950F33">
        <w:rPr>
          <w:rStyle w:val="Bodytext43"/>
          <w:sz w:val="24"/>
          <w:szCs w:val="24"/>
        </w:rPr>
        <w:t>The following provisions of the Principal Act are amended by omitting</w:t>
      </w:r>
      <w:r w:rsidR="003B5D9B" w:rsidRPr="00950F33">
        <w:rPr>
          <w:rStyle w:val="Bodytext43"/>
          <w:sz w:val="24"/>
          <w:szCs w:val="24"/>
        </w:rPr>
        <w:t xml:space="preserve"> the words “</w:t>
      </w:r>
      <w:r w:rsidR="00124864" w:rsidRPr="00950F33">
        <w:rPr>
          <w:rStyle w:val="Bodytext43"/>
          <w:sz w:val="24"/>
          <w:szCs w:val="24"/>
        </w:rPr>
        <w:t>of t</w:t>
      </w:r>
      <w:r w:rsidR="003B5D9B" w:rsidRPr="00950F33">
        <w:rPr>
          <w:rStyle w:val="Bodytext43"/>
          <w:sz w:val="24"/>
          <w:szCs w:val="24"/>
        </w:rPr>
        <w:t>his Act</w:t>
      </w:r>
      <w:r w:rsidR="00950F33" w:rsidRPr="00950F33">
        <w:rPr>
          <w:rStyle w:val="Bodytext43"/>
          <w:sz w:val="24"/>
          <w:szCs w:val="24"/>
        </w:rPr>
        <w:t>”</w:t>
      </w:r>
      <w:r w:rsidR="003B5D9B" w:rsidRPr="00950F33">
        <w:rPr>
          <w:rStyle w:val="Bodytext43"/>
          <w:sz w:val="24"/>
          <w:szCs w:val="24"/>
        </w:rPr>
        <w:t xml:space="preserve"> (wherever occurring):</w:t>
      </w:r>
      <w:r w:rsidR="00124864" w:rsidRPr="00950F33">
        <w:rPr>
          <w:rStyle w:val="Bodytext43"/>
          <w:sz w:val="24"/>
          <w:szCs w:val="24"/>
        </w:rPr>
        <w:t>—</w:t>
      </w:r>
    </w:p>
    <w:p w14:paraId="76FA5360" w14:textId="4BEB1655" w:rsidR="00A01778" w:rsidRPr="00950F33" w:rsidRDefault="00124864" w:rsidP="003B5D9B">
      <w:pPr>
        <w:pStyle w:val="Bodytext42"/>
        <w:spacing w:after="60" w:line="240" w:lineRule="auto"/>
        <w:ind w:left="720" w:hanging="446"/>
        <w:rPr>
          <w:sz w:val="24"/>
          <w:szCs w:val="24"/>
        </w:rPr>
      </w:pPr>
      <w:r w:rsidRPr="00950F33">
        <w:rPr>
          <w:rStyle w:val="Bodytext43"/>
          <w:sz w:val="24"/>
          <w:szCs w:val="24"/>
        </w:rPr>
        <w:t>Sections 2 (definitions o</w:t>
      </w:r>
      <w:r w:rsidR="00CF6BCD" w:rsidRPr="00950F33">
        <w:rPr>
          <w:rStyle w:val="Bodytext43"/>
          <w:sz w:val="24"/>
          <w:szCs w:val="24"/>
        </w:rPr>
        <w:t>f “</w:t>
      </w:r>
      <w:r w:rsidRPr="00950F33">
        <w:rPr>
          <w:rStyle w:val="Bodytext43"/>
          <w:sz w:val="24"/>
          <w:szCs w:val="24"/>
        </w:rPr>
        <w:t>‘employee’ or ‘employee of the Org</w:t>
      </w:r>
      <w:r w:rsidR="00950F33" w:rsidRPr="00950F33">
        <w:rPr>
          <w:rStyle w:val="Bodytext43"/>
          <w:sz w:val="24"/>
          <w:szCs w:val="24"/>
        </w:rPr>
        <w:t>anization’” and “‘officer’ or ‘</w:t>
      </w:r>
      <w:r w:rsidRPr="00950F33">
        <w:rPr>
          <w:rStyle w:val="Bodytext43"/>
          <w:sz w:val="24"/>
          <w:szCs w:val="24"/>
        </w:rPr>
        <w:t>officer of the Organization’</w:t>
      </w:r>
      <w:r w:rsidR="003B5D9B" w:rsidRPr="00950F33">
        <w:rPr>
          <w:rStyle w:val="Bodytext43"/>
          <w:sz w:val="24"/>
          <w:szCs w:val="24"/>
        </w:rPr>
        <w:t>”</w:t>
      </w:r>
      <w:r w:rsidRPr="00950F33">
        <w:rPr>
          <w:rStyle w:val="Bodytext43"/>
          <w:sz w:val="24"/>
          <w:szCs w:val="24"/>
        </w:rPr>
        <w:t>) and 7(2)(b).</w:t>
      </w:r>
    </w:p>
    <w:p w14:paraId="7C5D7937" w14:textId="77777777" w:rsidR="00A01778" w:rsidRPr="00950F33" w:rsidRDefault="00CF6B55" w:rsidP="003B5D9B">
      <w:pPr>
        <w:pStyle w:val="Bodytext42"/>
        <w:tabs>
          <w:tab w:val="left" w:pos="630"/>
        </w:tabs>
        <w:spacing w:after="60" w:line="240" w:lineRule="auto"/>
        <w:ind w:firstLine="274"/>
        <w:rPr>
          <w:sz w:val="24"/>
          <w:szCs w:val="24"/>
        </w:rPr>
      </w:pPr>
      <w:r w:rsidRPr="00950F33">
        <w:rPr>
          <w:rStyle w:val="Bodytext43"/>
          <w:sz w:val="24"/>
          <w:szCs w:val="24"/>
        </w:rPr>
        <w:t>3.</w:t>
      </w:r>
      <w:r w:rsidR="003B5D9B" w:rsidRPr="00950F33">
        <w:rPr>
          <w:rStyle w:val="Bodytext43"/>
          <w:sz w:val="24"/>
          <w:szCs w:val="24"/>
        </w:rPr>
        <w:tab/>
      </w:r>
      <w:r w:rsidR="00124864" w:rsidRPr="00950F33">
        <w:rPr>
          <w:rStyle w:val="Bodytext43"/>
          <w:sz w:val="24"/>
          <w:szCs w:val="24"/>
        </w:rPr>
        <w:t>The following provisions of the Principal Act are amended by omitting the word “Solicitor-General</w:t>
      </w:r>
      <w:r w:rsidR="003B5D9B" w:rsidRPr="00950F33">
        <w:rPr>
          <w:rStyle w:val="Bodytext43"/>
          <w:sz w:val="24"/>
          <w:szCs w:val="24"/>
        </w:rPr>
        <w:t>”</w:t>
      </w:r>
      <w:r w:rsidR="00124864" w:rsidRPr="00950F33">
        <w:rPr>
          <w:rStyle w:val="Bodytext43"/>
          <w:sz w:val="24"/>
          <w:szCs w:val="24"/>
        </w:rPr>
        <w:t xml:space="preserve"> (wherever occurring) and substituting the </w:t>
      </w:r>
      <w:r w:rsidR="003452F3" w:rsidRPr="00950F33">
        <w:rPr>
          <w:rStyle w:val="Bodytext43"/>
          <w:sz w:val="24"/>
          <w:szCs w:val="24"/>
        </w:rPr>
        <w:t>words “Secretary to the Attorney</w:t>
      </w:r>
      <w:r w:rsidR="003B5D9B" w:rsidRPr="00950F33">
        <w:rPr>
          <w:rStyle w:val="Bodytext43"/>
          <w:sz w:val="24"/>
          <w:szCs w:val="24"/>
        </w:rPr>
        <w:t>-General’s Department”:</w:t>
      </w:r>
      <w:r w:rsidR="00124864" w:rsidRPr="00950F33">
        <w:rPr>
          <w:rStyle w:val="Bodytext43"/>
          <w:sz w:val="24"/>
          <w:szCs w:val="24"/>
        </w:rPr>
        <w:t>—</w:t>
      </w:r>
    </w:p>
    <w:p w14:paraId="29003030" w14:textId="77777777" w:rsidR="00A01778" w:rsidRPr="00950F33" w:rsidRDefault="00124864" w:rsidP="003B5D9B">
      <w:pPr>
        <w:pStyle w:val="Bodytext42"/>
        <w:spacing w:line="240" w:lineRule="auto"/>
        <w:ind w:left="720" w:hanging="450"/>
        <w:rPr>
          <w:sz w:val="24"/>
          <w:szCs w:val="24"/>
        </w:rPr>
      </w:pPr>
      <w:r w:rsidRPr="00950F33">
        <w:rPr>
          <w:rStyle w:val="Bodytext43"/>
          <w:sz w:val="24"/>
          <w:szCs w:val="24"/>
        </w:rPr>
        <w:t>Sections 8 and 9.</w:t>
      </w:r>
    </w:p>
    <w:p w14:paraId="074568FF" w14:textId="77777777" w:rsidR="00A01778" w:rsidRPr="00950F33" w:rsidRDefault="00124864" w:rsidP="003B5D9B">
      <w:pPr>
        <w:pStyle w:val="Bodytext42"/>
        <w:tabs>
          <w:tab w:val="left" w:pos="630"/>
        </w:tabs>
        <w:spacing w:after="60" w:line="240" w:lineRule="auto"/>
        <w:ind w:firstLine="274"/>
        <w:rPr>
          <w:sz w:val="24"/>
          <w:szCs w:val="24"/>
        </w:rPr>
      </w:pPr>
      <w:r w:rsidRPr="00950F33">
        <w:rPr>
          <w:rStyle w:val="Tablecaption1"/>
          <w:sz w:val="24"/>
          <w:szCs w:val="24"/>
        </w:rPr>
        <w:t>4.</w:t>
      </w:r>
      <w:r w:rsidR="003B5D9B" w:rsidRPr="00950F33">
        <w:rPr>
          <w:rStyle w:val="Tablecaption1"/>
          <w:sz w:val="24"/>
          <w:szCs w:val="24"/>
        </w:rPr>
        <w:tab/>
      </w:r>
      <w:r w:rsidRPr="00950F33">
        <w:rPr>
          <w:rStyle w:val="Tablecaption1"/>
          <w:sz w:val="24"/>
          <w:szCs w:val="24"/>
        </w:rPr>
        <w:t>The Principal Act is further amended as set out in the following table: —</w:t>
      </w:r>
    </w:p>
    <w:tbl>
      <w:tblPr>
        <w:tblOverlap w:val="never"/>
        <w:tblW w:w="9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6930"/>
      </w:tblGrid>
      <w:tr w:rsidR="00A01778" w:rsidRPr="00190FC3" w14:paraId="0DA0AA84" w14:textId="77777777" w:rsidTr="003B5D9B">
        <w:trPr>
          <w:trHeight w:val="331"/>
        </w:trPr>
        <w:tc>
          <w:tcPr>
            <w:tcW w:w="2890" w:type="dxa"/>
            <w:tcBorders>
              <w:top w:val="single" w:sz="4" w:space="0" w:color="auto"/>
            </w:tcBorders>
            <w:vAlign w:val="center"/>
          </w:tcPr>
          <w:p w14:paraId="0CD9C406" w14:textId="77777777" w:rsidR="00A01778" w:rsidRPr="00190FC3" w:rsidRDefault="00124864" w:rsidP="003B5D9B">
            <w:pPr>
              <w:pStyle w:val="BodyText2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90FC3">
              <w:rPr>
                <w:rStyle w:val="Bodytext7pt0"/>
                <w:sz w:val="20"/>
                <w:szCs w:val="20"/>
              </w:rPr>
              <w:t>Provision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vAlign w:val="center"/>
          </w:tcPr>
          <w:p w14:paraId="1941D54D" w14:textId="77777777" w:rsidR="00A01778" w:rsidRPr="00190FC3" w:rsidRDefault="00124864" w:rsidP="003B5D9B">
            <w:pPr>
              <w:pStyle w:val="BodyText2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90FC3">
              <w:rPr>
                <w:rStyle w:val="Bodytext7pt0"/>
                <w:sz w:val="20"/>
                <w:szCs w:val="20"/>
              </w:rPr>
              <w:t>Amendment</w:t>
            </w:r>
          </w:p>
        </w:tc>
      </w:tr>
      <w:tr w:rsidR="00A01778" w:rsidRPr="00190FC3" w14:paraId="25E19C7E" w14:textId="77777777" w:rsidTr="003B5D9B">
        <w:trPr>
          <w:trHeight w:val="470"/>
        </w:trPr>
        <w:tc>
          <w:tcPr>
            <w:tcW w:w="2890" w:type="dxa"/>
            <w:tcBorders>
              <w:top w:val="single" w:sz="4" w:space="0" w:color="auto"/>
            </w:tcBorders>
          </w:tcPr>
          <w:p w14:paraId="67BA3EA0" w14:textId="0116741F" w:rsidR="00A01778" w:rsidRPr="00190FC3" w:rsidRDefault="00950F33" w:rsidP="003B5D9B">
            <w:pPr>
              <w:pStyle w:val="BodyText2"/>
              <w:tabs>
                <w:tab w:val="left" w:leader="dot" w:pos="27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7pt0"/>
                <w:sz w:val="24"/>
                <w:szCs w:val="24"/>
              </w:rPr>
              <w:t>Section 4</w:t>
            </w:r>
            <w:r w:rsidR="00124864" w:rsidRPr="00190FC3">
              <w:rPr>
                <w:rStyle w:val="Bodytext7pt0"/>
                <w:sz w:val="24"/>
                <w:szCs w:val="24"/>
              </w:rPr>
              <w:t>(1)</w:t>
            </w:r>
            <w:r w:rsidR="003B5D9B" w:rsidRPr="00190FC3">
              <w:rPr>
                <w:rStyle w:val="Bodytext7pt0"/>
                <w:sz w:val="24"/>
                <w:szCs w:val="24"/>
              </w:rPr>
              <w:tab/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14:paraId="6F017490" w14:textId="50055FF7" w:rsidR="00A01778" w:rsidRPr="00190FC3" w:rsidRDefault="00124864" w:rsidP="00950F33">
            <w:pPr>
              <w:pStyle w:val="BodyText2"/>
              <w:spacing w:line="240" w:lineRule="auto"/>
              <w:ind w:left="260" w:hanging="260"/>
              <w:jc w:val="left"/>
              <w:rPr>
                <w:sz w:val="24"/>
                <w:szCs w:val="24"/>
              </w:rPr>
            </w:pPr>
            <w:r w:rsidRPr="00190FC3">
              <w:rPr>
                <w:rStyle w:val="Bodytext7pt0"/>
                <w:sz w:val="24"/>
                <w:szCs w:val="24"/>
              </w:rPr>
              <w:t>Omit “the sixteenth day of March, One thousand nine hundr</w:t>
            </w:r>
            <w:r w:rsidR="00950F33">
              <w:rPr>
                <w:rStyle w:val="Bodytext7pt0"/>
                <w:sz w:val="24"/>
                <w:szCs w:val="24"/>
              </w:rPr>
              <w:t>ed and forty-nine”, Substitute “</w:t>
            </w:r>
            <w:r w:rsidRPr="00190FC3">
              <w:rPr>
                <w:rStyle w:val="Bodytext7pt0"/>
                <w:sz w:val="24"/>
                <w:szCs w:val="24"/>
              </w:rPr>
              <w:t>16 March 1949”.</w:t>
            </w:r>
          </w:p>
        </w:tc>
      </w:tr>
      <w:tr w:rsidR="003B5D9B" w:rsidRPr="00190FC3" w14:paraId="4D52343C" w14:textId="77777777" w:rsidTr="003B5D9B">
        <w:trPr>
          <w:trHeight w:val="302"/>
        </w:trPr>
        <w:tc>
          <w:tcPr>
            <w:tcW w:w="2890" w:type="dxa"/>
            <w:vMerge w:val="restart"/>
          </w:tcPr>
          <w:p w14:paraId="5B3D6211" w14:textId="77777777" w:rsidR="003B5D9B" w:rsidRPr="00190FC3" w:rsidRDefault="003B5D9B" w:rsidP="003B5D9B">
            <w:pPr>
              <w:pStyle w:val="BodyText2"/>
              <w:tabs>
                <w:tab w:val="left" w:leader="dot" w:pos="27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0FC3">
              <w:rPr>
                <w:rStyle w:val="Bodytext7pt0"/>
                <w:sz w:val="24"/>
                <w:szCs w:val="24"/>
              </w:rPr>
              <w:t>Section 11</w:t>
            </w:r>
            <w:r w:rsidRPr="00190FC3">
              <w:rPr>
                <w:rStyle w:val="Bodytext7pt0"/>
                <w:sz w:val="24"/>
                <w:szCs w:val="24"/>
              </w:rPr>
              <w:tab/>
            </w:r>
          </w:p>
        </w:tc>
        <w:tc>
          <w:tcPr>
            <w:tcW w:w="6930" w:type="dxa"/>
          </w:tcPr>
          <w:p w14:paraId="5CE80D47" w14:textId="77777777" w:rsidR="003B5D9B" w:rsidRPr="00190FC3" w:rsidRDefault="003B5D9B" w:rsidP="003B5D9B">
            <w:pPr>
              <w:pStyle w:val="BodyText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0FC3">
              <w:rPr>
                <w:rStyle w:val="Bodytext7pt0"/>
                <w:sz w:val="24"/>
                <w:szCs w:val="24"/>
              </w:rPr>
              <w:t>Omit “of this Act” (first and second occurring).</w:t>
            </w:r>
          </w:p>
        </w:tc>
      </w:tr>
      <w:tr w:rsidR="003B5D9B" w:rsidRPr="00190FC3" w14:paraId="4972D647" w14:textId="77777777" w:rsidTr="003B5D9B">
        <w:trPr>
          <w:trHeight w:val="513"/>
        </w:trPr>
        <w:tc>
          <w:tcPr>
            <w:tcW w:w="2890" w:type="dxa"/>
            <w:vMerge/>
            <w:tcBorders>
              <w:bottom w:val="single" w:sz="4" w:space="0" w:color="auto"/>
            </w:tcBorders>
          </w:tcPr>
          <w:p w14:paraId="65AABAA9" w14:textId="77777777" w:rsidR="003B5D9B" w:rsidRPr="00190FC3" w:rsidRDefault="003B5D9B" w:rsidP="00FD7ED2">
            <w:pPr>
              <w:pStyle w:val="BodyText2"/>
              <w:spacing w:line="240" w:lineRule="auto"/>
              <w:ind w:firstLine="0"/>
              <w:rPr>
                <w:rStyle w:val="Bodytext7pt0"/>
                <w:sz w:val="24"/>
                <w:szCs w:val="24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61C7CF91" w14:textId="77777777" w:rsidR="003B5D9B" w:rsidRPr="00190FC3" w:rsidRDefault="003B5D9B" w:rsidP="003B5D9B">
            <w:pPr>
              <w:pStyle w:val="BodyText2"/>
              <w:spacing w:line="240" w:lineRule="auto"/>
              <w:ind w:left="260" w:hanging="260"/>
              <w:jc w:val="left"/>
              <w:rPr>
                <w:rStyle w:val="Bodytext7pt0"/>
                <w:sz w:val="24"/>
                <w:szCs w:val="24"/>
              </w:rPr>
            </w:pPr>
            <w:r w:rsidRPr="00190FC3">
              <w:rPr>
                <w:rStyle w:val="Bodytext7pt0"/>
                <w:sz w:val="24"/>
                <w:szCs w:val="24"/>
              </w:rPr>
              <w:t>Omit “Public Service of the Commonwealth” (wherever occurring), substitute “Australian Public Service”.</w:t>
            </w:r>
          </w:p>
        </w:tc>
      </w:tr>
    </w:tbl>
    <w:p w14:paraId="71950927" w14:textId="70685B8B" w:rsidR="00CF6B55" w:rsidRPr="00950F33" w:rsidRDefault="00CF6B55" w:rsidP="00950F33">
      <w:pPr>
        <w:jc w:val="both"/>
        <w:rPr>
          <w:rFonts w:ascii="Times New Roman" w:hAnsi="Times New Roman" w:cs="Times New Roman"/>
        </w:rPr>
      </w:pPr>
    </w:p>
    <w:sectPr w:rsidR="00CF6B55" w:rsidRPr="00950F33" w:rsidSect="002069E6">
      <w:headerReference w:type="even" r:id="rId8"/>
      <w:headerReference w:type="default" r:id="rId9"/>
      <w:type w:val="continuous"/>
      <w:pgSz w:w="11909" w:h="18000" w:code="9"/>
      <w:pgMar w:top="1080" w:right="1080" w:bottom="1080" w:left="1080" w:header="72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9C3564" w15:done="0"/>
  <w15:commentEx w15:paraId="75318F5A" w15:done="0"/>
  <w15:commentEx w15:paraId="70C27120" w15:done="0"/>
  <w15:commentEx w15:paraId="7F906498" w15:done="0"/>
  <w15:commentEx w15:paraId="18054CF0" w15:done="0"/>
  <w15:commentEx w15:paraId="15DC266C" w15:done="0"/>
  <w15:commentEx w15:paraId="1B0C32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9C3564" w16cid:durableId="1F55B9AA"/>
  <w16cid:commentId w16cid:paraId="75318F5A" w16cid:durableId="1F55B9BC"/>
  <w16cid:commentId w16cid:paraId="70C27120" w16cid:durableId="1F55B9C9"/>
  <w16cid:commentId w16cid:paraId="7F906498" w16cid:durableId="1F55B9E8"/>
  <w16cid:commentId w16cid:paraId="18054CF0" w16cid:durableId="1F55B9FC"/>
  <w16cid:commentId w16cid:paraId="15DC266C" w16cid:durableId="1F55BA07"/>
  <w16cid:commentId w16cid:paraId="1B0C326D" w16cid:durableId="1F55BA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BEFDB" w14:textId="77777777" w:rsidR="00741F41" w:rsidRDefault="00741F41">
      <w:r>
        <w:separator/>
      </w:r>
    </w:p>
  </w:endnote>
  <w:endnote w:type="continuationSeparator" w:id="0">
    <w:p w14:paraId="427EF7A8" w14:textId="77777777" w:rsidR="00741F41" w:rsidRDefault="0074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75C97" w14:textId="77777777" w:rsidR="00741F41" w:rsidRDefault="00741F41"/>
  </w:footnote>
  <w:footnote w:type="continuationSeparator" w:id="0">
    <w:p w14:paraId="6229092C" w14:textId="77777777" w:rsidR="00741F41" w:rsidRDefault="00741F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292B9" w14:textId="77777777" w:rsidR="002069E6" w:rsidRPr="002069E6" w:rsidRDefault="002069E6">
    <w:pPr>
      <w:pStyle w:val="Header"/>
      <w:rPr>
        <w:rFonts w:ascii="Times New Roman" w:hAnsi="Times New Roman" w:cs="Times New Roman"/>
        <w:sz w:val="22"/>
        <w:szCs w:val="22"/>
        <w:lang w:val="en-IN"/>
      </w:rPr>
    </w:pPr>
    <w:r>
      <w:rPr>
        <w:rFonts w:ascii="Times New Roman" w:hAnsi="Times New Roman" w:cs="Times New Roman"/>
        <w:sz w:val="22"/>
        <w:szCs w:val="22"/>
        <w:lang w:val="en-IN"/>
      </w:rPr>
      <w:t>1976</w:t>
    </w:r>
    <w:r w:rsidRPr="002069E6">
      <w:rPr>
        <w:rFonts w:ascii="Times New Roman" w:hAnsi="Times New Roman" w:cs="Times New Roman"/>
        <w:sz w:val="22"/>
        <w:szCs w:val="22"/>
        <w:lang w:val="en-IN"/>
      </w:rPr>
      <w:tab/>
    </w:r>
    <w:r w:rsidRPr="002069E6">
      <w:rPr>
        <w:rFonts w:ascii="Times New Roman" w:hAnsi="Times New Roman" w:cs="Times New Roman"/>
        <w:i/>
        <w:sz w:val="22"/>
        <w:szCs w:val="22"/>
        <w:lang w:val="en-IN"/>
      </w:rPr>
      <w:t>Australian Security Intelligence Organization</w:t>
    </w:r>
    <w:r w:rsidRPr="002069E6">
      <w:rPr>
        <w:rFonts w:ascii="Times New Roman" w:hAnsi="Times New Roman" w:cs="Times New Roman"/>
        <w:sz w:val="22"/>
        <w:szCs w:val="22"/>
        <w:lang w:val="en-IN"/>
      </w:rPr>
      <w:tab/>
      <w:t>No.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0128" w14:textId="77777777" w:rsidR="002069E6" w:rsidRPr="002069E6" w:rsidRDefault="002069E6">
    <w:pPr>
      <w:pStyle w:val="Header"/>
      <w:rPr>
        <w:rFonts w:ascii="Times New Roman" w:hAnsi="Times New Roman" w:cs="Times New Roman"/>
        <w:sz w:val="22"/>
        <w:szCs w:val="22"/>
        <w:lang w:val="en-IN"/>
      </w:rPr>
    </w:pPr>
    <w:r w:rsidRPr="002069E6">
      <w:rPr>
        <w:rFonts w:ascii="Times New Roman" w:hAnsi="Times New Roman" w:cs="Times New Roman"/>
        <w:sz w:val="22"/>
        <w:szCs w:val="22"/>
        <w:lang w:val="en-IN"/>
      </w:rPr>
      <w:t>No. 2</w:t>
    </w:r>
    <w:r w:rsidRPr="002069E6">
      <w:rPr>
        <w:rFonts w:ascii="Times New Roman" w:hAnsi="Times New Roman" w:cs="Times New Roman"/>
        <w:sz w:val="22"/>
        <w:szCs w:val="22"/>
        <w:lang w:val="en-IN"/>
      </w:rPr>
      <w:tab/>
    </w:r>
    <w:r w:rsidRPr="002069E6">
      <w:rPr>
        <w:rFonts w:ascii="Times New Roman" w:hAnsi="Times New Roman" w:cs="Times New Roman"/>
        <w:i/>
        <w:sz w:val="22"/>
        <w:szCs w:val="22"/>
        <w:lang w:val="en-IN"/>
      </w:rPr>
      <w:t>Australian Security Intelligence Organization</w:t>
    </w:r>
    <w:r w:rsidRPr="002069E6">
      <w:rPr>
        <w:rFonts w:ascii="Times New Roman" w:hAnsi="Times New Roman" w:cs="Times New Roman"/>
        <w:sz w:val="22"/>
        <w:szCs w:val="22"/>
        <w:lang w:val="en-IN"/>
      </w:rPr>
      <w:tab/>
      <w:t>1976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0BE4"/>
    <w:multiLevelType w:val="multilevel"/>
    <w:tmpl w:val="C7B04F9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63354"/>
    <w:multiLevelType w:val="multilevel"/>
    <w:tmpl w:val="C28E4B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691F39"/>
    <w:multiLevelType w:val="multilevel"/>
    <w:tmpl w:val="08FC1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C62783"/>
    <w:multiLevelType w:val="multilevel"/>
    <w:tmpl w:val="F6F4B5A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F5464C"/>
    <w:multiLevelType w:val="multilevel"/>
    <w:tmpl w:val="1B12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01778"/>
    <w:rsid w:val="00124864"/>
    <w:rsid w:val="00190FC3"/>
    <w:rsid w:val="002069E6"/>
    <w:rsid w:val="0025050D"/>
    <w:rsid w:val="003452F3"/>
    <w:rsid w:val="003B5D9B"/>
    <w:rsid w:val="00524B82"/>
    <w:rsid w:val="00614ADB"/>
    <w:rsid w:val="00724EFE"/>
    <w:rsid w:val="00741F41"/>
    <w:rsid w:val="00950F33"/>
    <w:rsid w:val="00A01778"/>
    <w:rsid w:val="00BF0645"/>
    <w:rsid w:val="00CF6B55"/>
    <w:rsid w:val="00CF6BCD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5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">
    <w:name w:val="Body text (4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0">
    <w:name w:val="Body text (4)"/>
    <w:basedOn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DefaultParagraphFont"/>
    <w:link w:val="Heading10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DefaultParagraphFont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0">
    <w:name w:val="Body text (2)_"/>
    <w:basedOn w:val="DefaultParagraphFont"/>
    <w:link w:val="Bodytext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NotItalic">
    <w:name w:val="Body text (2) + Not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SegoeUI">
    <w:name w:val="Body text + Segoe UI"/>
    <w:aliases w:val="12 pt,Bold"/>
    <w:basedOn w:val="Bodytex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7pt">
    <w:name w:val="Body text + 7 pt"/>
    <w:aliases w:val="Small Caps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Heading395pt">
    <w:name w:val="Heading #3 + 9.5 pt"/>
    <w:aliases w:val="Not Bold,Not Italic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7pt0">
    <w:name w:val="Body text + 7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41">
    <w:name w:val="Body text (4)_"/>
    <w:basedOn w:val="DefaultParagraphFont"/>
    <w:link w:val="Bodytext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105pt">
    <w:name w:val="Body text (4) + 10.5 pt"/>
    <w:basedOn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43">
    <w:name w:val="Body text (4)"/>
    <w:basedOn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2NotItalic0">
    <w:name w:val="Body text (2) + Not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Heading32">
    <w:name w:val="Heading #3 (2)_"/>
    <w:basedOn w:val="DefaultParagraphFont"/>
    <w:link w:val="Heading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42">
    <w:name w:val="Body text (4)"/>
    <w:basedOn w:val="Normal"/>
    <w:link w:val="Bodytext41"/>
    <w:pPr>
      <w:spacing w:line="0" w:lineRule="atLeast"/>
      <w:ind w:hanging="32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eading10">
    <w:name w:val="Heading #1"/>
    <w:basedOn w:val="Normal"/>
    <w:link w:val="Heading1"/>
    <w:pPr>
      <w:spacing w:line="341" w:lineRule="exact"/>
      <w:jc w:val="center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Segoe UI" w:eastAsia="Segoe UI" w:hAnsi="Segoe UI" w:cs="Segoe UI"/>
      <w:b/>
      <w:bCs/>
    </w:rPr>
  </w:style>
  <w:style w:type="paragraph" w:customStyle="1" w:styleId="BodyText2">
    <w:name w:val="Body Text2"/>
    <w:basedOn w:val="Normal"/>
    <w:link w:val="Bodytext"/>
    <w:pPr>
      <w:spacing w:line="240" w:lineRule="exact"/>
      <w:ind w:hanging="10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1">
    <w:name w:val="Body text (2)"/>
    <w:basedOn w:val="Normal"/>
    <w:link w:val="Bodytext20"/>
    <w:pPr>
      <w:spacing w:line="245" w:lineRule="exact"/>
      <w:ind w:firstLine="3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Heading30">
    <w:name w:val="Heading #3"/>
    <w:basedOn w:val="Normal"/>
    <w:link w:val="Heading3"/>
    <w:pPr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Tablecaption0">
    <w:name w:val="Table caption"/>
    <w:basedOn w:val="Normal"/>
    <w:link w:val="Tablecaption"/>
    <w:pPr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eading320">
    <w:name w:val="Heading #3 (2)"/>
    <w:basedOn w:val="Normal"/>
    <w:link w:val="Heading32"/>
    <w:pPr>
      <w:spacing w:line="0" w:lineRule="atLeast"/>
      <w:jc w:val="center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50">
    <w:name w:val="Body text (5)"/>
    <w:basedOn w:val="Normal"/>
    <w:link w:val="Bodytext5"/>
    <w:pPr>
      <w:spacing w:line="0" w:lineRule="atLeast"/>
      <w:ind w:hanging="3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206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9E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6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9E6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24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B8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B82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82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950F33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2018-09-25T21:57:00Z</dcterms:created>
  <dcterms:modified xsi:type="dcterms:W3CDTF">2019-07-24T03:46:00Z</dcterms:modified>
</cp:coreProperties>
</file>