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0DA" w:rsidRPr="00BD574A" w:rsidRDefault="008B10DA" w:rsidP="008B10DA">
      <w:r w:rsidRPr="00BD574A">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9" o:title=""/>
          </v:shape>
          <o:OLEObject Type="Embed" ProgID="Word.Picture.8" ShapeID="_x0000_i1025" DrawAspect="Content" ObjectID="_1561460190" r:id="rId10"/>
        </w:object>
      </w:r>
    </w:p>
    <w:p w:rsidR="008B10DA" w:rsidRPr="00BD574A" w:rsidRDefault="008B10DA" w:rsidP="008B10DA">
      <w:pPr>
        <w:pStyle w:val="ShortT"/>
        <w:spacing w:before="240"/>
      </w:pPr>
      <w:r w:rsidRPr="00BD574A">
        <w:t>Superannuation (Government Co</w:t>
      </w:r>
      <w:r w:rsidR="00BD574A">
        <w:noBreakHyphen/>
      </w:r>
      <w:r w:rsidRPr="00BD574A">
        <w:t>contribution for Low Income Earners) Act 2003</w:t>
      </w:r>
    </w:p>
    <w:p w:rsidR="008B10DA" w:rsidRPr="00BD574A" w:rsidRDefault="008B10DA" w:rsidP="008B10DA">
      <w:pPr>
        <w:pStyle w:val="CompiledActNo"/>
        <w:spacing w:before="240"/>
      </w:pPr>
      <w:r w:rsidRPr="00BD574A">
        <w:t>No.</w:t>
      </w:r>
      <w:r w:rsidR="00BD574A">
        <w:t> </w:t>
      </w:r>
      <w:r w:rsidRPr="00BD574A">
        <w:t>110, 2003</w:t>
      </w:r>
      <w:bookmarkStart w:id="0" w:name="_GoBack"/>
      <w:bookmarkEnd w:id="0"/>
    </w:p>
    <w:p w:rsidR="008B10DA" w:rsidRPr="00BD574A" w:rsidRDefault="008B10DA" w:rsidP="008B10DA">
      <w:pPr>
        <w:spacing w:before="1000"/>
        <w:rPr>
          <w:rFonts w:cs="Arial"/>
          <w:b/>
          <w:sz w:val="32"/>
          <w:szCs w:val="32"/>
        </w:rPr>
      </w:pPr>
      <w:r w:rsidRPr="00BD574A">
        <w:rPr>
          <w:rFonts w:cs="Arial"/>
          <w:b/>
          <w:sz w:val="32"/>
          <w:szCs w:val="32"/>
        </w:rPr>
        <w:t>Compilation No.</w:t>
      </w:r>
      <w:r w:rsidR="00BD574A">
        <w:rPr>
          <w:rFonts w:cs="Arial"/>
          <w:b/>
          <w:sz w:val="32"/>
          <w:szCs w:val="32"/>
        </w:rPr>
        <w:t> </w:t>
      </w:r>
      <w:r w:rsidRPr="00BD574A">
        <w:rPr>
          <w:rFonts w:cs="Arial"/>
          <w:b/>
          <w:sz w:val="32"/>
          <w:szCs w:val="32"/>
        </w:rPr>
        <w:fldChar w:fldCharType="begin"/>
      </w:r>
      <w:r w:rsidRPr="00BD574A">
        <w:rPr>
          <w:rFonts w:cs="Arial"/>
          <w:b/>
          <w:sz w:val="32"/>
          <w:szCs w:val="32"/>
        </w:rPr>
        <w:instrText xml:space="preserve"> DOCPROPERTY  CompilationNumber </w:instrText>
      </w:r>
      <w:r w:rsidRPr="00BD574A">
        <w:rPr>
          <w:rFonts w:cs="Arial"/>
          <w:b/>
          <w:sz w:val="32"/>
          <w:szCs w:val="32"/>
        </w:rPr>
        <w:fldChar w:fldCharType="separate"/>
      </w:r>
      <w:r w:rsidR="00371612">
        <w:rPr>
          <w:rFonts w:cs="Arial"/>
          <w:b/>
          <w:sz w:val="32"/>
          <w:szCs w:val="32"/>
        </w:rPr>
        <w:t>27</w:t>
      </w:r>
      <w:r w:rsidRPr="00BD574A">
        <w:rPr>
          <w:rFonts w:cs="Arial"/>
          <w:b/>
          <w:sz w:val="32"/>
          <w:szCs w:val="32"/>
        </w:rPr>
        <w:fldChar w:fldCharType="end"/>
      </w:r>
    </w:p>
    <w:p w:rsidR="008B10DA" w:rsidRPr="00BD574A" w:rsidRDefault="00967D1C" w:rsidP="008B10DA">
      <w:pPr>
        <w:spacing w:before="480"/>
        <w:rPr>
          <w:rFonts w:cs="Arial"/>
          <w:sz w:val="24"/>
        </w:rPr>
      </w:pPr>
      <w:r w:rsidRPr="00BD574A">
        <w:rPr>
          <w:rFonts w:cs="Arial"/>
          <w:b/>
          <w:sz w:val="24"/>
        </w:rPr>
        <w:t>Compilation date:</w:t>
      </w:r>
      <w:r w:rsidR="008B10DA" w:rsidRPr="00BD574A">
        <w:rPr>
          <w:rFonts w:cs="Arial"/>
          <w:b/>
          <w:sz w:val="24"/>
        </w:rPr>
        <w:tab/>
      </w:r>
      <w:r w:rsidR="008B10DA" w:rsidRPr="00BD574A">
        <w:rPr>
          <w:rFonts w:cs="Arial"/>
          <w:b/>
          <w:sz w:val="24"/>
        </w:rPr>
        <w:tab/>
      </w:r>
      <w:r w:rsidR="008B10DA" w:rsidRPr="00BD574A">
        <w:rPr>
          <w:rFonts w:cs="Arial"/>
          <w:b/>
          <w:sz w:val="24"/>
        </w:rPr>
        <w:tab/>
      </w:r>
      <w:r w:rsidR="008B10DA" w:rsidRPr="00371612">
        <w:rPr>
          <w:rFonts w:cs="Arial"/>
          <w:sz w:val="24"/>
        </w:rPr>
        <w:fldChar w:fldCharType="begin"/>
      </w:r>
      <w:r w:rsidR="008B10DA" w:rsidRPr="00371612">
        <w:rPr>
          <w:rFonts w:cs="Arial"/>
          <w:sz w:val="24"/>
        </w:rPr>
        <w:instrText xml:space="preserve"> DOCPROPERTY StartDate \@ "d MMMM yyyy" \*MERGEFORMAT </w:instrText>
      </w:r>
      <w:r w:rsidR="008B10DA" w:rsidRPr="00371612">
        <w:rPr>
          <w:rFonts w:cs="Arial"/>
          <w:sz w:val="24"/>
        </w:rPr>
        <w:fldChar w:fldCharType="separate"/>
      </w:r>
      <w:r w:rsidR="00371612" w:rsidRPr="00371612">
        <w:rPr>
          <w:rFonts w:cs="Arial"/>
          <w:bCs/>
          <w:sz w:val="24"/>
        </w:rPr>
        <w:t>2</w:t>
      </w:r>
      <w:r w:rsidR="00371612">
        <w:rPr>
          <w:rFonts w:cs="Arial"/>
          <w:sz w:val="24"/>
        </w:rPr>
        <w:t xml:space="preserve"> July 2017</w:t>
      </w:r>
      <w:r w:rsidR="008B10DA" w:rsidRPr="00371612">
        <w:rPr>
          <w:rFonts w:cs="Arial"/>
          <w:sz w:val="24"/>
        </w:rPr>
        <w:fldChar w:fldCharType="end"/>
      </w:r>
    </w:p>
    <w:p w:rsidR="008B10DA" w:rsidRPr="00BD574A" w:rsidRDefault="008B10DA" w:rsidP="008B10DA">
      <w:pPr>
        <w:spacing w:before="240"/>
        <w:rPr>
          <w:rFonts w:cs="Arial"/>
          <w:sz w:val="24"/>
        </w:rPr>
      </w:pPr>
      <w:r w:rsidRPr="00BD574A">
        <w:rPr>
          <w:rFonts w:cs="Arial"/>
          <w:b/>
          <w:sz w:val="24"/>
        </w:rPr>
        <w:t>Includes amendments up to:</w:t>
      </w:r>
      <w:r w:rsidRPr="00BD574A">
        <w:rPr>
          <w:rFonts w:cs="Arial"/>
          <w:b/>
          <w:sz w:val="24"/>
        </w:rPr>
        <w:tab/>
      </w:r>
      <w:r w:rsidRPr="00371612">
        <w:rPr>
          <w:rFonts w:cs="Arial"/>
          <w:sz w:val="24"/>
        </w:rPr>
        <w:fldChar w:fldCharType="begin"/>
      </w:r>
      <w:r w:rsidRPr="00371612">
        <w:rPr>
          <w:rFonts w:cs="Arial"/>
          <w:sz w:val="24"/>
        </w:rPr>
        <w:instrText xml:space="preserve"> DOCPROPERTY IncludesUpTo </w:instrText>
      </w:r>
      <w:r w:rsidRPr="00371612">
        <w:rPr>
          <w:rFonts w:cs="Arial"/>
          <w:sz w:val="24"/>
        </w:rPr>
        <w:fldChar w:fldCharType="separate"/>
      </w:r>
      <w:r w:rsidR="00371612">
        <w:rPr>
          <w:rFonts w:cs="Arial"/>
          <w:sz w:val="24"/>
        </w:rPr>
        <w:t>Act No. 81, 2016</w:t>
      </w:r>
      <w:r w:rsidRPr="00371612">
        <w:rPr>
          <w:rFonts w:cs="Arial"/>
          <w:sz w:val="24"/>
        </w:rPr>
        <w:fldChar w:fldCharType="end"/>
      </w:r>
    </w:p>
    <w:p w:rsidR="008B10DA" w:rsidRPr="00BD574A" w:rsidRDefault="008B10DA" w:rsidP="008B10DA">
      <w:pPr>
        <w:spacing w:before="240"/>
        <w:rPr>
          <w:rFonts w:cs="Arial"/>
          <w:sz w:val="28"/>
          <w:szCs w:val="28"/>
        </w:rPr>
      </w:pPr>
      <w:r w:rsidRPr="00BD574A">
        <w:rPr>
          <w:rFonts w:cs="Arial"/>
          <w:b/>
          <w:sz w:val="24"/>
        </w:rPr>
        <w:t>Registered:</w:t>
      </w:r>
      <w:r w:rsidRPr="00BD574A">
        <w:rPr>
          <w:rFonts w:cs="Arial"/>
          <w:b/>
          <w:sz w:val="24"/>
        </w:rPr>
        <w:tab/>
      </w:r>
      <w:r w:rsidRPr="00BD574A">
        <w:rPr>
          <w:rFonts w:cs="Arial"/>
          <w:b/>
          <w:sz w:val="24"/>
        </w:rPr>
        <w:tab/>
      </w:r>
      <w:r w:rsidRPr="00BD574A">
        <w:rPr>
          <w:rFonts w:cs="Arial"/>
          <w:b/>
          <w:sz w:val="24"/>
        </w:rPr>
        <w:tab/>
      </w:r>
      <w:r w:rsidRPr="00BD574A">
        <w:rPr>
          <w:rFonts w:cs="Arial"/>
          <w:b/>
          <w:sz w:val="24"/>
        </w:rPr>
        <w:tab/>
      </w:r>
      <w:r w:rsidRPr="00371612">
        <w:rPr>
          <w:rFonts w:cs="Arial"/>
          <w:sz w:val="24"/>
        </w:rPr>
        <w:fldChar w:fldCharType="begin"/>
      </w:r>
      <w:r w:rsidRPr="00371612">
        <w:rPr>
          <w:rFonts w:cs="Arial"/>
          <w:sz w:val="24"/>
        </w:rPr>
        <w:instrText xml:space="preserve"> IF </w:instrText>
      </w:r>
      <w:r w:rsidRPr="00371612">
        <w:rPr>
          <w:rFonts w:cs="Arial"/>
          <w:sz w:val="24"/>
        </w:rPr>
        <w:fldChar w:fldCharType="begin"/>
      </w:r>
      <w:r w:rsidRPr="00371612">
        <w:rPr>
          <w:rFonts w:cs="Arial"/>
          <w:sz w:val="24"/>
        </w:rPr>
        <w:instrText xml:space="preserve"> DOCPROPERTY RegisteredDate </w:instrText>
      </w:r>
      <w:r w:rsidRPr="00371612">
        <w:rPr>
          <w:rFonts w:cs="Arial"/>
          <w:sz w:val="24"/>
        </w:rPr>
        <w:fldChar w:fldCharType="separate"/>
      </w:r>
      <w:r w:rsidR="00371612">
        <w:rPr>
          <w:rFonts w:cs="Arial"/>
          <w:sz w:val="24"/>
        </w:rPr>
        <w:instrText>13/07/2017</w:instrText>
      </w:r>
      <w:r w:rsidRPr="00371612">
        <w:rPr>
          <w:rFonts w:cs="Arial"/>
          <w:sz w:val="24"/>
        </w:rPr>
        <w:fldChar w:fldCharType="end"/>
      </w:r>
      <w:r w:rsidRPr="00371612">
        <w:rPr>
          <w:rFonts w:cs="Arial"/>
          <w:sz w:val="24"/>
        </w:rPr>
        <w:instrText xml:space="preserve"> = #1/1/1901# "Unknown" </w:instrText>
      </w:r>
      <w:r w:rsidRPr="00371612">
        <w:rPr>
          <w:rFonts w:cs="Arial"/>
          <w:sz w:val="24"/>
        </w:rPr>
        <w:fldChar w:fldCharType="begin"/>
      </w:r>
      <w:r w:rsidRPr="00371612">
        <w:rPr>
          <w:rFonts w:cs="Arial"/>
          <w:sz w:val="24"/>
        </w:rPr>
        <w:instrText xml:space="preserve"> DOCPROPERTY RegisteredDate \@ "d MMMM yyyy" </w:instrText>
      </w:r>
      <w:r w:rsidRPr="00371612">
        <w:rPr>
          <w:rFonts w:cs="Arial"/>
          <w:sz w:val="24"/>
        </w:rPr>
        <w:fldChar w:fldCharType="separate"/>
      </w:r>
      <w:r w:rsidR="00371612">
        <w:rPr>
          <w:rFonts w:cs="Arial"/>
          <w:sz w:val="24"/>
        </w:rPr>
        <w:instrText>13 July 2017</w:instrText>
      </w:r>
      <w:r w:rsidRPr="00371612">
        <w:rPr>
          <w:rFonts w:cs="Arial"/>
          <w:sz w:val="24"/>
        </w:rPr>
        <w:fldChar w:fldCharType="end"/>
      </w:r>
      <w:r w:rsidRPr="00371612">
        <w:rPr>
          <w:rFonts w:cs="Arial"/>
          <w:sz w:val="24"/>
        </w:rPr>
        <w:instrText xml:space="preserve"> \*MERGEFORMAT </w:instrText>
      </w:r>
      <w:r w:rsidRPr="00371612">
        <w:rPr>
          <w:rFonts w:cs="Arial"/>
          <w:sz w:val="24"/>
        </w:rPr>
        <w:fldChar w:fldCharType="separate"/>
      </w:r>
      <w:r w:rsidR="00371612" w:rsidRPr="00371612">
        <w:rPr>
          <w:rFonts w:cs="Arial"/>
          <w:bCs/>
          <w:noProof/>
          <w:sz w:val="24"/>
        </w:rPr>
        <w:t>13</w:t>
      </w:r>
      <w:r w:rsidR="00371612">
        <w:rPr>
          <w:rFonts w:cs="Arial"/>
          <w:noProof/>
          <w:sz w:val="24"/>
        </w:rPr>
        <w:t xml:space="preserve"> July 2017</w:t>
      </w:r>
      <w:r w:rsidRPr="00371612">
        <w:rPr>
          <w:rFonts w:cs="Arial"/>
          <w:sz w:val="24"/>
        </w:rPr>
        <w:fldChar w:fldCharType="end"/>
      </w:r>
    </w:p>
    <w:p w:rsidR="008B10DA" w:rsidRPr="00BD574A" w:rsidRDefault="008B10DA" w:rsidP="008B10DA">
      <w:pPr>
        <w:rPr>
          <w:b/>
          <w:szCs w:val="22"/>
        </w:rPr>
      </w:pPr>
    </w:p>
    <w:p w:rsidR="008B10DA" w:rsidRPr="00BD574A" w:rsidRDefault="008B10DA" w:rsidP="008B10DA">
      <w:pPr>
        <w:pageBreakBefore/>
        <w:rPr>
          <w:rFonts w:cs="Arial"/>
          <w:b/>
          <w:sz w:val="32"/>
          <w:szCs w:val="32"/>
        </w:rPr>
      </w:pPr>
      <w:r w:rsidRPr="00BD574A">
        <w:rPr>
          <w:rFonts w:cs="Arial"/>
          <w:b/>
          <w:sz w:val="32"/>
          <w:szCs w:val="32"/>
        </w:rPr>
        <w:lastRenderedPageBreak/>
        <w:t>About this compilation</w:t>
      </w:r>
    </w:p>
    <w:p w:rsidR="008B10DA" w:rsidRPr="00BD574A" w:rsidRDefault="008B10DA" w:rsidP="008B10DA">
      <w:pPr>
        <w:spacing w:before="240"/>
        <w:rPr>
          <w:rFonts w:cs="Arial"/>
        </w:rPr>
      </w:pPr>
      <w:r w:rsidRPr="00BD574A">
        <w:rPr>
          <w:rFonts w:cs="Arial"/>
          <w:b/>
          <w:szCs w:val="22"/>
        </w:rPr>
        <w:t>This compilation</w:t>
      </w:r>
    </w:p>
    <w:p w:rsidR="008B10DA" w:rsidRPr="00BD574A" w:rsidRDefault="008B10DA" w:rsidP="008B10DA">
      <w:pPr>
        <w:spacing w:before="120" w:after="120"/>
        <w:rPr>
          <w:rFonts w:cs="Arial"/>
          <w:szCs w:val="22"/>
        </w:rPr>
      </w:pPr>
      <w:r w:rsidRPr="00BD574A">
        <w:rPr>
          <w:rFonts w:cs="Arial"/>
          <w:szCs w:val="22"/>
        </w:rPr>
        <w:t xml:space="preserve">This is a compilation of the </w:t>
      </w:r>
      <w:r w:rsidRPr="00BD574A">
        <w:rPr>
          <w:rFonts w:cs="Arial"/>
          <w:i/>
          <w:szCs w:val="22"/>
        </w:rPr>
        <w:fldChar w:fldCharType="begin"/>
      </w:r>
      <w:r w:rsidRPr="00BD574A">
        <w:rPr>
          <w:rFonts w:cs="Arial"/>
          <w:i/>
          <w:szCs w:val="22"/>
        </w:rPr>
        <w:instrText xml:space="preserve"> STYLEREF  ShortT </w:instrText>
      </w:r>
      <w:r w:rsidRPr="00BD574A">
        <w:rPr>
          <w:rFonts w:cs="Arial"/>
          <w:i/>
          <w:szCs w:val="22"/>
        </w:rPr>
        <w:fldChar w:fldCharType="separate"/>
      </w:r>
      <w:r w:rsidR="00371612">
        <w:rPr>
          <w:rFonts w:cs="Arial"/>
          <w:i/>
          <w:noProof/>
          <w:szCs w:val="22"/>
        </w:rPr>
        <w:t>Superannuation (Government Co-contribution for Low Income Earners) Act 2003</w:t>
      </w:r>
      <w:r w:rsidRPr="00BD574A">
        <w:rPr>
          <w:rFonts w:cs="Arial"/>
          <w:i/>
          <w:szCs w:val="22"/>
        </w:rPr>
        <w:fldChar w:fldCharType="end"/>
      </w:r>
      <w:r w:rsidRPr="00BD574A">
        <w:rPr>
          <w:rFonts w:cs="Arial"/>
          <w:szCs w:val="22"/>
        </w:rPr>
        <w:t xml:space="preserve"> that shows the text of the law as amended and in force on </w:t>
      </w:r>
      <w:r w:rsidRPr="00371612">
        <w:rPr>
          <w:rFonts w:cs="Arial"/>
          <w:szCs w:val="22"/>
        </w:rPr>
        <w:fldChar w:fldCharType="begin"/>
      </w:r>
      <w:r w:rsidRPr="00371612">
        <w:rPr>
          <w:rFonts w:cs="Arial"/>
          <w:szCs w:val="22"/>
        </w:rPr>
        <w:instrText xml:space="preserve"> DOCPROPERTY StartDate \@ "d MMMM yyyy" </w:instrText>
      </w:r>
      <w:r w:rsidRPr="00371612">
        <w:rPr>
          <w:rFonts w:cs="Arial"/>
          <w:szCs w:val="22"/>
        </w:rPr>
        <w:fldChar w:fldCharType="separate"/>
      </w:r>
      <w:r w:rsidR="00371612">
        <w:rPr>
          <w:rFonts w:cs="Arial"/>
          <w:szCs w:val="22"/>
        </w:rPr>
        <w:t>2 July 2017</w:t>
      </w:r>
      <w:r w:rsidRPr="00371612">
        <w:rPr>
          <w:rFonts w:cs="Arial"/>
          <w:szCs w:val="22"/>
        </w:rPr>
        <w:fldChar w:fldCharType="end"/>
      </w:r>
      <w:r w:rsidRPr="00BD574A">
        <w:rPr>
          <w:rFonts w:cs="Arial"/>
          <w:szCs w:val="22"/>
        </w:rPr>
        <w:t xml:space="preserve"> (the </w:t>
      </w:r>
      <w:r w:rsidRPr="00BD574A">
        <w:rPr>
          <w:rFonts w:cs="Arial"/>
          <w:b/>
          <w:i/>
          <w:szCs w:val="22"/>
        </w:rPr>
        <w:t>compilation date</w:t>
      </w:r>
      <w:r w:rsidRPr="00BD574A">
        <w:rPr>
          <w:rFonts w:cs="Arial"/>
          <w:szCs w:val="22"/>
        </w:rPr>
        <w:t>).</w:t>
      </w:r>
    </w:p>
    <w:p w:rsidR="008B10DA" w:rsidRPr="00BD574A" w:rsidRDefault="008B10DA" w:rsidP="008B10DA">
      <w:pPr>
        <w:spacing w:after="120"/>
        <w:rPr>
          <w:rFonts w:cs="Arial"/>
          <w:szCs w:val="22"/>
        </w:rPr>
      </w:pPr>
      <w:r w:rsidRPr="00BD574A">
        <w:rPr>
          <w:rFonts w:cs="Arial"/>
          <w:szCs w:val="22"/>
        </w:rPr>
        <w:t xml:space="preserve">The notes at the end of this compilation (the </w:t>
      </w:r>
      <w:r w:rsidRPr="00BD574A">
        <w:rPr>
          <w:rFonts w:cs="Arial"/>
          <w:b/>
          <w:i/>
          <w:szCs w:val="22"/>
        </w:rPr>
        <w:t>endnotes</w:t>
      </w:r>
      <w:r w:rsidRPr="00BD574A">
        <w:rPr>
          <w:rFonts w:cs="Arial"/>
          <w:szCs w:val="22"/>
        </w:rPr>
        <w:t>) include information about amending laws and the amendment history of provisions of the compiled law.</w:t>
      </w:r>
    </w:p>
    <w:p w:rsidR="008B10DA" w:rsidRPr="00BD574A" w:rsidRDefault="008B10DA" w:rsidP="008B10DA">
      <w:pPr>
        <w:tabs>
          <w:tab w:val="left" w:pos="5640"/>
        </w:tabs>
        <w:spacing w:before="120" w:after="120"/>
        <w:rPr>
          <w:rFonts w:cs="Arial"/>
          <w:b/>
          <w:szCs w:val="22"/>
        </w:rPr>
      </w:pPr>
      <w:r w:rsidRPr="00BD574A">
        <w:rPr>
          <w:rFonts w:cs="Arial"/>
          <w:b/>
          <w:szCs w:val="22"/>
        </w:rPr>
        <w:t>Uncommenced amendments</w:t>
      </w:r>
    </w:p>
    <w:p w:rsidR="008B10DA" w:rsidRPr="00BD574A" w:rsidRDefault="008B10DA" w:rsidP="008B10DA">
      <w:pPr>
        <w:spacing w:after="120"/>
        <w:rPr>
          <w:rFonts w:cs="Arial"/>
          <w:szCs w:val="22"/>
        </w:rPr>
      </w:pPr>
      <w:r w:rsidRPr="00BD574A">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8B10DA" w:rsidRPr="00BD574A" w:rsidRDefault="008B10DA" w:rsidP="008B10DA">
      <w:pPr>
        <w:spacing w:before="120" w:after="120"/>
        <w:rPr>
          <w:rFonts w:cs="Arial"/>
          <w:b/>
          <w:szCs w:val="22"/>
        </w:rPr>
      </w:pPr>
      <w:r w:rsidRPr="00BD574A">
        <w:rPr>
          <w:rFonts w:cs="Arial"/>
          <w:b/>
          <w:szCs w:val="22"/>
        </w:rPr>
        <w:t>Application, saving and transitional provisions for provisions and amendments</w:t>
      </w:r>
    </w:p>
    <w:p w:rsidR="008B10DA" w:rsidRPr="00BD574A" w:rsidRDefault="008B10DA" w:rsidP="008B10DA">
      <w:pPr>
        <w:spacing w:after="120"/>
        <w:rPr>
          <w:rFonts w:cs="Arial"/>
          <w:szCs w:val="22"/>
        </w:rPr>
      </w:pPr>
      <w:r w:rsidRPr="00BD574A">
        <w:rPr>
          <w:rFonts w:cs="Arial"/>
          <w:szCs w:val="22"/>
        </w:rPr>
        <w:t>If the operation of a provision or amendment of the compiled law is affected by an application, saving or transitional provision that is not included in this compilation, details are included in the endnotes.</w:t>
      </w:r>
    </w:p>
    <w:p w:rsidR="008B10DA" w:rsidRPr="00BD574A" w:rsidRDefault="008B10DA" w:rsidP="008B10DA">
      <w:pPr>
        <w:spacing w:after="120"/>
        <w:rPr>
          <w:rFonts w:cs="Arial"/>
          <w:b/>
          <w:szCs w:val="22"/>
        </w:rPr>
      </w:pPr>
      <w:r w:rsidRPr="00BD574A">
        <w:rPr>
          <w:rFonts w:cs="Arial"/>
          <w:b/>
          <w:szCs w:val="22"/>
        </w:rPr>
        <w:t>Editorial changes</w:t>
      </w:r>
    </w:p>
    <w:p w:rsidR="008B10DA" w:rsidRPr="00BD574A" w:rsidRDefault="008B10DA" w:rsidP="008B10DA">
      <w:pPr>
        <w:spacing w:after="120"/>
        <w:rPr>
          <w:rFonts w:cs="Arial"/>
          <w:szCs w:val="22"/>
        </w:rPr>
      </w:pPr>
      <w:r w:rsidRPr="00BD574A">
        <w:rPr>
          <w:rFonts w:cs="Arial"/>
          <w:szCs w:val="22"/>
        </w:rPr>
        <w:t>For more information about any editorial changes made in this compilation, see the endnotes.</w:t>
      </w:r>
    </w:p>
    <w:p w:rsidR="008B10DA" w:rsidRPr="00BD574A" w:rsidRDefault="008B10DA" w:rsidP="008B10DA">
      <w:pPr>
        <w:spacing w:before="120" w:after="120"/>
        <w:rPr>
          <w:rFonts w:cs="Arial"/>
          <w:b/>
          <w:szCs w:val="22"/>
        </w:rPr>
      </w:pPr>
      <w:r w:rsidRPr="00BD574A">
        <w:rPr>
          <w:rFonts w:cs="Arial"/>
          <w:b/>
          <w:szCs w:val="22"/>
        </w:rPr>
        <w:t>Modifications</w:t>
      </w:r>
    </w:p>
    <w:p w:rsidR="008B10DA" w:rsidRPr="00BD574A" w:rsidRDefault="008B10DA" w:rsidP="008B10DA">
      <w:pPr>
        <w:spacing w:after="120"/>
        <w:rPr>
          <w:rFonts w:cs="Arial"/>
          <w:szCs w:val="22"/>
        </w:rPr>
      </w:pPr>
      <w:r w:rsidRPr="00BD574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8B10DA" w:rsidRPr="00BD574A" w:rsidRDefault="008B10DA" w:rsidP="008B10DA">
      <w:pPr>
        <w:spacing w:before="80" w:after="120"/>
        <w:rPr>
          <w:rFonts w:cs="Arial"/>
          <w:b/>
          <w:szCs w:val="22"/>
        </w:rPr>
      </w:pPr>
      <w:r w:rsidRPr="00BD574A">
        <w:rPr>
          <w:rFonts w:cs="Arial"/>
          <w:b/>
          <w:szCs w:val="22"/>
        </w:rPr>
        <w:t>Self</w:t>
      </w:r>
      <w:r w:rsidR="00BD574A">
        <w:rPr>
          <w:rFonts w:cs="Arial"/>
          <w:b/>
          <w:szCs w:val="22"/>
        </w:rPr>
        <w:noBreakHyphen/>
      </w:r>
      <w:r w:rsidRPr="00BD574A">
        <w:rPr>
          <w:rFonts w:cs="Arial"/>
          <w:b/>
          <w:szCs w:val="22"/>
        </w:rPr>
        <w:t>repealing provisions</w:t>
      </w:r>
    </w:p>
    <w:p w:rsidR="008B10DA" w:rsidRPr="00BD574A" w:rsidRDefault="008B10DA" w:rsidP="008B10DA">
      <w:pPr>
        <w:spacing w:after="120"/>
        <w:rPr>
          <w:rFonts w:cs="Arial"/>
          <w:szCs w:val="22"/>
        </w:rPr>
      </w:pPr>
      <w:r w:rsidRPr="00BD574A">
        <w:rPr>
          <w:rFonts w:cs="Arial"/>
          <w:szCs w:val="22"/>
        </w:rPr>
        <w:t>If a provision of the compiled law has been repealed in accordance with a provision of the law, details are included in the endnotes.</w:t>
      </w:r>
    </w:p>
    <w:p w:rsidR="008B10DA" w:rsidRPr="00BD574A" w:rsidRDefault="008B10DA" w:rsidP="008B10DA">
      <w:pPr>
        <w:pStyle w:val="Header"/>
        <w:tabs>
          <w:tab w:val="clear" w:pos="4150"/>
          <w:tab w:val="clear" w:pos="8307"/>
        </w:tabs>
      </w:pPr>
      <w:r w:rsidRPr="00BD574A">
        <w:rPr>
          <w:rStyle w:val="CharChapNo"/>
        </w:rPr>
        <w:t xml:space="preserve"> </w:t>
      </w:r>
      <w:r w:rsidRPr="00BD574A">
        <w:rPr>
          <w:rStyle w:val="CharChapText"/>
        </w:rPr>
        <w:t xml:space="preserve"> </w:t>
      </w:r>
    </w:p>
    <w:p w:rsidR="008B10DA" w:rsidRPr="00BD574A" w:rsidRDefault="008B10DA" w:rsidP="008B10DA">
      <w:pPr>
        <w:pStyle w:val="Header"/>
        <w:tabs>
          <w:tab w:val="clear" w:pos="4150"/>
          <w:tab w:val="clear" w:pos="8307"/>
        </w:tabs>
      </w:pPr>
      <w:r w:rsidRPr="00BD574A">
        <w:rPr>
          <w:rStyle w:val="CharPartNo"/>
        </w:rPr>
        <w:t xml:space="preserve"> </w:t>
      </w:r>
      <w:r w:rsidRPr="00BD574A">
        <w:rPr>
          <w:rStyle w:val="CharPartText"/>
        </w:rPr>
        <w:t xml:space="preserve"> </w:t>
      </w:r>
    </w:p>
    <w:p w:rsidR="008B10DA" w:rsidRPr="00BD574A" w:rsidRDefault="008B10DA" w:rsidP="008B10DA">
      <w:pPr>
        <w:pStyle w:val="Header"/>
        <w:tabs>
          <w:tab w:val="clear" w:pos="4150"/>
          <w:tab w:val="clear" w:pos="8307"/>
        </w:tabs>
      </w:pPr>
      <w:r w:rsidRPr="00BD574A">
        <w:rPr>
          <w:rStyle w:val="CharDivNo"/>
        </w:rPr>
        <w:t xml:space="preserve"> </w:t>
      </w:r>
      <w:r w:rsidRPr="00BD574A">
        <w:rPr>
          <w:rStyle w:val="CharDivText"/>
        </w:rPr>
        <w:t xml:space="preserve"> </w:t>
      </w:r>
    </w:p>
    <w:p w:rsidR="008B10DA" w:rsidRPr="00BD574A" w:rsidRDefault="008B10DA" w:rsidP="008B10DA">
      <w:pPr>
        <w:sectPr w:rsidR="008B10DA" w:rsidRPr="00BD574A" w:rsidSect="003B795F">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7F2614" w:rsidRPr="00BD574A" w:rsidRDefault="007F2614" w:rsidP="007F2614">
      <w:pPr>
        <w:rPr>
          <w:sz w:val="36"/>
          <w:szCs w:val="36"/>
        </w:rPr>
      </w:pPr>
      <w:r w:rsidRPr="00BD574A">
        <w:rPr>
          <w:sz w:val="36"/>
          <w:szCs w:val="36"/>
        </w:rPr>
        <w:lastRenderedPageBreak/>
        <w:t>Contents</w:t>
      </w:r>
    </w:p>
    <w:p w:rsidR="00BD574A" w:rsidRDefault="00FA4CEF">
      <w:pPr>
        <w:pStyle w:val="TOC2"/>
        <w:rPr>
          <w:rFonts w:asciiTheme="minorHAnsi" w:eastAsiaTheme="minorEastAsia" w:hAnsiTheme="minorHAnsi" w:cstheme="minorBidi"/>
          <w:b w:val="0"/>
          <w:noProof/>
          <w:kern w:val="0"/>
          <w:sz w:val="22"/>
          <w:szCs w:val="22"/>
        </w:rPr>
      </w:pPr>
      <w:r w:rsidRPr="00BD574A">
        <w:fldChar w:fldCharType="begin"/>
      </w:r>
      <w:r w:rsidRPr="00BD574A">
        <w:instrText xml:space="preserve"> TOC \o "1-9" </w:instrText>
      </w:r>
      <w:r w:rsidRPr="00BD574A">
        <w:fldChar w:fldCharType="separate"/>
      </w:r>
      <w:r w:rsidR="00BD574A">
        <w:rPr>
          <w:noProof/>
        </w:rPr>
        <w:t>Part 1—Preliminary</w:t>
      </w:r>
      <w:r w:rsidR="00BD574A" w:rsidRPr="00BD574A">
        <w:rPr>
          <w:b w:val="0"/>
          <w:noProof/>
          <w:sz w:val="18"/>
        </w:rPr>
        <w:tab/>
      </w:r>
      <w:r w:rsidR="00BD574A" w:rsidRPr="00BD574A">
        <w:rPr>
          <w:b w:val="0"/>
          <w:noProof/>
          <w:sz w:val="18"/>
        </w:rPr>
        <w:fldChar w:fldCharType="begin"/>
      </w:r>
      <w:r w:rsidR="00BD574A" w:rsidRPr="00BD574A">
        <w:rPr>
          <w:b w:val="0"/>
          <w:noProof/>
          <w:sz w:val="18"/>
        </w:rPr>
        <w:instrText xml:space="preserve"> PAGEREF _Toc487718091 \h </w:instrText>
      </w:r>
      <w:r w:rsidR="00BD574A" w:rsidRPr="00BD574A">
        <w:rPr>
          <w:b w:val="0"/>
          <w:noProof/>
          <w:sz w:val="18"/>
        </w:rPr>
      </w:r>
      <w:r w:rsidR="00BD574A" w:rsidRPr="00BD574A">
        <w:rPr>
          <w:b w:val="0"/>
          <w:noProof/>
          <w:sz w:val="18"/>
        </w:rPr>
        <w:fldChar w:fldCharType="separate"/>
      </w:r>
      <w:r w:rsidR="00371612">
        <w:rPr>
          <w:b w:val="0"/>
          <w:noProof/>
          <w:sz w:val="18"/>
        </w:rPr>
        <w:t>1</w:t>
      </w:r>
      <w:r w:rsidR="00BD574A" w:rsidRPr="00BD574A">
        <w:rPr>
          <w:b w:val="0"/>
          <w:noProof/>
          <w:sz w:val="18"/>
        </w:rPr>
        <w:fldChar w:fldCharType="end"/>
      </w:r>
    </w:p>
    <w:p w:rsidR="00BD574A" w:rsidRDefault="00BD574A">
      <w:pPr>
        <w:pStyle w:val="TOC5"/>
        <w:rPr>
          <w:rFonts w:asciiTheme="minorHAnsi" w:eastAsiaTheme="minorEastAsia" w:hAnsiTheme="minorHAnsi" w:cstheme="minorBidi"/>
          <w:noProof/>
          <w:kern w:val="0"/>
          <w:sz w:val="22"/>
          <w:szCs w:val="22"/>
        </w:rPr>
      </w:pPr>
      <w:r>
        <w:rPr>
          <w:noProof/>
        </w:rPr>
        <w:t>1</w:t>
      </w:r>
      <w:r>
        <w:rPr>
          <w:noProof/>
        </w:rPr>
        <w:tab/>
        <w:t>Short title</w:t>
      </w:r>
      <w:r w:rsidRPr="00BD574A">
        <w:rPr>
          <w:noProof/>
        </w:rPr>
        <w:tab/>
      </w:r>
      <w:r w:rsidRPr="00BD574A">
        <w:rPr>
          <w:noProof/>
        </w:rPr>
        <w:fldChar w:fldCharType="begin"/>
      </w:r>
      <w:r w:rsidRPr="00BD574A">
        <w:rPr>
          <w:noProof/>
        </w:rPr>
        <w:instrText xml:space="preserve"> PAGEREF _Toc487718092 \h </w:instrText>
      </w:r>
      <w:r w:rsidRPr="00BD574A">
        <w:rPr>
          <w:noProof/>
        </w:rPr>
      </w:r>
      <w:r w:rsidRPr="00BD574A">
        <w:rPr>
          <w:noProof/>
        </w:rPr>
        <w:fldChar w:fldCharType="separate"/>
      </w:r>
      <w:r w:rsidR="00371612">
        <w:rPr>
          <w:noProof/>
        </w:rPr>
        <w:t>1</w:t>
      </w:r>
      <w:r w:rsidRPr="00BD574A">
        <w:rPr>
          <w:noProof/>
        </w:rPr>
        <w:fldChar w:fldCharType="end"/>
      </w:r>
    </w:p>
    <w:p w:rsidR="00BD574A" w:rsidRDefault="00BD574A">
      <w:pPr>
        <w:pStyle w:val="TOC5"/>
        <w:rPr>
          <w:rFonts w:asciiTheme="minorHAnsi" w:eastAsiaTheme="minorEastAsia" w:hAnsiTheme="minorHAnsi" w:cstheme="minorBidi"/>
          <w:noProof/>
          <w:kern w:val="0"/>
          <w:sz w:val="22"/>
          <w:szCs w:val="22"/>
        </w:rPr>
      </w:pPr>
      <w:r>
        <w:rPr>
          <w:noProof/>
        </w:rPr>
        <w:t>2</w:t>
      </w:r>
      <w:r>
        <w:rPr>
          <w:noProof/>
        </w:rPr>
        <w:tab/>
        <w:t>Commencement</w:t>
      </w:r>
      <w:r w:rsidRPr="00BD574A">
        <w:rPr>
          <w:noProof/>
        </w:rPr>
        <w:tab/>
      </w:r>
      <w:r w:rsidRPr="00BD574A">
        <w:rPr>
          <w:noProof/>
        </w:rPr>
        <w:fldChar w:fldCharType="begin"/>
      </w:r>
      <w:r w:rsidRPr="00BD574A">
        <w:rPr>
          <w:noProof/>
        </w:rPr>
        <w:instrText xml:space="preserve"> PAGEREF _Toc487718093 \h </w:instrText>
      </w:r>
      <w:r w:rsidRPr="00BD574A">
        <w:rPr>
          <w:noProof/>
        </w:rPr>
      </w:r>
      <w:r w:rsidRPr="00BD574A">
        <w:rPr>
          <w:noProof/>
        </w:rPr>
        <w:fldChar w:fldCharType="separate"/>
      </w:r>
      <w:r w:rsidR="00371612">
        <w:rPr>
          <w:noProof/>
        </w:rPr>
        <w:t>1</w:t>
      </w:r>
      <w:r w:rsidRPr="00BD574A">
        <w:rPr>
          <w:noProof/>
        </w:rPr>
        <w:fldChar w:fldCharType="end"/>
      </w:r>
    </w:p>
    <w:p w:rsidR="00BD574A" w:rsidRDefault="00BD574A">
      <w:pPr>
        <w:pStyle w:val="TOC5"/>
        <w:rPr>
          <w:rFonts w:asciiTheme="minorHAnsi" w:eastAsiaTheme="minorEastAsia" w:hAnsiTheme="minorHAnsi" w:cstheme="minorBidi"/>
          <w:noProof/>
          <w:kern w:val="0"/>
          <w:sz w:val="22"/>
          <w:szCs w:val="22"/>
        </w:rPr>
      </w:pPr>
      <w:r>
        <w:rPr>
          <w:noProof/>
        </w:rPr>
        <w:t>3</w:t>
      </w:r>
      <w:r>
        <w:rPr>
          <w:noProof/>
        </w:rPr>
        <w:tab/>
        <w:t>Act binds Crown</w:t>
      </w:r>
      <w:r w:rsidRPr="00BD574A">
        <w:rPr>
          <w:noProof/>
        </w:rPr>
        <w:tab/>
      </w:r>
      <w:r w:rsidRPr="00BD574A">
        <w:rPr>
          <w:noProof/>
        </w:rPr>
        <w:fldChar w:fldCharType="begin"/>
      </w:r>
      <w:r w:rsidRPr="00BD574A">
        <w:rPr>
          <w:noProof/>
        </w:rPr>
        <w:instrText xml:space="preserve"> PAGEREF _Toc487718094 \h </w:instrText>
      </w:r>
      <w:r w:rsidRPr="00BD574A">
        <w:rPr>
          <w:noProof/>
        </w:rPr>
      </w:r>
      <w:r w:rsidRPr="00BD574A">
        <w:rPr>
          <w:noProof/>
        </w:rPr>
        <w:fldChar w:fldCharType="separate"/>
      </w:r>
      <w:r w:rsidR="00371612">
        <w:rPr>
          <w:noProof/>
        </w:rPr>
        <w:t>1</w:t>
      </w:r>
      <w:r w:rsidRPr="00BD574A">
        <w:rPr>
          <w:noProof/>
        </w:rPr>
        <w:fldChar w:fldCharType="end"/>
      </w:r>
    </w:p>
    <w:p w:rsidR="00BD574A" w:rsidRDefault="00BD574A">
      <w:pPr>
        <w:pStyle w:val="TOC5"/>
        <w:rPr>
          <w:rFonts w:asciiTheme="minorHAnsi" w:eastAsiaTheme="minorEastAsia" w:hAnsiTheme="minorHAnsi" w:cstheme="minorBidi"/>
          <w:noProof/>
          <w:kern w:val="0"/>
          <w:sz w:val="22"/>
          <w:szCs w:val="22"/>
        </w:rPr>
      </w:pPr>
      <w:r>
        <w:rPr>
          <w:noProof/>
        </w:rPr>
        <w:t>4</w:t>
      </w:r>
      <w:r>
        <w:rPr>
          <w:noProof/>
        </w:rPr>
        <w:tab/>
        <w:t>Geographical application of Act</w:t>
      </w:r>
      <w:r w:rsidRPr="00BD574A">
        <w:rPr>
          <w:noProof/>
        </w:rPr>
        <w:tab/>
      </w:r>
      <w:r w:rsidRPr="00BD574A">
        <w:rPr>
          <w:noProof/>
        </w:rPr>
        <w:fldChar w:fldCharType="begin"/>
      </w:r>
      <w:r w:rsidRPr="00BD574A">
        <w:rPr>
          <w:noProof/>
        </w:rPr>
        <w:instrText xml:space="preserve"> PAGEREF _Toc487718095 \h </w:instrText>
      </w:r>
      <w:r w:rsidRPr="00BD574A">
        <w:rPr>
          <w:noProof/>
        </w:rPr>
      </w:r>
      <w:r w:rsidRPr="00BD574A">
        <w:rPr>
          <w:noProof/>
        </w:rPr>
        <w:fldChar w:fldCharType="separate"/>
      </w:r>
      <w:r w:rsidR="00371612">
        <w:rPr>
          <w:noProof/>
        </w:rPr>
        <w:t>1</w:t>
      </w:r>
      <w:r w:rsidRPr="00BD574A">
        <w:rPr>
          <w:noProof/>
        </w:rPr>
        <w:fldChar w:fldCharType="end"/>
      </w:r>
    </w:p>
    <w:p w:rsidR="00BD574A" w:rsidRDefault="00BD574A">
      <w:pPr>
        <w:pStyle w:val="TOC5"/>
        <w:rPr>
          <w:rFonts w:asciiTheme="minorHAnsi" w:eastAsiaTheme="minorEastAsia" w:hAnsiTheme="minorHAnsi" w:cstheme="minorBidi"/>
          <w:noProof/>
          <w:kern w:val="0"/>
          <w:sz w:val="22"/>
          <w:szCs w:val="22"/>
        </w:rPr>
      </w:pPr>
      <w:r>
        <w:rPr>
          <w:noProof/>
        </w:rPr>
        <w:t>5</w:t>
      </w:r>
      <w:r>
        <w:rPr>
          <w:noProof/>
        </w:rPr>
        <w:tab/>
        <w:t>Overview of the Act</w:t>
      </w:r>
      <w:r w:rsidRPr="00BD574A">
        <w:rPr>
          <w:noProof/>
        </w:rPr>
        <w:tab/>
      </w:r>
      <w:r w:rsidRPr="00BD574A">
        <w:rPr>
          <w:noProof/>
        </w:rPr>
        <w:fldChar w:fldCharType="begin"/>
      </w:r>
      <w:r w:rsidRPr="00BD574A">
        <w:rPr>
          <w:noProof/>
        </w:rPr>
        <w:instrText xml:space="preserve"> PAGEREF _Toc487718096 \h </w:instrText>
      </w:r>
      <w:r w:rsidRPr="00BD574A">
        <w:rPr>
          <w:noProof/>
        </w:rPr>
      </w:r>
      <w:r w:rsidRPr="00BD574A">
        <w:rPr>
          <w:noProof/>
        </w:rPr>
        <w:fldChar w:fldCharType="separate"/>
      </w:r>
      <w:r w:rsidR="00371612">
        <w:rPr>
          <w:noProof/>
        </w:rPr>
        <w:t>1</w:t>
      </w:r>
      <w:r w:rsidRPr="00BD574A">
        <w:rPr>
          <w:noProof/>
        </w:rPr>
        <w:fldChar w:fldCharType="end"/>
      </w:r>
    </w:p>
    <w:p w:rsidR="00BD574A" w:rsidRDefault="00BD574A">
      <w:pPr>
        <w:pStyle w:val="TOC2"/>
        <w:rPr>
          <w:rFonts w:asciiTheme="minorHAnsi" w:eastAsiaTheme="minorEastAsia" w:hAnsiTheme="minorHAnsi" w:cstheme="minorBidi"/>
          <w:b w:val="0"/>
          <w:noProof/>
          <w:kern w:val="0"/>
          <w:sz w:val="22"/>
          <w:szCs w:val="22"/>
        </w:rPr>
      </w:pPr>
      <w:r>
        <w:rPr>
          <w:noProof/>
        </w:rPr>
        <w:t>Part 2—Government co</w:t>
      </w:r>
      <w:r>
        <w:rPr>
          <w:noProof/>
        </w:rPr>
        <w:noBreakHyphen/>
        <w:t>contribution in respect of low income earners</w:t>
      </w:r>
      <w:r w:rsidRPr="00BD574A">
        <w:rPr>
          <w:b w:val="0"/>
          <w:noProof/>
          <w:sz w:val="18"/>
        </w:rPr>
        <w:tab/>
      </w:r>
      <w:r w:rsidRPr="00BD574A">
        <w:rPr>
          <w:b w:val="0"/>
          <w:noProof/>
          <w:sz w:val="18"/>
        </w:rPr>
        <w:fldChar w:fldCharType="begin"/>
      </w:r>
      <w:r w:rsidRPr="00BD574A">
        <w:rPr>
          <w:b w:val="0"/>
          <w:noProof/>
          <w:sz w:val="18"/>
        </w:rPr>
        <w:instrText xml:space="preserve"> PAGEREF _Toc487718097 \h </w:instrText>
      </w:r>
      <w:r w:rsidRPr="00BD574A">
        <w:rPr>
          <w:b w:val="0"/>
          <w:noProof/>
          <w:sz w:val="18"/>
        </w:rPr>
      </w:r>
      <w:r w:rsidRPr="00BD574A">
        <w:rPr>
          <w:b w:val="0"/>
          <w:noProof/>
          <w:sz w:val="18"/>
        </w:rPr>
        <w:fldChar w:fldCharType="separate"/>
      </w:r>
      <w:r w:rsidR="00371612">
        <w:rPr>
          <w:b w:val="0"/>
          <w:noProof/>
          <w:sz w:val="18"/>
        </w:rPr>
        <w:t>3</w:t>
      </w:r>
      <w:r w:rsidRPr="00BD574A">
        <w:rPr>
          <w:b w:val="0"/>
          <w:noProof/>
          <w:sz w:val="18"/>
        </w:rPr>
        <w:fldChar w:fldCharType="end"/>
      </w:r>
    </w:p>
    <w:p w:rsidR="00BD574A" w:rsidRDefault="00BD574A">
      <w:pPr>
        <w:pStyle w:val="TOC3"/>
        <w:rPr>
          <w:rFonts w:asciiTheme="minorHAnsi" w:eastAsiaTheme="minorEastAsia" w:hAnsiTheme="minorHAnsi" w:cstheme="minorBidi"/>
          <w:b w:val="0"/>
          <w:noProof/>
          <w:kern w:val="0"/>
          <w:szCs w:val="22"/>
        </w:rPr>
      </w:pPr>
      <w:r>
        <w:rPr>
          <w:noProof/>
        </w:rPr>
        <w:t>Division 1—Government co</w:t>
      </w:r>
      <w:r>
        <w:rPr>
          <w:noProof/>
        </w:rPr>
        <w:noBreakHyphen/>
        <w:t>contribution</w:t>
      </w:r>
      <w:r w:rsidRPr="00BD574A">
        <w:rPr>
          <w:b w:val="0"/>
          <w:noProof/>
          <w:sz w:val="18"/>
        </w:rPr>
        <w:tab/>
      </w:r>
      <w:r w:rsidRPr="00BD574A">
        <w:rPr>
          <w:b w:val="0"/>
          <w:noProof/>
          <w:sz w:val="18"/>
        </w:rPr>
        <w:fldChar w:fldCharType="begin"/>
      </w:r>
      <w:r w:rsidRPr="00BD574A">
        <w:rPr>
          <w:b w:val="0"/>
          <w:noProof/>
          <w:sz w:val="18"/>
        </w:rPr>
        <w:instrText xml:space="preserve"> PAGEREF _Toc487718098 \h </w:instrText>
      </w:r>
      <w:r w:rsidRPr="00BD574A">
        <w:rPr>
          <w:b w:val="0"/>
          <w:noProof/>
          <w:sz w:val="18"/>
        </w:rPr>
      </w:r>
      <w:r w:rsidRPr="00BD574A">
        <w:rPr>
          <w:b w:val="0"/>
          <w:noProof/>
          <w:sz w:val="18"/>
        </w:rPr>
        <w:fldChar w:fldCharType="separate"/>
      </w:r>
      <w:r w:rsidR="00371612">
        <w:rPr>
          <w:b w:val="0"/>
          <w:noProof/>
          <w:sz w:val="18"/>
        </w:rPr>
        <w:t>3</w:t>
      </w:r>
      <w:r w:rsidRPr="00BD574A">
        <w:rPr>
          <w:b w:val="0"/>
          <w:noProof/>
          <w:sz w:val="18"/>
        </w:rPr>
        <w:fldChar w:fldCharType="end"/>
      </w:r>
    </w:p>
    <w:p w:rsidR="00BD574A" w:rsidRDefault="00BD574A">
      <w:pPr>
        <w:pStyle w:val="TOC5"/>
        <w:rPr>
          <w:rFonts w:asciiTheme="minorHAnsi" w:eastAsiaTheme="minorEastAsia" w:hAnsiTheme="minorHAnsi" w:cstheme="minorBidi"/>
          <w:noProof/>
          <w:kern w:val="0"/>
          <w:sz w:val="22"/>
          <w:szCs w:val="22"/>
        </w:rPr>
      </w:pPr>
      <w:r>
        <w:rPr>
          <w:noProof/>
        </w:rPr>
        <w:t>6</w:t>
      </w:r>
      <w:r>
        <w:rPr>
          <w:noProof/>
        </w:rPr>
        <w:tab/>
        <w:t>Person in respect of whom Government co</w:t>
      </w:r>
      <w:r>
        <w:rPr>
          <w:noProof/>
        </w:rPr>
        <w:noBreakHyphen/>
        <w:t>contribution payable</w:t>
      </w:r>
      <w:r w:rsidRPr="00BD574A">
        <w:rPr>
          <w:noProof/>
        </w:rPr>
        <w:tab/>
      </w:r>
      <w:r w:rsidRPr="00BD574A">
        <w:rPr>
          <w:noProof/>
        </w:rPr>
        <w:fldChar w:fldCharType="begin"/>
      </w:r>
      <w:r w:rsidRPr="00BD574A">
        <w:rPr>
          <w:noProof/>
        </w:rPr>
        <w:instrText xml:space="preserve"> PAGEREF _Toc487718099 \h </w:instrText>
      </w:r>
      <w:r w:rsidRPr="00BD574A">
        <w:rPr>
          <w:noProof/>
        </w:rPr>
      </w:r>
      <w:r w:rsidRPr="00BD574A">
        <w:rPr>
          <w:noProof/>
        </w:rPr>
        <w:fldChar w:fldCharType="separate"/>
      </w:r>
      <w:r w:rsidR="00371612">
        <w:rPr>
          <w:noProof/>
        </w:rPr>
        <w:t>3</w:t>
      </w:r>
      <w:r w:rsidRPr="00BD574A">
        <w:rPr>
          <w:noProof/>
        </w:rPr>
        <w:fldChar w:fldCharType="end"/>
      </w:r>
    </w:p>
    <w:p w:rsidR="00BD574A" w:rsidRDefault="00BD574A">
      <w:pPr>
        <w:pStyle w:val="TOC5"/>
        <w:rPr>
          <w:rFonts w:asciiTheme="minorHAnsi" w:eastAsiaTheme="minorEastAsia" w:hAnsiTheme="minorHAnsi" w:cstheme="minorBidi"/>
          <w:noProof/>
          <w:kern w:val="0"/>
          <w:sz w:val="22"/>
          <w:szCs w:val="22"/>
        </w:rPr>
      </w:pPr>
      <w:r>
        <w:rPr>
          <w:noProof/>
        </w:rPr>
        <w:t>7</w:t>
      </w:r>
      <w:r>
        <w:rPr>
          <w:noProof/>
        </w:rPr>
        <w:tab/>
        <w:t>Contributions that attract matching Government co</w:t>
      </w:r>
      <w:r>
        <w:rPr>
          <w:noProof/>
        </w:rPr>
        <w:noBreakHyphen/>
        <w:t>contributions</w:t>
      </w:r>
      <w:r w:rsidRPr="00BD574A">
        <w:rPr>
          <w:noProof/>
        </w:rPr>
        <w:tab/>
      </w:r>
      <w:r w:rsidRPr="00BD574A">
        <w:rPr>
          <w:noProof/>
        </w:rPr>
        <w:fldChar w:fldCharType="begin"/>
      </w:r>
      <w:r w:rsidRPr="00BD574A">
        <w:rPr>
          <w:noProof/>
        </w:rPr>
        <w:instrText xml:space="preserve"> PAGEREF _Toc487718100 \h </w:instrText>
      </w:r>
      <w:r w:rsidRPr="00BD574A">
        <w:rPr>
          <w:noProof/>
        </w:rPr>
      </w:r>
      <w:r w:rsidRPr="00BD574A">
        <w:rPr>
          <w:noProof/>
        </w:rPr>
        <w:fldChar w:fldCharType="separate"/>
      </w:r>
      <w:r w:rsidR="00371612">
        <w:rPr>
          <w:noProof/>
        </w:rPr>
        <w:t>4</w:t>
      </w:r>
      <w:r w:rsidRPr="00BD574A">
        <w:rPr>
          <w:noProof/>
        </w:rPr>
        <w:fldChar w:fldCharType="end"/>
      </w:r>
    </w:p>
    <w:p w:rsidR="00BD574A" w:rsidRDefault="00BD574A">
      <w:pPr>
        <w:pStyle w:val="TOC5"/>
        <w:rPr>
          <w:rFonts w:asciiTheme="minorHAnsi" w:eastAsiaTheme="minorEastAsia" w:hAnsiTheme="minorHAnsi" w:cstheme="minorBidi"/>
          <w:noProof/>
          <w:kern w:val="0"/>
          <w:sz w:val="22"/>
          <w:szCs w:val="22"/>
        </w:rPr>
      </w:pPr>
      <w:r>
        <w:rPr>
          <w:noProof/>
        </w:rPr>
        <w:t>8</w:t>
      </w:r>
      <w:r>
        <w:rPr>
          <w:noProof/>
        </w:rPr>
        <w:tab/>
        <w:t>Total income for income year</w:t>
      </w:r>
      <w:r w:rsidRPr="00BD574A">
        <w:rPr>
          <w:noProof/>
        </w:rPr>
        <w:tab/>
      </w:r>
      <w:r w:rsidRPr="00BD574A">
        <w:rPr>
          <w:noProof/>
        </w:rPr>
        <w:fldChar w:fldCharType="begin"/>
      </w:r>
      <w:r w:rsidRPr="00BD574A">
        <w:rPr>
          <w:noProof/>
        </w:rPr>
        <w:instrText xml:space="preserve"> PAGEREF _Toc487718101 \h </w:instrText>
      </w:r>
      <w:r w:rsidRPr="00BD574A">
        <w:rPr>
          <w:noProof/>
        </w:rPr>
      </w:r>
      <w:r w:rsidRPr="00BD574A">
        <w:rPr>
          <w:noProof/>
        </w:rPr>
        <w:fldChar w:fldCharType="separate"/>
      </w:r>
      <w:r w:rsidR="00371612">
        <w:rPr>
          <w:noProof/>
        </w:rPr>
        <w:t>5</w:t>
      </w:r>
      <w:r w:rsidRPr="00BD574A">
        <w:rPr>
          <w:noProof/>
        </w:rPr>
        <w:fldChar w:fldCharType="end"/>
      </w:r>
    </w:p>
    <w:p w:rsidR="00BD574A" w:rsidRDefault="00BD574A">
      <w:pPr>
        <w:pStyle w:val="TOC3"/>
        <w:rPr>
          <w:rFonts w:asciiTheme="minorHAnsi" w:eastAsiaTheme="minorEastAsia" w:hAnsiTheme="minorHAnsi" w:cstheme="minorBidi"/>
          <w:b w:val="0"/>
          <w:noProof/>
          <w:kern w:val="0"/>
          <w:szCs w:val="22"/>
        </w:rPr>
      </w:pPr>
      <w:r>
        <w:rPr>
          <w:noProof/>
        </w:rPr>
        <w:t>Division 2—Amount of the Government co</w:t>
      </w:r>
      <w:r>
        <w:rPr>
          <w:noProof/>
        </w:rPr>
        <w:noBreakHyphen/>
        <w:t>contribution</w:t>
      </w:r>
      <w:r w:rsidRPr="00BD574A">
        <w:rPr>
          <w:b w:val="0"/>
          <w:noProof/>
          <w:sz w:val="18"/>
        </w:rPr>
        <w:tab/>
      </w:r>
      <w:r w:rsidRPr="00BD574A">
        <w:rPr>
          <w:b w:val="0"/>
          <w:noProof/>
          <w:sz w:val="18"/>
        </w:rPr>
        <w:fldChar w:fldCharType="begin"/>
      </w:r>
      <w:r w:rsidRPr="00BD574A">
        <w:rPr>
          <w:b w:val="0"/>
          <w:noProof/>
          <w:sz w:val="18"/>
        </w:rPr>
        <w:instrText xml:space="preserve"> PAGEREF _Toc487718102 \h </w:instrText>
      </w:r>
      <w:r w:rsidRPr="00BD574A">
        <w:rPr>
          <w:b w:val="0"/>
          <w:noProof/>
          <w:sz w:val="18"/>
        </w:rPr>
      </w:r>
      <w:r w:rsidRPr="00BD574A">
        <w:rPr>
          <w:b w:val="0"/>
          <w:noProof/>
          <w:sz w:val="18"/>
        </w:rPr>
        <w:fldChar w:fldCharType="separate"/>
      </w:r>
      <w:r w:rsidR="00371612">
        <w:rPr>
          <w:b w:val="0"/>
          <w:noProof/>
          <w:sz w:val="18"/>
        </w:rPr>
        <w:t>7</w:t>
      </w:r>
      <w:r w:rsidRPr="00BD574A">
        <w:rPr>
          <w:b w:val="0"/>
          <w:noProof/>
          <w:sz w:val="18"/>
        </w:rPr>
        <w:fldChar w:fldCharType="end"/>
      </w:r>
    </w:p>
    <w:p w:rsidR="00BD574A" w:rsidRDefault="00BD574A">
      <w:pPr>
        <w:pStyle w:val="TOC5"/>
        <w:rPr>
          <w:rFonts w:asciiTheme="minorHAnsi" w:eastAsiaTheme="minorEastAsia" w:hAnsiTheme="minorHAnsi" w:cstheme="minorBidi"/>
          <w:noProof/>
          <w:kern w:val="0"/>
          <w:sz w:val="22"/>
          <w:szCs w:val="22"/>
        </w:rPr>
      </w:pPr>
      <w:r>
        <w:rPr>
          <w:noProof/>
        </w:rPr>
        <w:t>9</w:t>
      </w:r>
      <w:r>
        <w:rPr>
          <w:noProof/>
        </w:rPr>
        <w:tab/>
        <w:t>Basic rule—Government co</w:t>
      </w:r>
      <w:r>
        <w:rPr>
          <w:noProof/>
        </w:rPr>
        <w:noBreakHyphen/>
        <w:t>contribution matches personal contributions</w:t>
      </w:r>
      <w:r w:rsidRPr="00BD574A">
        <w:rPr>
          <w:noProof/>
        </w:rPr>
        <w:tab/>
      </w:r>
      <w:r w:rsidRPr="00BD574A">
        <w:rPr>
          <w:noProof/>
        </w:rPr>
        <w:fldChar w:fldCharType="begin"/>
      </w:r>
      <w:r w:rsidRPr="00BD574A">
        <w:rPr>
          <w:noProof/>
        </w:rPr>
        <w:instrText xml:space="preserve"> PAGEREF _Toc487718103 \h </w:instrText>
      </w:r>
      <w:r w:rsidRPr="00BD574A">
        <w:rPr>
          <w:noProof/>
        </w:rPr>
      </w:r>
      <w:r w:rsidRPr="00BD574A">
        <w:rPr>
          <w:noProof/>
        </w:rPr>
        <w:fldChar w:fldCharType="separate"/>
      </w:r>
      <w:r w:rsidR="00371612">
        <w:rPr>
          <w:noProof/>
        </w:rPr>
        <w:t>7</w:t>
      </w:r>
      <w:r w:rsidRPr="00BD574A">
        <w:rPr>
          <w:noProof/>
        </w:rPr>
        <w:fldChar w:fldCharType="end"/>
      </w:r>
    </w:p>
    <w:p w:rsidR="00BD574A" w:rsidRDefault="00BD574A">
      <w:pPr>
        <w:pStyle w:val="TOC5"/>
        <w:rPr>
          <w:rFonts w:asciiTheme="minorHAnsi" w:eastAsiaTheme="minorEastAsia" w:hAnsiTheme="minorHAnsi" w:cstheme="minorBidi"/>
          <w:noProof/>
          <w:kern w:val="0"/>
          <w:sz w:val="22"/>
          <w:szCs w:val="22"/>
        </w:rPr>
      </w:pPr>
      <w:r>
        <w:rPr>
          <w:noProof/>
        </w:rPr>
        <w:t>10</w:t>
      </w:r>
      <w:r>
        <w:rPr>
          <w:noProof/>
        </w:rPr>
        <w:tab/>
        <w:t>Taper based on total income for the income year</w:t>
      </w:r>
      <w:r w:rsidRPr="00BD574A">
        <w:rPr>
          <w:noProof/>
        </w:rPr>
        <w:tab/>
      </w:r>
      <w:r w:rsidRPr="00BD574A">
        <w:rPr>
          <w:noProof/>
        </w:rPr>
        <w:fldChar w:fldCharType="begin"/>
      </w:r>
      <w:r w:rsidRPr="00BD574A">
        <w:rPr>
          <w:noProof/>
        </w:rPr>
        <w:instrText xml:space="preserve"> PAGEREF _Toc487718104 \h </w:instrText>
      </w:r>
      <w:r w:rsidRPr="00BD574A">
        <w:rPr>
          <w:noProof/>
        </w:rPr>
      </w:r>
      <w:r w:rsidRPr="00BD574A">
        <w:rPr>
          <w:noProof/>
        </w:rPr>
        <w:fldChar w:fldCharType="separate"/>
      </w:r>
      <w:r w:rsidR="00371612">
        <w:rPr>
          <w:noProof/>
        </w:rPr>
        <w:t>7</w:t>
      </w:r>
      <w:r w:rsidRPr="00BD574A">
        <w:rPr>
          <w:noProof/>
        </w:rPr>
        <w:fldChar w:fldCharType="end"/>
      </w:r>
    </w:p>
    <w:p w:rsidR="00BD574A" w:rsidRDefault="00BD574A">
      <w:pPr>
        <w:pStyle w:val="TOC5"/>
        <w:rPr>
          <w:rFonts w:asciiTheme="minorHAnsi" w:eastAsiaTheme="minorEastAsia" w:hAnsiTheme="minorHAnsi" w:cstheme="minorBidi"/>
          <w:noProof/>
          <w:kern w:val="0"/>
          <w:sz w:val="22"/>
          <w:szCs w:val="22"/>
        </w:rPr>
      </w:pPr>
      <w:r>
        <w:rPr>
          <w:noProof/>
        </w:rPr>
        <w:t>10A</w:t>
      </w:r>
      <w:r>
        <w:rPr>
          <w:noProof/>
        </w:rPr>
        <w:tab/>
        <w:t>Increases in lower and higher income threshold</w:t>
      </w:r>
      <w:r w:rsidRPr="00BD574A">
        <w:rPr>
          <w:noProof/>
        </w:rPr>
        <w:tab/>
      </w:r>
      <w:r w:rsidRPr="00BD574A">
        <w:rPr>
          <w:noProof/>
        </w:rPr>
        <w:fldChar w:fldCharType="begin"/>
      </w:r>
      <w:r w:rsidRPr="00BD574A">
        <w:rPr>
          <w:noProof/>
        </w:rPr>
        <w:instrText xml:space="preserve"> PAGEREF _Toc487718105 \h </w:instrText>
      </w:r>
      <w:r w:rsidRPr="00BD574A">
        <w:rPr>
          <w:noProof/>
        </w:rPr>
      </w:r>
      <w:r w:rsidRPr="00BD574A">
        <w:rPr>
          <w:noProof/>
        </w:rPr>
        <w:fldChar w:fldCharType="separate"/>
      </w:r>
      <w:r w:rsidR="00371612">
        <w:rPr>
          <w:noProof/>
        </w:rPr>
        <w:t>9</w:t>
      </w:r>
      <w:r w:rsidRPr="00BD574A">
        <w:rPr>
          <w:noProof/>
        </w:rPr>
        <w:fldChar w:fldCharType="end"/>
      </w:r>
    </w:p>
    <w:p w:rsidR="00BD574A" w:rsidRDefault="00BD574A">
      <w:pPr>
        <w:pStyle w:val="TOC5"/>
        <w:rPr>
          <w:rFonts w:asciiTheme="minorHAnsi" w:eastAsiaTheme="minorEastAsia" w:hAnsiTheme="minorHAnsi" w:cstheme="minorBidi"/>
          <w:noProof/>
          <w:kern w:val="0"/>
          <w:sz w:val="22"/>
          <w:szCs w:val="22"/>
        </w:rPr>
      </w:pPr>
      <w:r>
        <w:rPr>
          <w:noProof/>
        </w:rPr>
        <w:t>11</w:t>
      </w:r>
      <w:r>
        <w:rPr>
          <w:noProof/>
        </w:rPr>
        <w:tab/>
        <w:t>Minimum Government co</w:t>
      </w:r>
      <w:r>
        <w:rPr>
          <w:noProof/>
        </w:rPr>
        <w:noBreakHyphen/>
        <w:t>contribution</w:t>
      </w:r>
      <w:r w:rsidRPr="00BD574A">
        <w:rPr>
          <w:noProof/>
        </w:rPr>
        <w:tab/>
      </w:r>
      <w:r w:rsidRPr="00BD574A">
        <w:rPr>
          <w:noProof/>
        </w:rPr>
        <w:fldChar w:fldCharType="begin"/>
      </w:r>
      <w:r w:rsidRPr="00BD574A">
        <w:rPr>
          <w:noProof/>
        </w:rPr>
        <w:instrText xml:space="preserve"> PAGEREF _Toc487718106 \h </w:instrText>
      </w:r>
      <w:r w:rsidRPr="00BD574A">
        <w:rPr>
          <w:noProof/>
        </w:rPr>
      </w:r>
      <w:r w:rsidRPr="00BD574A">
        <w:rPr>
          <w:noProof/>
        </w:rPr>
        <w:fldChar w:fldCharType="separate"/>
      </w:r>
      <w:r w:rsidR="00371612">
        <w:rPr>
          <w:noProof/>
        </w:rPr>
        <w:t>12</w:t>
      </w:r>
      <w:r w:rsidRPr="00BD574A">
        <w:rPr>
          <w:noProof/>
        </w:rPr>
        <w:fldChar w:fldCharType="end"/>
      </w:r>
    </w:p>
    <w:p w:rsidR="00BD574A" w:rsidRDefault="00BD574A">
      <w:pPr>
        <w:pStyle w:val="TOC5"/>
        <w:rPr>
          <w:rFonts w:asciiTheme="minorHAnsi" w:eastAsiaTheme="minorEastAsia" w:hAnsiTheme="minorHAnsi" w:cstheme="minorBidi"/>
          <w:noProof/>
          <w:kern w:val="0"/>
          <w:sz w:val="22"/>
          <w:szCs w:val="22"/>
        </w:rPr>
      </w:pPr>
      <w:r>
        <w:rPr>
          <w:noProof/>
        </w:rPr>
        <w:t>12</w:t>
      </w:r>
      <w:r>
        <w:rPr>
          <w:noProof/>
        </w:rPr>
        <w:tab/>
        <w:t>Government co</w:t>
      </w:r>
      <w:r>
        <w:rPr>
          <w:noProof/>
        </w:rPr>
        <w:noBreakHyphen/>
        <w:t>contribution increased by interest amount if paid late in certain circumstances</w:t>
      </w:r>
      <w:r w:rsidRPr="00BD574A">
        <w:rPr>
          <w:noProof/>
        </w:rPr>
        <w:tab/>
      </w:r>
      <w:r w:rsidRPr="00BD574A">
        <w:rPr>
          <w:noProof/>
        </w:rPr>
        <w:fldChar w:fldCharType="begin"/>
      </w:r>
      <w:r w:rsidRPr="00BD574A">
        <w:rPr>
          <w:noProof/>
        </w:rPr>
        <w:instrText xml:space="preserve"> PAGEREF _Toc487718107 \h </w:instrText>
      </w:r>
      <w:r w:rsidRPr="00BD574A">
        <w:rPr>
          <w:noProof/>
        </w:rPr>
      </w:r>
      <w:r w:rsidRPr="00BD574A">
        <w:rPr>
          <w:noProof/>
        </w:rPr>
        <w:fldChar w:fldCharType="separate"/>
      </w:r>
      <w:r w:rsidR="00371612">
        <w:rPr>
          <w:noProof/>
        </w:rPr>
        <w:t>12</w:t>
      </w:r>
      <w:r w:rsidRPr="00BD574A">
        <w:rPr>
          <w:noProof/>
        </w:rPr>
        <w:fldChar w:fldCharType="end"/>
      </w:r>
    </w:p>
    <w:p w:rsidR="00BD574A" w:rsidRDefault="00BD574A">
      <w:pPr>
        <w:pStyle w:val="TOC5"/>
        <w:rPr>
          <w:rFonts w:asciiTheme="minorHAnsi" w:eastAsiaTheme="minorEastAsia" w:hAnsiTheme="minorHAnsi" w:cstheme="minorBidi"/>
          <w:noProof/>
          <w:kern w:val="0"/>
          <w:sz w:val="22"/>
          <w:szCs w:val="22"/>
        </w:rPr>
      </w:pPr>
      <w:r>
        <w:rPr>
          <w:noProof/>
        </w:rPr>
        <w:t>12A</w:t>
      </w:r>
      <w:r>
        <w:rPr>
          <w:noProof/>
        </w:rPr>
        <w:tab/>
        <w:t>Amount of the Government co</w:t>
      </w:r>
      <w:r>
        <w:rPr>
          <w:noProof/>
        </w:rPr>
        <w:noBreakHyphen/>
        <w:t>contribution for 2005</w:t>
      </w:r>
      <w:r>
        <w:rPr>
          <w:noProof/>
        </w:rPr>
        <w:noBreakHyphen/>
        <w:t>06 income year</w:t>
      </w:r>
      <w:r w:rsidRPr="00BD574A">
        <w:rPr>
          <w:noProof/>
        </w:rPr>
        <w:tab/>
      </w:r>
      <w:r w:rsidRPr="00BD574A">
        <w:rPr>
          <w:noProof/>
        </w:rPr>
        <w:fldChar w:fldCharType="begin"/>
      </w:r>
      <w:r w:rsidRPr="00BD574A">
        <w:rPr>
          <w:noProof/>
        </w:rPr>
        <w:instrText xml:space="preserve"> PAGEREF _Toc487718108 \h </w:instrText>
      </w:r>
      <w:r w:rsidRPr="00BD574A">
        <w:rPr>
          <w:noProof/>
        </w:rPr>
      </w:r>
      <w:r w:rsidRPr="00BD574A">
        <w:rPr>
          <w:noProof/>
        </w:rPr>
        <w:fldChar w:fldCharType="separate"/>
      </w:r>
      <w:r w:rsidR="00371612">
        <w:rPr>
          <w:noProof/>
        </w:rPr>
        <w:t>12</w:t>
      </w:r>
      <w:r w:rsidRPr="00BD574A">
        <w:rPr>
          <w:noProof/>
        </w:rPr>
        <w:fldChar w:fldCharType="end"/>
      </w:r>
    </w:p>
    <w:p w:rsidR="00BD574A" w:rsidRDefault="00BD574A">
      <w:pPr>
        <w:pStyle w:val="TOC2"/>
        <w:rPr>
          <w:rFonts w:asciiTheme="minorHAnsi" w:eastAsiaTheme="minorEastAsia" w:hAnsiTheme="minorHAnsi" w:cstheme="minorBidi"/>
          <w:b w:val="0"/>
          <w:noProof/>
          <w:kern w:val="0"/>
          <w:sz w:val="22"/>
          <w:szCs w:val="22"/>
        </w:rPr>
      </w:pPr>
      <w:r>
        <w:rPr>
          <w:noProof/>
        </w:rPr>
        <w:t>Part 2A—Low income superannuation tax offset</w:t>
      </w:r>
      <w:r w:rsidRPr="00BD574A">
        <w:rPr>
          <w:b w:val="0"/>
          <w:noProof/>
          <w:sz w:val="18"/>
        </w:rPr>
        <w:tab/>
      </w:r>
      <w:r w:rsidRPr="00BD574A">
        <w:rPr>
          <w:b w:val="0"/>
          <w:noProof/>
          <w:sz w:val="18"/>
        </w:rPr>
        <w:fldChar w:fldCharType="begin"/>
      </w:r>
      <w:r w:rsidRPr="00BD574A">
        <w:rPr>
          <w:b w:val="0"/>
          <w:noProof/>
          <w:sz w:val="18"/>
        </w:rPr>
        <w:instrText xml:space="preserve"> PAGEREF _Toc487718109 \h </w:instrText>
      </w:r>
      <w:r w:rsidRPr="00BD574A">
        <w:rPr>
          <w:b w:val="0"/>
          <w:noProof/>
          <w:sz w:val="18"/>
        </w:rPr>
      </w:r>
      <w:r w:rsidRPr="00BD574A">
        <w:rPr>
          <w:b w:val="0"/>
          <w:noProof/>
          <w:sz w:val="18"/>
        </w:rPr>
        <w:fldChar w:fldCharType="separate"/>
      </w:r>
      <w:r w:rsidR="00371612">
        <w:rPr>
          <w:b w:val="0"/>
          <w:noProof/>
          <w:sz w:val="18"/>
        </w:rPr>
        <w:t>14</w:t>
      </w:r>
      <w:r w:rsidRPr="00BD574A">
        <w:rPr>
          <w:b w:val="0"/>
          <w:noProof/>
          <w:sz w:val="18"/>
        </w:rPr>
        <w:fldChar w:fldCharType="end"/>
      </w:r>
    </w:p>
    <w:p w:rsidR="00BD574A" w:rsidRDefault="00BD574A">
      <w:pPr>
        <w:pStyle w:val="TOC5"/>
        <w:rPr>
          <w:rFonts w:asciiTheme="minorHAnsi" w:eastAsiaTheme="minorEastAsia" w:hAnsiTheme="minorHAnsi" w:cstheme="minorBidi"/>
          <w:noProof/>
          <w:kern w:val="0"/>
          <w:sz w:val="22"/>
          <w:szCs w:val="22"/>
        </w:rPr>
      </w:pPr>
      <w:r>
        <w:rPr>
          <w:noProof/>
        </w:rPr>
        <w:t>12B</w:t>
      </w:r>
      <w:r>
        <w:rPr>
          <w:noProof/>
        </w:rPr>
        <w:tab/>
        <w:t>Reference to Government co</w:t>
      </w:r>
      <w:r>
        <w:rPr>
          <w:noProof/>
        </w:rPr>
        <w:noBreakHyphen/>
        <w:t>contribution includes reference to low income superannuation tax offset</w:t>
      </w:r>
      <w:r w:rsidRPr="00BD574A">
        <w:rPr>
          <w:noProof/>
        </w:rPr>
        <w:tab/>
      </w:r>
      <w:r w:rsidRPr="00BD574A">
        <w:rPr>
          <w:noProof/>
        </w:rPr>
        <w:fldChar w:fldCharType="begin"/>
      </w:r>
      <w:r w:rsidRPr="00BD574A">
        <w:rPr>
          <w:noProof/>
        </w:rPr>
        <w:instrText xml:space="preserve"> PAGEREF _Toc487718110 \h </w:instrText>
      </w:r>
      <w:r w:rsidRPr="00BD574A">
        <w:rPr>
          <w:noProof/>
        </w:rPr>
      </w:r>
      <w:r w:rsidRPr="00BD574A">
        <w:rPr>
          <w:noProof/>
        </w:rPr>
        <w:fldChar w:fldCharType="separate"/>
      </w:r>
      <w:r w:rsidR="00371612">
        <w:rPr>
          <w:noProof/>
        </w:rPr>
        <w:t>14</w:t>
      </w:r>
      <w:r w:rsidRPr="00BD574A">
        <w:rPr>
          <w:noProof/>
        </w:rPr>
        <w:fldChar w:fldCharType="end"/>
      </w:r>
    </w:p>
    <w:p w:rsidR="00BD574A" w:rsidRDefault="00BD574A">
      <w:pPr>
        <w:pStyle w:val="TOC5"/>
        <w:rPr>
          <w:rFonts w:asciiTheme="minorHAnsi" w:eastAsiaTheme="minorEastAsia" w:hAnsiTheme="minorHAnsi" w:cstheme="minorBidi"/>
          <w:noProof/>
          <w:kern w:val="0"/>
          <w:sz w:val="22"/>
          <w:szCs w:val="22"/>
        </w:rPr>
      </w:pPr>
      <w:r>
        <w:rPr>
          <w:noProof/>
        </w:rPr>
        <w:t>12C</w:t>
      </w:r>
      <w:r>
        <w:rPr>
          <w:noProof/>
        </w:rPr>
        <w:tab/>
        <w:t>Person entitled to low income superannuation tax offset</w:t>
      </w:r>
      <w:r w:rsidRPr="00BD574A">
        <w:rPr>
          <w:noProof/>
        </w:rPr>
        <w:tab/>
      </w:r>
      <w:r w:rsidRPr="00BD574A">
        <w:rPr>
          <w:noProof/>
        </w:rPr>
        <w:fldChar w:fldCharType="begin"/>
      </w:r>
      <w:r w:rsidRPr="00BD574A">
        <w:rPr>
          <w:noProof/>
        </w:rPr>
        <w:instrText xml:space="preserve"> PAGEREF _Toc487718111 \h </w:instrText>
      </w:r>
      <w:r w:rsidRPr="00BD574A">
        <w:rPr>
          <w:noProof/>
        </w:rPr>
      </w:r>
      <w:r w:rsidRPr="00BD574A">
        <w:rPr>
          <w:noProof/>
        </w:rPr>
        <w:fldChar w:fldCharType="separate"/>
      </w:r>
      <w:r w:rsidR="00371612">
        <w:rPr>
          <w:noProof/>
        </w:rPr>
        <w:t>14</w:t>
      </w:r>
      <w:r w:rsidRPr="00BD574A">
        <w:rPr>
          <w:noProof/>
        </w:rPr>
        <w:fldChar w:fldCharType="end"/>
      </w:r>
    </w:p>
    <w:p w:rsidR="00BD574A" w:rsidRDefault="00BD574A">
      <w:pPr>
        <w:pStyle w:val="TOC5"/>
        <w:rPr>
          <w:rFonts w:asciiTheme="minorHAnsi" w:eastAsiaTheme="minorEastAsia" w:hAnsiTheme="minorHAnsi" w:cstheme="minorBidi"/>
          <w:noProof/>
          <w:kern w:val="0"/>
          <w:sz w:val="22"/>
          <w:szCs w:val="22"/>
        </w:rPr>
      </w:pPr>
      <w:r>
        <w:rPr>
          <w:noProof/>
        </w:rPr>
        <w:t>12E</w:t>
      </w:r>
      <w:r>
        <w:rPr>
          <w:noProof/>
        </w:rPr>
        <w:tab/>
        <w:t>Amount of low income superannuation tax offset</w:t>
      </w:r>
      <w:r w:rsidRPr="00BD574A">
        <w:rPr>
          <w:noProof/>
        </w:rPr>
        <w:tab/>
      </w:r>
      <w:r w:rsidRPr="00BD574A">
        <w:rPr>
          <w:noProof/>
        </w:rPr>
        <w:fldChar w:fldCharType="begin"/>
      </w:r>
      <w:r w:rsidRPr="00BD574A">
        <w:rPr>
          <w:noProof/>
        </w:rPr>
        <w:instrText xml:space="preserve"> PAGEREF _Toc487718112 \h </w:instrText>
      </w:r>
      <w:r w:rsidRPr="00BD574A">
        <w:rPr>
          <w:noProof/>
        </w:rPr>
      </w:r>
      <w:r w:rsidRPr="00BD574A">
        <w:rPr>
          <w:noProof/>
        </w:rPr>
        <w:fldChar w:fldCharType="separate"/>
      </w:r>
      <w:r w:rsidR="00371612">
        <w:rPr>
          <w:noProof/>
        </w:rPr>
        <w:t>16</w:t>
      </w:r>
      <w:r w:rsidRPr="00BD574A">
        <w:rPr>
          <w:noProof/>
        </w:rPr>
        <w:fldChar w:fldCharType="end"/>
      </w:r>
    </w:p>
    <w:p w:rsidR="00BD574A" w:rsidRDefault="00BD574A">
      <w:pPr>
        <w:pStyle w:val="TOC5"/>
        <w:rPr>
          <w:rFonts w:asciiTheme="minorHAnsi" w:eastAsiaTheme="minorEastAsia" w:hAnsiTheme="minorHAnsi" w:cstheme="minorBidi"/>
          <w:noProof/>
          <w:kern w:val="0"/>
          <w:sz w:val="22"/>
          <w:szCs w:val="22"/>
        </w:rPr>
      </w:pPr>
      <w:r>
        <w:rPr>
          <w:noProof/>
        </w:rPr>
        <w:t>12F</w:t>
      </w:r>
      <w:r>
        <w:rPr>
          <w:noProof/>
        </w:rPr>
        <w:tab/>
        <w:t>Consequences if estimates no longer accurate</w:t>
      </w:r>
      <w:r w:rsidRPr="00BD574A">
        <w:rPr>
          <w:noProof/>
        </w:rPr>
        <w:tab/>
      </w:r>
      <w:r w:rsidRPr="00BD574A">
        <w:rPr>
          <w:noProof/>
        </w:rPr>
        <w:fldChar w:fldCharType="begin"/>
      </w:r>
      <w:r w:rsidRPr="00BD574A">
        <w:rPr>
          <w:noProof/>
        </w:rPr>
        <w:instrText xml:space="preserve"> PAGEREF _Toc487718113 \h </w:instrText>
      </w:r>
      <w:r w:rsidRPr="00BD574A">
        <w:rPr>
          <w:noProof/>
        </w:rPr>
      </w:r>
      <w:r w:rsidRPr="00BD574A">
        <w:rPr>
          <w:noProof/>
        </w:rPr>
        <w:fldChar w:fldCharType="separate"/>
      </w:r>
      <w:r w:rsidR="00371612">
        <w:rPr>
          <w:noProof/>
        </w:rPr>
        <w:t>17</w:t>
      </w:r>
      <w:r w:rsidRPr="00BD574A">
        <w:rPr>
          <w:noProof/>
        </w:rPr>
        <w:fldChar w:fldCharType="end"/>
      </w:r>
    </w:p>
    <w:p w:rsidR="00BD574A" w:rsidRDefault="00BD574A">
      <w:pPr>
        <w:pStyle w:val="TOC5"/>
        <w:rPr>
          <w:rFonts w:asciiTheme="minorHAnsi" w:eastAsiaTheme="minorEastAsia" w:hAnsiTheme="minorHAnsi" w:cstheme="minorBidi"/>
          <w:noProof/>
          <w:kern w:val="0"/>
          <w:sz w:val="22"/>
          <w:szCs w:val="22"/>
        </w:rPr>
      </w:pPr>
      <w:r>
        <w:rPr>
          <w:noProof/>
        </w:rPr>
        <w:t>12G</w:t>
      </w:r>
      <w:r>
        <w:rPr>
          <w:noProof/>
        </w:rPr>
        <w:tab/>
        <w:t>Reports on this Part</w:t>
      </w:r>
      <w:r w:rsidRPr="00BD574A">
        <w:rPr>
          <w:noProof/>
        </w:rPr>
        <w:tab/>
      </w:r>
      <w:r w:rsidRPr="00BD574A">
        <w:rPr>
          <w:noProof/>
        </w:rPr>
        <w:fldChar w:fldCharType="begin"/>
      </w:r>
      <w:r w:rsidRPr="00BD574A">
        <w:rPr>
          <w:noProof/>
        </w:rPr>
        <w:instrText xml:space="preserve"> PAGEREF _Toc487718114 \h </w:instrText>
      </w:r>
      <w:r w:rsidRPr="00BD574A">
        <w:rPr>
          <w:noProof/>
        </w:rPr>
      </w:r>
      <w:r w:rsidRPr="00BD574A">
        <w:rPr>
          <w:noProof/>
        </w:rPr>
        <w:fldChar w:fldCharType="separate"/>
      </w:r>
      <w:r w:rsidR="00371612">
        <w:rPr>
          <w:noProof/>
        </w:rPr>
        <w:t>17</w:t>
      </w:r>
      <w:r w:rsidRPr="00BD574A">
        <w:rPr>
          <w:noProof/>
        </w:rPr>
        <w:fldChar w:fldCharType="end"/>
      </w:r>
    </w:p>
    <w:p w:rsidR="00BD574A" w:rsidRDefault="00BD574A">
      <w:pPr>
        <w:pStyle w:val="TOC2"/>
        <w:rPr>
          <w:rFonts w:asciiTheme="minorHAnsi" w:eastAsiaTheme="minorEastAsia" w:hAnsiTheme="minorHAnsi" w:cstheme="minorBidi"/>
          <w:b w:val="0"/>
          <w:noProof/>
          <w:kern w:val="0"/>
          <w:sz w:val="22"/>
          <w:szCs w:val="22"/>
        </w:rPr>
      </w:pPr>
      <w:r>
        <w:rPr>
          <w:noProof/>
        </w:rPr>
        <w:t>Part 3—Determination that Government co</w:t>
      </w:r>
      <w:r>
        <w:rPr>
          <w:noProof/>
        </w:rPr>
        <w:noBreakHyphen/>
        <w:t>contribution payable</w:t>
      </w:r>
      <w:r w:rsidRPr="00BD574A">
        <w:rPr>
          <w:b w:val="0"/>
          <w:noProof/>
          <w:sz w:val="18"/>
        </w:rPr>
        <w:tab/>
      </w:r>
      <w:r w:rsidRPr="00BD574A">
        <w:rPr>
          <w:b w:val="0"/>
          <w:noProof/>
          <w:sz w:val="18"/>
        </w:rPr>
        <w:fldChar w:fldCharType="begin"/>
      </w:r>
      <w:r w:rsidRPr="00BD574A">
        <w:rPr>
          <w:b w:val="0"/>
          <w:noProof/>
          <w:sz w:val="18"/>
        </w:rPr>
        <w:instrText xml:space="preserve"> PAGEREF _Toc487718115 \h </w:instrText>
      </w:r>
      <w:r w:rsidRPr="00BD574A">
        <w:rPr>
          <w:b w:val="0"/>
          <w:noProof/>
          <w:sz w:val="18"/>
        </w:rPr>
      </w:r>
      <w:r w:rsidRPr="00BD574A">
        <w:rPr>
          <w:b w:val="0"/>
          <w:noProof/>
          <w:sz w:val="18"/>
        </w:rPr>
        <w:fldChar w:fldCharType="separate"/>
      </w:r>
      <w:r w:rsidR="00371612">
        <w:rPr>
          <w:b w:val="0"/>
          <w:noProof/>
          <w:sz w:val="18"/>
        </w:rPr>
        <w:t>19</w:t>
      </w:r>
      <w:r w:rsidRPr="00BD574A">
        <w:rPr>
          <w:b w:val="0"/>
          <w:noProof/>
          <w:sz w:val="18"/>
        </w:rPr>
        <w:fldChar w:fldCharType="end"/>
      </w:r>
    </w:p>
    <w:p w:rsidR="00BD574A" w:rsidRDefault="00BD574A">
      <w:pPr>
        <w:pStyle w:val="TOC5"/>
        <w:rPr>
          <w:rFonts w:asciiTheme="minorHAnsi" w:eastAsiaTheme="minorEastAsia" w:hAnsiTheme="minorHAnsi" w:cstheme="minorBidi"/>
          <w:noProof/>
          <w:kern w:val="0"/>
          <w:sz w:val="22"/>
          <w:szCs w:val="22"/>
        </w:rPr>
      </w:pPr>
      <w:r>
        <w:rPr>
          <w:noProof/>
        </w:rPr>
        <w:t>13</w:t>
      </w:r>
      <w:r>
        <w:rPr>
          <w:noProof/>
        </w:rPr>
        <w:tab/>
        <w:t>Commissioner’s determination</w:t>
      </w:r>
      <w:r w:rsidRPr="00BD574A">
        <w:rPr>
          <w:noProof/>
        </w:rPr>
        <w:tab/>
      </w:r>
      <w:r w:rsidRPr="00BD574A">
        <w:rPr>
          <w:noProof/>
        </w:rPr>
        <w:fldChar w:fldCharType="begin"/>
      </w:r>
      <w:r w:rsidRPr="00BD574A">
        <w:rPr>
          <w:noProof/>
        </w:rPr>
        <w:instrText xml:space="preserve"> PAGEREF _Toc487718116 \h </w:instrText>
      </w:r>
      <w:r w:rsidRPr="00BD574A">
        <w:rPr>
          <w:noProof/>
        </w:rPr>
      </w:r>
      <w:r w:rsidRPr="00BD574A">
        <w:rPr>
          <w:noProof/>
        </w:rPr>
        <w:fldChar w:fldCharType="separate"/>
      </w:r>
      <w:r w:rsidR="00371612">
        <w:rPr>
          <w:noProof/>
        </w:rPr>
        <w:t>19</w:t>
      </w:r>
      <w:r w:rsidRPr="00BD574A">
        <w:rPr>
          <w:noProof/>
        </w:rPr>
        <w:fldChar w:fldCharType="end"/>
      </w:r>
    </w:p>
    <w:p w:rsidR="00BD574A" w:rsidRDefault="00BD574A">
      <w:pPr>
        <w:pStyle w:val="TOC5"/>
        <w:rPr>
          <w:rFonts w:asciiTheme="minorHAnsi" w:eastAsiaTheme="minorEastAsia" w:hAnsiTheme="minorHAnsi" w:cstheme="minorBidi"/>
          <w:noProof/>
          <w:kern w:val="0"/>
          <w:sz w:val="22"/>
          <w:szCs w:val="22"/>
        </w:rPr>
      </w:pPr>
      <w:r>
        <w:rPr>
          <w:noProof/>
        </w:rPr>
        <w:t>14</w:t>
      </w:r>
      <w:r>
        <w:rPr>
          <w:noProof/>
        </w:rPr>
        <w:tab/>
        <w:t>Matters Commissioner has regard to in making determination</w:t>
      </w:r>
      <w:r w:rsidRPr="00BD574A">
        <w:rPr>
          <w:noProof/>
        </w:rPr>
        <w:tab/>
      </w:r>
      <w:r w:rsidRPr="00BD574A">
        <w:rPr>
          <w:noProof/>
        </w:rPr>
        <w:fldChar w:fldCharType="begin"/>
      </w:r>
      <w:r w:rsidRPr="00BD574A">
        <w:rPr>
          <w:noProof/>
        </w:rPr>
        <w:instrText xml:space="preserve"> PAGEREF _Toc487718117 \h </w:instrText>
      </w:r>
      <w:r w:rsidRPr="00BD574A">
        <w:rPr>
          <w:noProof/>
        </w:rPr>
      </w:r>
      <w:r w:rsidRPr="00BD574A">
        <w:rPr>
          <w:noProof/>
        </w:rPr>
        <w:fldChar w:fldCharType="separate"/>
      </w:r>
      <w:r w:rsidR="00371612">
        <w:rPr>
          <w:noProof/>
        </w:rPr>
        <w:t>19</w:t>
      </w:r>
      <w:r w:rsidRPr="00BD574A">
        <w:rPr>
          <w:noProof/>
        </w:rPr>
        <w:fldChar w:fldCharType="end"/>
      </w:r>
    </w:p>
    <w:p w:rsidR="00BD574A" w:rsidRDefault="00BD574A">
      <w:pPr>
        <w:pStyle w:val="TOC2"/>
        <w:rPr>
          <w:rFonts w:asciiTheme="minorHAnsi" w:eastAsiaTheme="minorEastAsia" w:hAnsiTheme="minorHAnsi" w:cstheme="minorBidi"/>
          <w:b w:val="0"/>
          <w:noProof/>
          <w:kern w:val="0"/>
          <w:sz w:val="22"/>
          <w:szCs w:val="22"/>
        </w:rPr>
      </w:pPr>
      <w:r>
        <w:rPr>
          <w:noProof/>
        </w:rPr>
        <w:lastRenderedPageBreak/>
        <w:t>Part 4—Payment of the Government co</w:t>
      </w:r>
      <w:r>
        <w:rPr>
          <w:noProof/>
        </w:rPr>
        <w:noBreakHyphen/>
        <w:t>contribution</w:t>
      </w:r>
      <w:r w:rsidRPr="00BD574A">
        <w:rPr>
          <w:b w:val="0"/>
          <w:noProof/>
          <w:sz w:val="18"/>
        </w:rPr>
        <w:tab/>
      </w:r>
      <w:r w:rsidRPr="00BD574A">
        <w:rPr>
          <w:b w:val="0"/>
          <w:noProof/>
          <w:sz w:val="18"/>
        </w:rPr>
        <w:fldChar w:fldCharType="begin"/>
      </w:r>
      <w:r w:rsidRPr="00BD574A">
        <w:rPr>
          <w:b w:val="0"/>
          <w:noProof/>
          <w:sz w:val="18"/>
        </w:rPr>
        <w:instrText xml:space="preserve"> PAGEREF _Toc487718118 \h </w:instrText>
      </w:r>
      <w:r w:rsidRPr="00BD574A">
        <w:rPr>
          <w:b w:val="0"/>
          <w:noProof/>
          <w:sz w:val="18"/>
        </w:rPr>
      </w:r>
      <w:r w:rsidRPr="00BD574A">
        <w:rPr>
          <w:b w:val="0"/>
          <w:noProof/>
          <w:sz w:val="18"/>
        </w:rPr>
        <w:fldChar w:fldCharType="separate"/>
      </w:r>
      <w:r w:rsidR="00371612">
        <w:rPr>
          <w:b w:val="0"/>
          <w:noProof/>
          <w:sz w:val="18"/>
        </w:rPr>
        <w:t>21</w:t>
      </w:r>
      <w:r w:rsidRPr="00BD574A">
        <w:rPr>
          <w:b w:val="0"/>
          <w:noProof/>
          <w:sz w:val="18"/>
        </w:rPr>
        <w:fldChar w:fldCharType="end"/>
      </w:r>
    </w:p>
    <w:p w:rsidR="00BD574A" w:rsidRDefault="00BD574A">
      <w:pPr>
        <w:pStyle w:val="TOC5"/>
        <w:rPr>
          <w:rFonts w:asciiTheme="minorHAnsi" w:eastAsiaTheme="minorEastAsia" w:hAnsiTheme="minorHAnsi" w:cstheme="minorBidi"/>
          <w:noProof/>
          <w:kern w:val="0"/>
          <w:sz w:val="22"/>
          <w:szCs w:val="22"/>
        </w:rPr>
      </w:pPr>
      <w:r>
        <w:rPr>
          <w:noProof/>
        </w:rPr>
        <w:t>15</w:t>
      </w:r>
      <w:r>
        <w:rPr>
          <w:noProof/>
        </w:rPr>
        <w:tab/>
        <w:t>Commissioner to determine where the Government co</w:t>
      </w:r>
      <w:r>
        <w:rPr>
          <w:noProof/>
        </w:rPr>
        <w:noBreakHyphen/>
        <w:t>contribution payment is to be directed</w:t>
      </w:r>
      <w:r w:rsidRPr="00BD574A">
        <w:rPr>
          <w:noProof/>
        </w:rPr>
        <w:tab/>
      </w:r>
      <w:r w:rsidRPr="00BD574A">
        <w:rPr>
          <w:noProof/>
        </w:rPr>
        <w:fldChar w:fldCharType="begin"/>
      </w:r>
      <w:r w:rsidRPr="00BD574A">
        <w:rPr>
          <w:noProof/>
        </w:rPr>
        <w:instrText xml:space="preserve"> PAGEREF _Toc487718119 \h </w:instrText>
      </w:r>
      <w:r w:rsidRPr="00BD574A">
        <w:rPr>
          <w:noProof/>
        </w:rPr>
      </w:r>
      <w:r w:rsidRPr="00BD574A">
        <w:rPr>
          <w:noProof/>
        </w:rPr>
        <w:fldChar w:fldCharType="separate"/>
      </w:r>
      <w:r w:rsidR="00371612">
        <w:rPr>
          <w:noProof/>
        </w:rPr>
        <w:t>21</w:t>
      </w:r>
      <w:r w:rsidRPr="00BD574A">
        <w:rPr>
          <w:noProof/>
        </w:rPr>
        <w:fldChar w:fldCharType="end"/>
      </w:r>
    </w:p>
    <w:p w:rsidR="00BD574A" w:rsidRDefault="00BD574A">
      <w:pPr>
        <w:pStyle w:val="TOC5"/>
        <w:rPr>
          <w:rFonts w:asciiTheme="minorHAnsi" w:eastAsiaTheme="minorEastAsia" w:hAnsiTheme="minorHAnsi" w:cstheme="minorBidi"/>
          <w:noProof/>
          <w:kern w:val="0"/>
          <w:sz w:val="22"/>
          <w:szCs w:val="22"/>
        </w:rPr>
      </w:pPr>
      <w:r>
        <w:rPr>
          <w:noProof/>
        </w:rPr>
        <w:t>16</w:t>
      </w:r>
      <w:r>
        <w:rPr>
          <w:noProof/>
        </w:rPr>
        <w:tab/>
        <w:t>Superannuation provider to return Government co</w:t>
      </w:r>
      <w:r>
        <w:rPr>
          <w:noProof/>
        </w:rPr>
        <w:noBreakHyphen/>
        <w:t>contribution that cannot be credited to account</w:t>
      </w:r>
      <w:r w:rsidRPr="00BD574A">
        <w:rPr>
          <w:noProof/>
        </w:rPr>
        <w:tab/>
      </w:r>
      <w:r w:rsidRPr="00BD574A">
        <w:rPr>
          <w:noProof/>
        </w:rPr>
        <w:fldChar w:fldCharType="begin"/>
      </w:r>
      <w:r w:rsidRPr="00BD574A">
        <w:rPr>
          <w:noProof/>
        </w:rPr>
        <w:instrText xml:space="preserve"> PAGEREF _Toc487718120 \h </w:instrText>
      </w:r>
      <w:r w:rsidRPr="00BD574A">
        <w:rPr>
          <w:noProof/>
        </w:rPr>
      </w:r>
      <w:r w:rsidRPr="00BD574A">
        <w:rPr>
          <w:noProof/>
        </w:rPr>
        <w:fldChar w:fldCharType="separate"/>
      </w:r>
      <w:r w:rsidR="00371612">
        <w:rPr>
          <w:noProof/>
        </w:rPr>
        <w:t>22</w:t>
      </w:r>
      <w:r w:rsidRPr="00BD574A">
        <w:rPr>
          <w:noProof/>
        </w:rPr>
        <w:fldChar w:fldCharType="end"/>
      </w:r>
    </w:p>
    <w:p w:rsidR="00BD574A" w:rsidRDefault="00BD574A">
      <w:pPr>
        <w:pStyle w:val="TOC5"/>
        <w:rPr>
          <w:rFonts w:asciiTheme="minorHAnsi" w:eastAsiaTheme="minorEastAsia" w:hAnsiTheme="minorHAnsi" w:cstheme="minorBidi"/>
          <w:noProof/>
          <w:kern w:val="0"/>
          <w:sz w:val="22"/>
          <w:szCs w:val="22"/>
        </w:rPr>
      </w:pPr>
      <w:r>
        <w:rPr>
          <w:noProof/>
        </w:rPr>
        <w:t>17</w:t>
      </w:r>
      <w:r>
        <w:rPr>
          <w:noProof/>
        </w:rPr>
        <w:tab/>
        <w:t>Payment of Government co</w:t>
      </w:r>
      <w:r>
        <w:rPr>
          <w:noProof/>
        </w:rPr>
        <w:noBreakHyphen/>
        <w:t>contribution</w:t>
      </w:r>
      <w:r w:rsidRPr="00BD574A">
        <w:rPr>
          <w:noProof/>
        </w:rPr>
        <w:tab/>
      </w:r>
      <w:r w:rsidRPr="00BD574A">
        <w:rPr>
          <w:noProof/>
        </w:rPr>
        <w:fldChar w:fldCharType="begin"/>
      </w:r>
      <w:r w:rsidRPr="00BD574A">
        <w:rPr>
          <w:noProof/>
        </w:rPr>
        <w:instrText xml:space="preserve"> PAGEREF _Toc487718121 \h </w:instrText>
      </w:r>
      <w:r w:rsidRPr="00BD574A">
        <w:rPr>
          <w:noProof/>
        </w:rPr>
      </w:r>
      <w:r w:rsidRPr="00BD574A">
        <w:rPr>
          <w:noProof/>
        </w:rPr>
        <w:fldChar w:fldCharType="separate"/>
      </w:r>
      <w:r w:rsidR="00371612">
        <w:rPr>
          <w:noProof/>
        </w:rPr>
        <w:t>23</w:t>
      </w:r>
      <w:r w:rsidRPr="00BD574A">
        <w:rPr>
          <w:noProof/>
        </w:rPr>
        <w:fldChar w:fldCharType="end"/>
      </w:r>
    </w:p>
    <w:p w:rsidR="00BD574A" w:rsidRDefault="00BD574A">
      <w:pPr>
        <w:pStyle w:val="TOC5"/>
        <w:rPr>
          <w:rFonts w:asciiTheme="minorHAnsi" w:eastAsiaTheme="minorEastAsia" w:hAnsiTheme="minorHAnsi" w:cstheme="minorBidi"/>
          <w:noProof/>
          <w:kern w:val="0"/>
          <w:sz w:val="22"/>
          <w:szCs w:val="22"/>
        </w:rPr>
      </w:pPr>
      <w:r>
        <w:rPr>
          <w:noProof/>
        </w:rPr>
        <w:t>18</w:t>
      </w:r>
      <w:r>
        <w:rPr>
          <w:noProof/>
          <w:snapToGrid w:val="0"/>
        </w:rPr>
        <w:tab/>
      </w:r>
      <w:r w:rsidRPr="00FB20B7">
        <w:rPr>
          <w:noProof/>
          <w:snapToGrid w:val="0"/>
        </w:rPr>
        <w:t>Commissioner to give information if co</w:t>
      </w:r>
      <w:r w:rsidRPr="00FB20B7">
        <w:rPr>
          <w:noProof/>
          <w:snapToGrid w:val="0"/>
        </w:rPr>
        <w:noBreakHyphen/>
        <w:t>contribution paid</w:t>
      </w:r>
      <w:r w:rsidRPr="00BD574A">
        <w:rPr>
          <w:noProof/>
        </w:rPr>
        <w:tab/>
      </w:r>
      <w:r w:rsidRPr="00BD574A">
        <w:rPr>
          <w:noProof/>
        </w:rPr>
        <w:fldChar w:fldCharType="begin"/>
      </w:r>
      <w:r w:rsidRPr="00BD574A">
        <w:rPr>
          <w:noProof/>
        </w:rPr>
        <w:instrText xml:space="preserve"> PAGEREF _Toc487718122 \h </w:instrText>
      </w:r>
      <w:r w:rsidRPr="00BD574A">
        <w:rPr>
          <w:noProof/>
        </w:rPr>
      </w:r>
      <w:r w:rsidRPr="00BD574A">
        <w:rPr>
          <w:noProof/>
        </w:rPr>
        <w:fldChar w:fldCharType="separate"/>
      </w:r>
      <w:r w:rsidR="00371612">
        <w:rPr>
          <w:noProof/>
        </w:rPr>
        <w:t>23</w:t>
      </w:r>
      <w:r w:rsidRPr="00BD574A">
        <w:rPr>
          <w:noProof/>
        </w:rPr>
        <w:fldChar w:fldCharType="end"/>
      </w:r>
    </w:p>
    <w:p w:rsidR="00BD574A" w:rsidRDefault="00BD574A">
      <w:pPr>
        <w:pStyle w:val="TOC2"/>
        <w:rPr>
          <w:rFonts w:asciiTheme="minorHAnsi" w:eastAsiaTheme="minorEastAsia" w:hAnsiTheme="minorHAnsi" w:cstheme="minorBidi"/>
          <w:b w:val="0"/>
          <w:noProof/>
          <w:kern w:val="0"/>
          <w:sz w:val="22"/>
          <w:szCs w:val="22"/>
        </w:rPr>
      </w:pPr>
      <w:r>
        <w:rPr>
          <w:noProof/>
        </w:rPr>
        <w:t>Part 5—Underpayments and overpayments</w:t>
      </w:r>
      <w:r w:rsidRPr="00BD574A">
        <w:rPr>
          <w:b w:val="0"/>
          <w:noProof/>
          <w:sz w:val="18"/>
        </w:rPr>
        <w:tab/>
      </w:r>
      <w:r w:rsidRPr="00BD574A">
        <w:rPr>
          <w:b w:val="0"/>
          <w:noProof/>
          <w:sz w:val="18"/>
        </w:rPr>
        <w:fldChar w:fldCharType="begin"/>
      </w:r>
      <w:r w:rsidRPr="00BD574A">
        <w:rPr>
          <w:b w:val="0"/>
          <w:noProof/>
          <w:sz w:val="18"/>
        </w:rPr>
        <w:instrText xml:space="preserve"> PAGEREF _Toc487718123 \h </w:instrText>
      </w:r>
      <w:r w:rsidRPr="00BD574A">
        <w:rPr>
          <w:b w:val="0"/>
          <w:noProof/>
          <w:sz w:val="18"/>
        </w:rPr>
      </w:r>
      <w:r w:rsidRPr="00BD574A">
        <w:rPr>
          <w:b w:val="0"/>
          <w:noProof/>
          <w:sz w:val="18"/>
        </w:rPr>
        <w:fldChar w:fldCharType="separate"/>
      </w:r>
      <w:r w:rsidR="00371612">
        <w:rPr>
          <w:b w:val="0"/>
          <w:noProof/>
          <w:sz w:val="18"/>
        </w:rPr>
        <w:t>25</w:t>
      </w:r>
      <w:r w:rsidRPr="00BD574A">
        <w:rPr>
          <w:b w:val="0"/>
          <w:noProof/>
          <w:sz w:val="18"/>
        </w:rPr>
        <w:fldChar w:fldCharType="end"/>
      </w:r>
    </w:p>
    <w:p w:rsidR="00BD574A" w:rsidRDefault="00BD574A">
      <w:pPr>
        <w:pStyle w:val="TOC3"/>
        <w:rPr>
          <w:rFonts w:asciiTheme="minorHAnsi" w:eastAsiaTheme="minorEastAsia" w:hAnsiTheme="minorHAnsi" w:cstheme="minorBidi"/>
          <w:b w:val="0"/>
          <w:noProof/>
          <w:kern w:val="0"/>
          <w:szCs w:val="22"/>
        </w:rPr>
      </w:pPr>
      <w:r>
        <w:rPr>
          <w:noProof/>
        </w:rPr>
        <w:t>Division 1—Underpayments</w:t>
      </w:r>
      <w:r w:rsidRPr="00BD574A">
        <w:rPr>
          <w:b w:val="0"/>
          <w:noProof/>
          <w:sz w:val="18"/>
        </w:rPr>
        <w:tab/>
      </w:r>
      <w:r w:rsidRPr="00BD574A">
        <w:rPr>
          <w:b w:val="0"/>
          <w:noProof/>
          <w:sz w:val="18"/>
        </w:rPr>
        <w:fldChar w:fldCharType="begin"/>
      </w:r>
      <w:r w:rsidRPr="00BD574A">
        <w:rPr>
          <w:b w:val="0"/>
          <w:noProof/>
          <w:sz w:val="18"/>
        </w:rPr>
        <w:instrText xml:space="preserve"> PAGEREF _Toc487718124 \h </w:instrText>
      </w:r>
      <w:r w:rsidRPr="00BD574A">
        <w:rPr>
          <w:b w:val="0"/>
          <w:noProof/>
          <w:sz w:val="18"/>
        </w:rPr>
      </w:r>
      <w:r w:rsidRPr="00BD574A">
        <w:rPr>
          <w:b w:val="0"/>
          <w:noProof/>
          <w:sz w:val="18"/>
        </w:rPr>
        <w:fldChar w:fldCharType="separate"/>
      </w:r>
      <w:r w:rsidR="00371612">
        <w:rPr>
          <w:b w:val="0"/>
          <w:noProof/>
          <w:sz w:val="18"/>
        </w:rPr>
        <w:t>25</w:t>
      </w:r>
      <w:r w:rsidRPr="00BD574A">
        <w:rPr>
          <w:b w:val="0"/>
          <w:noProof/>
          <w:sz w:val="18"/>
        </w:rPr>
        <w:fldChar w:fldCharType="end"/>
      </w:r>
    </w:p>
    <w:p w:rsidR="00BD574A" w:rsidRDefault="00BD574A">
      <w:pPr>
        <w:pStyle w:val="TOC5"/>
        <w:rPr>
          <w:rFonts w:asciiTheme="minorHAnsi" w:eastAsiaTheme="minorEastAsia" w:hAnsiTheme="minorHAnsi" w:cstheme="minorBidi"/>
          <w:noProof/>
          <w:kern w:val="0"/>
          <w:sz w:val="22"/>
          <w:szCs w:val="22"/>
        </w:rPr>
      </w:pPr>
      <w:r>
        <w:rPr>
          <w:noProof/>
        </w:rPr>
        <w:t>19</w:t>
      </w:r>
      <w:r>
        <w:rPr>
          <w:noProof/>
        </w:rPr>
        <w:tab/>
        <w:t>Underpayment determinations</w:t>
      </w:r>
      <w:r w:rsidRPr="00BD574A">
        <w:rPr>
          <w:noProof/>
        </w:rPr>
        <w:tab/>
      </w:r>
      <w:r w:rsidRPr="00BD574A">
        <w:rPr>
          <w:noProof/>
        </w:rPr>
        <w:fldChar w:fldCharType="begin"/>
      </w:r>
      <w:r w:rsidRPr="00BD574A">
        <w:rPr>
          <w:noProof/>
        </w:rPr>
        <w:instrText xml:space="preserve"> PAGEREF _Toc487718125 \h </w:instrText>
      </w:r>
      <w:r w:rsidRPr="00BD574A">
        <w:rPr>
          <w:noProof/>
        </w:rPr>
      </w:r>
      <w:r w:rsidRPr="00BD574A">
        <w:rPr>
          <w:noProof/>
        </w:rPr>
        <w:fldChar w:fldCharType="separate"/>
      </w:r>
      <w:r w:rsidR="00371612">
        <w:rPr>
          <w:noProof/>
        </w:rPr>
        <w:t>25</w:t>
      </w:r>
      <w:r w:rsidRPr="00BD574A">
        <w:rPr>
          <w:noProof/>
        </w:rPr>
        <w:fldChar w:fldCharType="end"/>
      </w:r>
    </w:p>
    <w:p w:rsidR="00BD574A" w:rsidRDefault="00BD574A">
      <w:pPr>
        <w:pStyle w:val="TOC5"/>
        <w:rPr>
          <w:rFonts w:asciiTheme="minorHAnsi" w:eastAsiaTheme="minorEastAsia" w:hAnsiTheme="minorHAnsi" w:cstheme="minorBidi"/>
          <w:noProof/>
          <w:kern w:val="0"/>
          <w:sz w:val="22"/>
          <w:szCs w:val="22"/>
        </w:rPr>
      </w:pPr>
      <w:r>
        <w:rPr>
          <w:noProof/>
        </w:rPr>
        <w:t>20</w:t>
      </w:r>
      <w:r>
        <w:rPr>
          <w:noProof/>
        </w:rPr>
        <w:tab/>
        <w:t>Superannuation provider to return underpaid amount that cannot be credited to account</w:t>
      </w:r>
      <w:r w:rsidRPr="00BD574A">
        <w:rPr>
          <w:noProof/>
        </w:rPr>
        <w:tab/>
      </w:r>
      <w:r w:rsidRPr="00BD574A">
        <w:rPr>
          <w:noProof/>
        </w:rPr>
        <w:fldChar w:fldCharType="begin"/>
      </w:r>
      <w:r w:rsidRPr="00BD574A">
        <w:rPr>
          <w:noProof/>
        </w:rPr>
        <w:instrText xml:space="preserve"> PAGEREF _Toc487718126 \h </w:instrText>
      </w:r>
      <w:r w:rsidRPr="00BD574A">
        <w:rPr>
          <w:noProof/>
        </w:rPr>
      </w:r>
      <w:r w:rsidRPr="00BD574A">
        <w:rPr>
          <w:noProof/>
        </w:rPr>
        <w:fldChar w:fldCharType="separate"/>
      </w:r>
      <w:r w:rsidR="00371612">
        <w:rPr>
          <w:noProof/>
        </w:rPr>
        <w:t>26</w:t>
      </w:r>
      <w:r w:rsidRPr="00BD574A">
        <w:rPr>
          <w:noProof/>
        </w:rPr>
        <w:fldChar w:fldCharType="end"/>
      </w:r>
    </w:p>
    <w:p w:rsidR="00BD574A" w:rsidRDefault="00BD574A">
      <w:pPr>
        <w:pStyle w:val="TOC5"/>
        <w:rPr>
          <w:rFonts w:asciiTheme="minorHAnsi" w:eastAsiaTheme="minorEastAsia" w:hAnsiTheme="minorHAnsi" w:cstheme="minorBidi"/>
          <w:noProof/>
          <w:kern w:val="0"/>
          <w:sz w:val="22"/>
          <w:szCs w:val="22"/>
        </w:rPr>
      </w:pPr>
      <w:r>
        <w:rPr>
          <w:noProof/>
        </w:rPr>
        <w:t>21</w:t>
      </w:r>
      <w:r>
        <w:rPr>
          <w:noProof/>
        </w:rPr>
        <w:tab/>
        <w:t>Government co</w:t>
      </w:r>
      <w:r>
        <w:rPr>
          <w:noProof/>
        </w:rPr>
        <w:noBreakHyphen/>
        <w:t>contribution increased by interest amount if underpaid amount paid late in certain circumstances</w:t>
      </w:r>
      <w:r w:rsidRPr="00BD574A">
        <w:rPr>
          <w:noProof/>
        </w:rPr>
        <w:tab/>
      </w:r>
      <w:r w:rsidRPr="00BD574A">
        <w:rPr>
          <w:noProof/>
        </w:rPr>
        <w:fldChar w:fldCharType="begin"/>
      </w:r>
      <w:r w:rsidRPr="00BD574A">
        <w:rPr>
          <w:noProof/>
        </w:rPr>
        <w:instrText xml:space="preserve"> PAGEREF _Toc487718127 \h </w:instrText>
      </w:r>
      <w:r w:rsidRPr="00BD574A">
        <w:rPr>
          <w:noProof/>
        </w:rPr>
      </w:r>
      <w:r w:rsidRPr="00BD574A">
        <w:rPr>
          <w:noProof/>
        </w:rPr>
        <w:fldChar w:fldCharType="separate"/>
      </w:r>
      <w:r w:rsidR="00371612">
        <w:rPr>
          <w:noProof/>
        </w:rPr>
        <w:t>27</w:t>
      </w:r>
      <w:r w:rsidRPr="00BD574A">
        <w:rPr>
          <w:noProof/>
        </w:rPr>
        <w:fldChar w:fldCharType="end"/>
      </w:r>
    </w:p>
    <w:p w:rsidR="00BD574A" w:rsidRDefault="00BD574A">
      <w:pPr>
        <w:pStyle w:val="TOC5"/>
        <w:rPr>
          <w:rFonts w:asciiTheme="minorHAnsi" w:eastAsiaTheme="minorEastAsia" w:hAnsiTheme="minorHAnsi" w:cstheme="minorBidi"/>
          <w:noProof/>
          <w:kern w:val="0"/>
          <w:sz w:val="22"/>
          <w:szCs w:val="22"/>
        </w:rPr>
      </w:pPr>
      <w:r>
        <w:rPr>
          <w:noProof/>
        </w:rPr>
        <w:t>22</w:t>
      </w:r>
      <w:r>
        <w:rPr>
          <w:noProof/>
        </w:rPr>
        <w:tab/>
        <w:t>Government co</w:t>
      </w:r>
      <w:r>
        <w:rPr>
          <w:noProof/>
        </w:rPr>
        <w:noBreakHyphen/>
        <w:t>contribution increased by interest amount if underpaid amount due to administrative error</w:t>
      </w:r>
      <w:r w:rsidRPr="00BD574A">
        <w:rPr>
          <w:noProof/>
        </w:rPr>
        <w:tab/>
      </w:r>
      <w:r w:rsidRPr="00BD574A">
        <w:rPr>
          <w:noProof/>
        </w:rPr>
        <w:fldChar w:fldCharType="begin"/>
      </w:r>
      <w:r w:rsidRPr="00BD574A">
        <w:rPr>
          <w:noProof/>
        </w:rPr>
        <w:instrText xml:space="preserve"> PAGEREF _Toc487718128 \h </w:instrText>
      </w:r>
      <w:r w:rsidRPr="00BD574A">
        <w:rPr>
          <w:noProof/>
        </w:rPr>
      </w:r>
      <w:r w:rsidRPr="00BD574A">
        <w:rPr>
          <w:noProof/>
        </w:rPr>
        <w:fldChar w:fldCharType="separate"/>
      </w:r>
      <w:r w:rsidR="00371612">
        <w:rPr>
          <w:noProof/>
        </w:rPr>
        <w:t>28</w:t>
      </w:r>
      <w:r w:rsidRPr="00BD574A">
        <w:rPr>
          <w:noProof/>
        </w:rPr>
        <w:fldChar w:fldCharType="end"/>
      </w:r>
    </w:p>
    <w:p w:rsidR="00BD574A" w:rsidRDefault="00BD574A">
      <w:pPr>
        <w:pStyle w:val="TOC5"/>
        <w:rPr>
          <w:rFonts w:asciiTheme="minorHAnsi" w:eastAsiaTheme="minorEastAsia" w:hAnsiTheme="minorHAnsi" w:cstheme="minorBidi"/>
          <w:noProof/>
          <w:kern w:val="0"/>
          <w:sz w:val="22"/>
          <w:szCs w:val="22"/>
        </w:rPr>
      </w:pPr>
      <w:r>
        <w:rPr>
          <w:noProof/>
        </w:rPr>
        <w:t>23</w:t>
      </w:r>
      <w:r>
        <w:rPr>
          <w:noProof/>
        </w:rPr>
        <w:tab/>
        <w:t>Small underpayments</w:t>
      </w:r>
      <w:r w:rsidRPr="00BD574A">
        <w:rPr>
          <w:noProof/>
        </w:rPr>
        <w:tab/>
      </w:r>
      <w:r w:rsidRPr="00BD574A">
        <w:rPr>
          <w:noProof/>
        </w:rPr>
        <w:fldChar w:fldCharType="begin"/>
      </w:r>
      <w:r w:rsidRPr="00BD574A">
        <w:rPr>
          <w:noProof/>
        </w:rPr>
        <w:instrText xml:space="preserve"> PAGEREF _Toc487718129 \h </w:instrText>
      </w:r>
      <w:r w:rsidRPr="00BD574A">
        <w:rPr>
          <w:noProof/>
        </w:rPr>
      </w:r>
      <w:r w:rsidRPr="00BD574A">
        <w:rPr>
          <w:noProof/>
        </w:rPr>
        <w:fldChar w:fldCharType="separate"/>
      </w:r>
      <w:r w:rsidR="00371612">
        <w:rPr>
          <w:noProof/>
        </w:rPr>
        <w:t>29</w:t>
      </w:r>
      <w:r w:rsidRPr="00BD574A">
        <w:rPr>
          <w:noProof/>
        </w:rPr>
        <w:fldChar w:fldCharType="end"/>
      </w:r>
    </w:p>
    <w:p w:rsidR="00BD574A" w:rsidRDefault="00BD574A">
      <w:pPr>
        <w:pStyle w:val="TOC3"/>
        <w:rPr>
          <w:rFonts w:asciiTheme="minorHAnsi" w:eastAsiaTheme="minorEastAsia" w:hAnsiTheme="minorHAnsi" w:cstheme="minorBidi"/>
          <w:b w:val="0"/>
          <w:noProof/>
          <w:kern w:val="0"/>
          <w:szCs w:val="22"/>
        </w:rPr>
      </w:pPr>
      <w:r>
        <w:rPr>
          <w:noProof/>
        </w:rPr>
        <w:t>Division 2—Recovery of overpayments</w:t>
      </w:r>
      <w:r w:rsidRPr="00BD574A">
        <w:rPr>
          <w:b w:val="0"/>
          <w:noProof/>
          <w:sz w:val="18"/>
        </w:rPr>
        <w:tab/>
      </w:r>
      <w:r w:rsidRPr="00BD574A">
        <w:rPr>
          <w:b w:val="0"/>
          <w:noProof/>
          <w:sz w:val="18"/>
        </w:rPr>
        <w:fldChar w:fldCharType="begin"/>
      </w:r>
      <w:r w:rsidRPr="00BD574A">
        <w:rPr>
          <w:b w:val="0"/>
          <w:noProof/>
          <w:sz w:val="18"/>
        </w:rPr>
        <w:instrText xml:space="preserve"> PAGEREF _Toc487718130 \h </w:instrText>
      </w:r>
      <w:r w:rsidRPr="00BD574A">
        <w:rPr>
          <w:b w:val="0"/>
          <w:noProof/>
          <w:sz w:val="18"/>
        </w:rPr>
      </w:r>
      <w:r w:rsidRPr="00BD574A">
        <w:rPr>
          <w:b w:val="0"/>
          <w:noProof/>
          <w:sz w:val="18"/>
        </w:rPr>
        <w:fldChar w:fldCharType="separate"/>
      </w:r>
      <w:r w:rsidR="00371612">
        <w:rPr>
          <w:b w:val="0"/>
          <w:noProof/>
          <w:sz w:val="18"/>
        </w:rPr>
        <w:t>30</w:t>
      </w:r>
      <w:r w:rsidRPr="00BD574A">
        <w:rPr>
          <w:b w:val="0"/>
          <w:noProof/>
          <w:sz w:val="18"/>
        </w:rPr>
        <w:fldChar w:fldCharType="end"/>
      </w:r>
    </w:p>
    <w:p w:rsidR="00BD574A" w:rsidRDefault="00BD574A">
      <w:pPr>
        <w:pStyle w:val="TOC5"/>
        <w:rPr>
          <w:rFonts w:asciiTheme="minorHAnsi" w:eastAsiaTheme="minorEastAsia" w:hAnsiTheme="minorHAnsi" w:cstheme="minorBidi"/>
          <w:noProof/>
          <w:kern w:val="0"/>
          <w:sz w:val="22"/>
          <w:szCs w:val="22"/>
        </w:rPr>
      </w:pPr>
      <w:r>
        <w:rPr>
          <w:noProof/>
        </w:rPr>
        <w:t>24</w:t>
      </w:r>
      <w:r>
        <w:rPr>
          <w:noProof/>
        </w:rPr>
        <w:tab/>
        <w:t>Recovery of overpayment of Government co</w:t>
      </w:r>
      <w:r>
        <w:rPr>
          <w:noProof/>
        </w:rPr>
        <w:noBreakHyphen/>
        <w:t>contribution in respect of a person</w:t>
      </w:r>
      <w:r w:rsidRPr="00BD574A">
        <w:rPr>
          <w:noProof/>
        </w:rPr>
        <w:tab/>
      </w:r>
      <w:r w:rsidRPr="00BD574A">
        <w:rPr>
          <w:noProof/>
        </w:rPr>
        <w:fldChar w:fldCharType="begin"/>
      </w:r>
      <w:r w:rsidRPr="00BD574A">
        <w:rPr>
          <w:noProof/>
        </w:rPr>
        <w:instrText xml:space="preserve"> PAGEREF _Toc487718131 \h </w:instrText>
      </w:r>
      <w:r w:rsidRPr="00BD574A">
        <w:rPr>
          <w:noProof/>
        </w:rPr>
      </w:r>
      <w:r w:rsidRPr="00BD574A">
        <w:rPr>
          <w:noProof/>
        </w:rPr>
        <w:fldChar w:fldCharType="separate"/>
      </w:r>
      <w:r w:rsidR="00371612">
        <w:rPr>
          <w:noProof/>
        </w:rPr>
        <w:t>30</w:t>
      </w:r>
      <w:r w:rsidRPr="00BD574A">
        <w:rPr>
          <w:noProof/>
        </w:rPr>
        <w:fldChar w:fldCharType="end"/>
      </w:r>
    </w:p>
    <w:p w:rsidR="00BD574A" w:rsidRDefault="00BD574A">
      <w:pPr>
        <w:pStyle w:val="TOC2"/>
        <w:rPr>
          <w:rFonts w:asciiTheme="minorHAnsi" w:eastAsiaTheme="minorEastAsia" w:hAnsiTheme="minorHAnsi" w:cstheme="minorBidi"/>
          <w:b w:val="0"/>
          <w:noProof/>
          <w:kern w:val="0"/>
          <w:sz w:val="22"/>
          <w:szCs w:val="22"/>
        </w:rPr>
      </w:pPr>
      <w:r>
        <w:rPr>
          <w:noProof/>
        </w:rPr>
        <w:t>Part 5A—General interest charge</w:t>
      </w:r>
      <w:r w:rsidRPr="00BD574A">
        <w:rPr>
          <w:b w:val="0"/>
          <w:noProof/>
          <w:sz w:val="18"/>
        </w:rPr>
        <w:tab/>
      </w:r>
      <w:r w:rsidRPr="00BD574A">
        <w:rPr>
          <w:b w:val="0"/>
          <w:noProof/>
          <w:sz w:val="18"/>
        </w:rPr>
        <w:fldChar w:fldCharType="begin"/>
      </w:r>
      <w:r w:rsidRPr="00BD574A">
        <w:rPr>
          <w:b w:val="0"/>
          <w:noProof/>
          <w:sz w:val="18"/>
        </w:rPr>
        <w:instrText xml:space="preserve"> PAGEREF _Toc487718132 \h </w:instrText>
      </w:r>
      <w:r w:rsidRPr="00BD574A">
        <w:rPr>
          <w:b w:val="0"/>
          <w:noProof/>
          <w:sz w:val="18"/>
        </w:rPr>
      </w:r>
      <w:r w:rsidRPr="00BD574A">
        <w:rPr>
          <w:b w:val="0"/>
          <w:noProof/>
          <w:sz w:val="18"/>
        </w:rPr>
        <w:fldChar w:fldCharType="separate"/>
      </w:r>
      <w:r w:rsidR="00371612">
        <w:rPr>
          <w:b w:val="0"/>
          <w:noProof/>
          <w:sz w:val="18"/>
        </w:rPr>
        <w:t>34</w:t>
      </w:r>
      <w:r w:rsidRPr="00BD574A">
        <w:rPr>
          <w:b w:val="0"/>
          <w:noProof/>
          <w:sz w:val="18"/>
        </w:rPr>
        <w:fldChar w:fldCharType="end"/>
      </w:r>
    </w:p>
    <w:p w:rsidR="00BD574A" w:rsidRDefault="00BD574A">
      <w:pPr>
        <w:pStyle w:val="TOC5"/>
        <w:rPr>
          <w:rFonts w:asciiTheme="minorHAnsi" w:eastAsiaTheme="minorEastAsia" w:hAnsiTheme="minorHAnsi" w:cstheme="minorBidi"/>
          <w:noProof/>
          <w:kern w:val="0"/>
          <w:sz w:val="22"/>
          <w:szCs w:val="22"/>
        </w:rPr>
      </w:pPr>
      <w:r>
        <w:rPr>
          <w:noProof/>
        </w:rPr>
        <w:t>25</w:t>
      </w:r>
      <w:r>
        <w:rPr>
          <w:noProof/>
          <w:snapToGrid w:val="0"/>
        </w:rPr>
        <w:tab/>
      </w:r>
      <w:r w:rsidRPr="00FB20B7">
        <w:rPr>
          <w:noProof/>
          <w:snapToGrid w:val="0"/>
        </w:rPr>
        <w:t>When general interest charge payable</w:t>
      </w:r>
      <w:r w:rsidRPr="00BD574A">
        <w:rPr>
          <w:noProof/>
        </w:rPr>
        <w:tab/>
      </w:r>
      <w:r w:rsidRPr="00BD574A">
        <w:rPr>
          <w:noProof/>
        </w:rPr>
        <w:fldChar w:fldCharType="begin"/>
      </w:r>
      <w:r w:rsidRPr="00BD574A">
        <w:rPr>
          <w:noProof/>
        </w:rPr>
        <w:instrText xml:space="preserve"> PAGEREF _Toc487718133 \h </w:instrText>
      </w:r>
      <w:r w:rsidRPr="00BD574A">
        <w:rPr>
          <w:noProof/>
        </w:rPr>
      </w:r>
      <w:r w:rsidRPr="00BD574A">
        <w:rPr>
          <w:noProof/>
        </w:rPr>
        <w:fldChar w:fldCharType="separate"/>
      </w:r>
      <w:r w:rsidR="00371612">
        <w:rPr>
          <w:noProof/>
        </w:rPr>
        <w:t>34</w:t>
      </w:r>
      <w:r w:rsidRPr="00BD574A">
        <w:rPr>
          <w:noProof/>
        </w:rPr>
        <w:fldChar w:fldCharType="end"/>
      </w:r>
    </w:p>
    <w:p w:rsidR="00BD574A" w:rsidRDefault="00BD574A">
      <w:pPr>
        <w:pStyle w:val="TOC2"/>
        <w:rPr>
          <w:rFonts w:asciiTheme="minorHAnsi" w:eastAsiaTheme="minorEastAsia" w:hAnsiTheme="minorHAnsi" w:cstheme="minorBidi"/>
          <w:b w:val="0"/>
          <w:noProof/>
          <w:kern w:val="0"/>
          <w:sz w:val="22"/>
          <w:szCs w:val="22"/>
        </w:rPr>
      </w:pPr>
      <w:r>
        <w:rPr>
          <w:noProof/>
        </w:rPr>
        <w:t>Part 6—Enforcement</w:t>
      </w:r>
      <w:r w:rsidRPr="00BD574A">
        <w:rPr>
          <w:b w:val="0"/>
          <w:noProof/>
          <w:sz w:val="18"/>
        </w:rPr>
        <w:tab/>
      </w:r>
      <w:r w:rsidRPr="00BD574A">
        <w:rPr>
          <w:b w:val="0"/>
          <w:noProof/>
          <w:sz w:val="18"/>
        </w:rPr>
        <w:fldChar w:fldCharType="begin"/>
      </w:r>
      <w:r w:rsidRPr="00BD574A">
        <w:rPr>
          <w:b w:val="0"/>
          <w:noProof/>
          <w:sz w:val="18"/>
        </w:rPr>
        <w:instrText xml:space="preserve"> PAGEREF _Toc487718134 \h </w:instrText>
      </w:r>
      <w:r w:rsidRPr="00BD574A">
        <w:rPr>
          <w:b w:val="0"/>
          <w:noProof/>
          <w:sz w:val="18"/>
        </w:rPr>
      </w:r>
      <w:r w:rsidRPr="00BD574A">
        <w:rPr>
          <w:b w:val="0"/>
          <w:noProof/>
          <w:sz w:val="18"/>
        </w:rPr>
        <w:fldChar w:fldCharType="separate"/>
      </w:r>
      <w:r w:rsidR="00371612">
        <w:rPr>
          <w:b w:val="0"/>
          <w:noProof/>
          <w:sz w:val="18"/>
        </w:rPr>
        <w:t>36</w:t>
      </w:r>
      <w:r w:rsidRPr="00BD574A">
        <w:rPr>
          <w:b w:val="0"/>
          <w:noProof/>
          <w:sz w:val="18"/>
        </w:rPr>
        <w:fldChar w:fldCharType="end"/>
      </w:r>
    </w:p>
    <w:p w:rsidR="00BD574A" w:rsidRDefault="00BD574A">
      <w:pPr>
        <w:pStyle w:val="TOC3"/>
        <w:rPr>
          <w:rFonts w:asciiTheme="minorHAnsi" w:eastAsiaTheme="minorEastAsia" w:hAnsiTheme="minorHAnsi" w:cstheme="minorBidi"/>
          <w:b w:val="0"/>
          <w:noProof/>
          <w:kern w:val="0"/>
          <w:szCs w:val="22"/>
        </w:rPr>
      </w:pPr>
      <w:r>
        <w:rPr>
          <w:noProof/>
        </w:rPr>
        <w:t>Division 1—Record keeping obligations</w:t>
      </w:r>
      <w:r w:rsidRPr="00BD574A">
        <w:rPr>
          <w:b w:val="0"/>
          <w:noProof/>
          <w:sz w:val="18"/>
        </w:rPr>
        <w:tab/>
      </w:r>
      <w:r w:rsidRPr="00BD574A">
        <w:rPr>
          <w:b w:val="0"/>
          <w:noProof/>
          <w:sz w:val="18"/>
        </w:rPr>
        <w:fldChar w:fldCharType="begin"/>
      </w:r>
      <w:r w:rsidRPr="00BD574A">
        <w:rPr>
          <w:b w:val="0"/>
          <w:noProof/>
          <w:sz w:val="18"/>
        </w:rPr>
        <w:instrText xml:space="preserve"> PAGEREF _Toc487718135 \h </w:instrText>
      </w:r>
      <w:r w:rsidRPr="00BD574A">
        <w:rPr>
          <w:b w:val="0"/>
          <w:noProof/>
          <w:sz w:val="18"/>
        </w:rPr>
      </w:r>
      <w:r w:rsidRPr="00BD574A">
        <w:rPr>
          <w:b w:val="0"/>
          <w:noProof/>
          <w:sz w:val="18"/>
        </w:rPr>
        <w:fldChar w:fldCharType="separate"/>
      </w:r>
      <w:r w:rsidR="00371612">
        <w:rPr>
          <w:b w:val="0"/>
          <w:noProof/>
          <w:sz w:val="18"/>
        </w:rPr>
        <w:t>36</w:t>
      </w:r>
      <w:r w:rsidRPr="00BD574A">
        <w:rPr>
          <w:b w:val="0"/>
          <w:noProof/>
          <w:sz w:val="18"/>
        </w:rPr>
        <w:fldChar w:fldCharType="end"/>
      </w:r>
    </w:p>
    <w:p w:rsidR="00BD574A" w:rsidRDefault="00BD574A">
      <w:pPr>
        <w:pStyle w:val="TOC5"/>
        <w:rPr>
          <w:rFonts w:asciiTheme="minorHAnsi" w:eastAsiaTheme="minorEastAsia" w:hAnsiTheme="minorHAnsi" w:cstheme="minorBidi"/>
          <w:noProof/>
          <w:kern w:val="0"/>
          <w:sz w:val="22"/>
          <w:szCs w:val="22"/>
        </w:rPr>
      </w:pPr>
      <w:r>
        <w:rPr>
          <w:noProof/>
        </w:rPr>
        <w:t>32</w:t>
      </w:r>
      <w:r>
        <w:rPr>
          <w:noProof/>
        </w:rPr>
        <w:tab/>
        <w:t>Records to be kept and retained by superannuation provider</w:t>
      </w:r>
      <w:r w:rsidRPr="00BD574A">
        <w:rPr>
          <w:noProof/>
        </w:rPr>
        <w:tab/>
      </w:r>
      <w:r w:rsidRPr="00BD574A">
        <w:rPr>
          <w:noProof/>
        </w:rPr>
        <w:fldChar w:fldCharType="begin"/>
      </w:r>
      <w:r w:rsidRPr="00BD574A">
        <w:rPr>
          <w:noProof/>
        </w:rPr>
        <w:instrText xml:space="preserve"> PAGEREF _Toc487718136 \h </w:instrText>
      </w:r>
      <w:r w:rsidRPr="00BD574A">
        <w:rPr>
          <w:noProof/>
        </w:rPr>
      </w:r>
      <w:r w:rsidRPr="00BD574A">
        <w:rPr>
          <w:noProof/>
        </w:rPr>
        <w:fldChar w:fldCharType="separate"/>
      </w:r>
      <w:r w:rsidR="00371612">
        <w:rPr>
          <w:noProof/>
        </w:rPr>
        <w:t>36</w:t>
      </w:r>
      <w:r w:rsidRPr="00BD574A">
        <w:rPr>
          <w:noProof/>
        </w:rPr>
        <w:fldChar w:fldCharType="end"/>
      </w:r>
    </w:p>
    <w:p w:rsidR="00BD574A" w:rsidRDefault="00BD574A">
      <w:pPr>
        <w:pStyle w:val="TOC3"/>
        <w:rPr>
          <w:rFonts w:asciiTheme="minorHAnsi" w:eastAsiaTheme="minorEastAsia" w:hAnsiTheme="minorHAnsi" w:cstheme="minorBidi"/>
          <w:b w:val="0"/>
          <w:noProof/>
          <w:kern w:val="0"/>
          <w:szCs w:val="22"/>
        </w:rPr>
      </w:pPr>
      <w:r>
        <w:rPr>
          <w:noProof/>
        </w:rPr>
        <w:t>Division 2—Infringement notices</w:t>
      </w:r>
      <w:r w:rsidRPr="00BD574A">
        <w:rPr>
          <w:b w:val="0"/>
          <w:noProof/>
          <w:sz w:val="18"/>
        </w:rPr>
        <w:tab/>
      </w:r>
      <w:r w:rsidRPr="00BD574A">
        <w:rPr>
          <w:b w:val="0"/>
          <w:noProof/>
          <w:sz w:val="18"/>
        </w:rPr>
        <w:fldChar w:fldCharType="begin"/>
      </w:r>
      <w:r w:rsidRPr="00BD574A">
        <w:rPr>
          <w:b w:val="0"/>
          <w:noProof/>
          <w:sz w:val="18"/>
        </w:rPr>
        <w:instrText xml:space="preserve"> PAGEREF _Toc487718137 \h </w:instrText>
      </w:r>
      <w:r w:rsidRPr="00BD574A">
        <w:rPr>
          <w:b w:val="0"/>
          <w:noProof/>
          <w:sz w:val="18"/>
        </w:rPr>
      </w:r>
      <w:r w:rsidRPr="00BD574A">
        <w:rPr>
          <w:b w:val="0"/>
          <w:noProof/>
          <w:sz w:val="18"/>
        </w:rPr>
        <w:fldChar w:fldCharType="separate"/>
      </w:r>
      <w:r w:rsidR="00371612">
        <w:rPr>
          <w:b w:val="0"/>
          <w:noProof/>
          <w:sz w:val="18"/>
        </w:rPr>
        <w:t>38</w:t>
      </w:r>
      <w:r w:rsidRPr="00BD574A">
        <w:rPr>
          <w:b w:val="0"/>
          <w:noProof/>
          <w:sz w:val="18"/>
        </w:rPr>
        <w:fldChar w:fldCharType="end"/>
      </w:r>
    </w:p>
    <w:p w:rsidR="00BD574A" w:rsidRDefault="00BD574A">
      <w:pPr>
        <w:pStyle w:val="TOC5"/>
        <w:rPr>
          <w:rFonts w:asciiTheme="minorHAnsi" w:eastAsiaTheme="minorEastAsia" w:hAnsiTheme="minorHAnsi" w:cstheme="minorBidi"/>
          <w:noProof/>
          <w:kern w:val="0"/>
          <w:sz w:val="22"/>
          <w:szCs w:val="22"/>
        </w:rPr>
      </w:pPr>
      <w:r>
        <w:rPr>
          <w:noProof/>
        </w:rPr>
        <w:t>33</w:t>
      </w:r>
      <w:r>
        <w:rPr>
          <w:noProof/>
        </w:rPr>
        <w:tab/>
        <w:t>When an infringement notice can be served</w:t>
      </w:r>
      <w:r w:rsidRPr="00BD574A">
        <w:rPr>
          <w:noProof/>
        </w:rPr>
        <w:tab/>
      </w:r>
      <w:r w:rsidRPr="00BD574A">
        <w:rPr>
          <w:noProof/>
        </w:rPr>
        <w:fldChar w:fldCharType="begin"/>
      </w:r>
      <w:r w:rsidRPr="00BD574A">
        <w:rPr>
          <w:noProof/>
        </w:rPr>
        <w:instrText xml:space="preserve"> PAGEREF _Toc487718138 \h </w:instrText>
      </w:r>
      <w:r w:rsidRPr="00BD574A">
        <w:rPr>
          <w:noProof/>
        </w:rPr>
      </w:r>
      <w:r w:rsidRPr="00BD574A">
        <w:rPr>
          <w:noProof/>
        </w:rPr>
        <w:fldChar w:fldCharType="separate"/>
      </w:r>
      <w:r w:rsidR="00371612">
        <w:rPr>
          <w:noProof/>
        </w:rPr>
        <w:t>38</w:t>
      </w:r>
      <w:r w:rsidRPr="00BD574A">
        <w:rPr>
          <w:noProof/>
        </w:rPr>
        <w:fldChar w:fldCharType="end"/>
      </w:r>
    </w:p>
    <w:p w:rsidR="00BD574A" w:rsidRDefault="00BD574A">
      <w:pPr>
        <w:pStyle w:val="TOC5"/>
        <w:rPr>
          <w:rFonts w:asciiTheme="minorHAnsi" w:eastAsiaTheme="minorEastAsia" w:hAnsiTheme="minorHAnsi" w:cstheme="minorBidi"/>
          <w:noProof/>
          <w:kern w:val="0"/>
          <w:sz w:val="22"/>
          <w:szCs w:val="22"/>
        </w:rPr>
      </w:pPr>
      <w:r>
        <w:rPr>
          <w:noProof/>
        </w:rPr>
        <w:t>34</w:t>
      </w:r>
      <w:r>
        <w:rPr>
          <w:noProof/>
        </w:rPr>
        <w:tab/>
        <w:t>Matters to be included in an infringement notice</w:t>
      </w:r>
      <w:r w:rsidRPr="00BD574A">
        <w:rPr>
          <w:noProof/>
        </w:rPr>
        <w:tab/>
      </w:r>
      <w:r w:rsidRPr="00BD574A">
        <w:rPr>
          <w:noProof/>
        </w:rPr>
        <w:fldChar w:fldCharType="begin"/>
      </w:r>
      <w:r w:rsidRPr="00BD574A">
        <w:rPr>
          <w:noProof/>
        </w:rPr>
        <w:instrText xml:space="preserve"> PAGEREF _Toc487718139 \h </w:instrText>
      </w:r>
      <w:r w:rsidRPr="00BD574A">
        <w:rPr>
          <w:noProof/>
        </w:rPr>
      </w:r>
      <w:r w:rsidRPr="00BD574A">
        <w:rPr>
          <w:noProof/>
        </w:rPr>
        <w:fldChar w:fldCharType="separate"/>
      </w:r>
      <w:r w:rsidR="00371612">
        <w:rPr>
          <w:noProof/>
        </w:rPr>
        <w:t>38</w:t>
      </w:r>
      <w:r w:rsidRPr="00BD574A">
        <w:rPr>
          <w:noProof/>
        </w:rPr>
        <w:fldChar w:fldCharType="end"/>
      </w:r>
    </w:p>
    <w:p w:rsidR="00BD574A" w:rsidRDefault="00BD574A">
      <w:pPr>
        <w:pStyle w:val="TOC5"/>
        <w:rPr>
          <w:rFonts w:asciiTheme="minorHAnsi" w:eastAsiaTheme="minorEastAsia" w:hAnsiTheme="minorHAnsi" w:cstheme="minorBidi"/>
          <w:noProof/>
          <w:kern w:val="0"/>
          <w:sz w:val="22"/>
          <w:szCs w:val="22"/>
        </w:rPr>
      </w:pPr>
      <w:r>
        <w:rPr>
          <w:noProof/>
        </w:rPr>
        <w:t>35</w:t>
      </w:r>
      <w:r>
        <w:rPr>
          <w:noProof/>
        </w:rPr>
        <w:tab/>
        <w:t>Withdrawal of infringement notice</w:t>
      </w:r>
      <w:r w:rsidRPr="00BD574A">
        <w:rPr>
          <w:noProof/>
        </w:rPr>
        <w:tab/>
      </w:r>
      <w:r w:rsidRPr="00BD574A">
        <w:rPr>
          <w:noProof/>
        </w:rPr>
        <w:fldChar w:fldCharType="begin"/>
      </w:r>
      <w:r w:rsidRPr="00BD574A">
        <w:rPr>
          <w:noProof/>
        </w:rPr>
        <w:instrText xml:space="preserve"> PAGEREF _Toc487718140 \h </w:instrText>
      </w:r>
      <w:r w:rsidRPr="00BD574A">
        <w:rPr>
          <w:noProof/>
        </w:rPr>
      </w:r>
      <w:r w:rsidRPr="00BD574A">
        <w:rPr>
          <w:noProof/>
        </w:rPr>
        <w:fldChar w:fldCharType="separate"/>
      </w:r>
      <w:r w:rsidR="00371612">
        <w:rPr>
          <w:noProof/>
        </w:rPr>
        <w:t>39</w:t>
      </w:r>
      <w:r w:rsidRPr="00BD574A">
        <w:rPr>
          <w:noProof/>
        </w:rPr>
        <w:fldChar w:fldCharType="end"/>
      </w:r>
    </w:p>
    <w:p w:rsidR="00BD574A" w:rsidRDefault="00BD574A">
      <w:pPr>
        <w:pStyle w:val="TOC5"/>
        <w:rPr>
          <w:rFonts w:asciiTheme="minorHAnsi" w:eastAsiaTheme="minorEastAsia" w:hAnsiTheme="minorHAnsi" w:cstheme="minorBidi"/>
          <w:noProof/>
          <w:kern w:val="0"/>
          <w:sz w:val="22"/>
          <w:szCs w:val="22"/>
        </w:rPr>
      </w:pPr>
      <w:r>
        <w:rPr>
          <w:noProof/>
        </w:rPr>
        <w:t>36</w:t>
      </w:r>
      <w:r>
        <w:rPr>
          <w:noProof/>
        </w:rPr>
        <w:tab/>
        <w:t>What happens if penalty is paid</w:t>
      </w:r>
      <w:r w:rsidRPr="00BD574A">
        <w:rPr>
          <w:noProof/>
        </w:rPr>
        <w:tab/>
      </w:r>
      <w:r w:rsidRPr="00BD574A">
        <w:rPr>
          <w:noProof/>
        </w:rPr>
        <w:fldChar w:fldCharType="begin"/>
      </w:r>
      <w:r w:rsidRPr="00BD574A">
        <w:rPr>
          <w:noProof/>
        </w:rPr>
        <w:instrText xml:space="preserve"> PAGEREF _Toc487718141 \h </w:instrText>
      </w:r>
      <w:r w:rsidRPr="00BD574A">
        <w:rPr>
          <w:noProof/>
        </w:rPr>
      </w:r>
      <w:r w:rsidRPr="00BD574A">
        <w:rPr>
          <w:noProof/>
        </w:rPr>
        <w:fldChar w:fldCharType="separate"/>
      </w:r>
      <w:r w:rsidR="00371612">
        <w:rPr>
          <w:noProof/>
        </w:rPr>
        <w:t>40</w:t>
      </w:r>
      <w:r w:rsidRPr="00BD574A">
        <w:rPr>
          <w:noProof/>
        </w:rPr>
        <w:fldChar w:fldCharType="end"/>
      </w:r>
    </w:p>
    <w:p w:rsidR="00BD574A" w:rsidRDefault="00BD574A">
      <w:pPr>
        <w:pStyle w:val="TOC5"/>
        <w:rPr>
          <w:rFonts w:asciiTheme="minorHAnsi" w:eastAsiaTheme="minorEastAsia" w:hAnsiTheme="minorHAnsi" w:cstheme="minorBidi"/>
          <w:noProof/>
          <w:kern w:val="0"/>
          <w:sz w:val="22"/>
          <w:szCs w:val="22"/>
        </w:rPr>
      </w:pPr>
      <w:r>
        <w:rPr>
          <w:noProof/>
        </w:rPr>
        <w:t>37</w:t>
      </w:r>
      <w:r>
        <w:rPr>
          <w:noProof/>
        </w:rPr>
        <w:tab/>
        <w:t>More than one infringement notice may not be served for the same offence</w:t>
      </w:r>
      <w:r w:rsidRPr="00BD574A">
        <w:rPr>
          <w:noProof/>
        </w:rPr>
        <w:tab/>
      </w:r>
      <w:r w:rsidRPr="00BD574A">
        <w:rPr>
          <w:noProof/>
        </w:rPr>
        <w:fldChar w:fldCharType="begin"/>
      </w:r>
      <w:r w:rsidRPr="00BD574A">
        <w:rPr>
          <w:noProof/>
        </w:rPr>
        <w:instrText xml:space="preserve"> PAGEREF _Toc487718142 \h </w:instrText>
      </w:r>
      <w:r w:rsidRPr="00BD574A">
        <w:rPr>
          <w:noProof/>
        </w:rPr>
      </w:r>
      <w:r w:rsidRPr="00BD574A">
        <w:rPr>
          <w:noProof/>
        </w:rPr>
        <w:fldChar w:fldCharType="separate"/>
      </w:r>
      <w:r w:rsidR="00371612">
        <w:rPr>
          <w:noProof/>
        </w:rPr>
        <w:t>41</w:t>
      </w:r>
      <w:r w:rsidRPr="00BD574A">
        <w:rPr>
          <w:noProof/>
        </w:rPr>
        <w:fldChar w:fldCharType="end"/>
      </w:r>
    </w:p>
    <w:p w:rsidR="00BD574A" w:rsidRDefault="00BD574A">
      <w:pPr>
        <w:pStyle w:val="TOC5"/>
        <w:rPr>
          <w:rFonts w:asciiTheme="minorHAnsi" w:eastAsiaTheme="minorEastAsia" w:hAnsiTheme="minorHAnsi" w:cstheme="minorBidi"/>
          <w:noProof/>
          <w:kern w:val="0"/>
          <w:sz w:val="22"/>
          <w:szCs w:val="22"/>
        </w:rPr>
      </w:pPr>
      <w:r>
        <w:rPr>
          <w:noProof/>
        </w:rPr>
        <w:t>38</w:t>
      </w:r>
      <w:r>
        <w:rPr>
          <w:noProof/>
        </w:rPr>
        <w:tab/>
        <w:t>Infringement notice not required to be served</w:t>
      </w:r>
      <w:r w:rsidRPr="00BD574A">
        <w:rPr>
          <w:noProof/>
        </w:rPr>
        <w:tab/>
      </w:r>
      <w:r w:rsidRPr="00BD574A">
        <w:rPr>
          <w:noProof/>
        </w:rPr>
        <w:fldChar w:fldCharType="begin"/>
      </w:r>
      <w:r w:rsidRPr="00BD574A">
        <w:rPr>
          <w:noProof/>
        </w:rPr>
        <w:instrText xml:space="preserve"> PAGEREF _Toc487718143 \h </w:instrText>
      </w:r>
      <w:r w:rsidRPr="00BD574A">
        <w:rPr>
          <w:noProof/>
        </w:rPr>
      </w:r>
      <w:r w:rsidRPr="00BD574A">
        <w:rPr>
          <w:noProof/>
        </w:rPr>
        <w:fldChar w:fldCharType="separate"/>
      </w:r>
      <w:r w:rsidR="00371612">
        <w:rPr>
          <w:noProof/>
        </w:rPr>
        <w:t>41</w:t>
      </w:r>
      <w:r w:rsidRPr="00BD574A">
        <w:rPr>
          <w:noProof/>
        </w:rPr>
        <w:fldChar w:fldCharType="end"/>
      </w:r>
    </w:p>
    <w:p w:rsidR="00BD574A" w:rsidRDefault="00BD574A">
      <w:pPr>
        <w:pStyle w:val="TOC5"/>
        <w:rPr>
          <w:rFonts w:asciiTheme="minorHAnsi" w:eastAsiaTheme="minorEastAsia" w:hAnsiTheme="minorHAnsi" w:cstheme="minorBidi"/>
          <w:noProof/>
          <w:kern w:val="0"/>
          <w:sz w:val="22"/>
          <w:szCs w:val="22"/>
        </w:rPr>
      </w:pPr>
      <w:r>
        <w:rPr>
          <w:noProof/>
        </w:rPr>
        <w:t>39</w:t>
      </w:r>
      <w:r>
        <w:rPr>
          <w:noProof/>
        </w:rPr>
        <w:tab/>
        <w:t>Commissioner may extend period for payment of penalty</w:t>
      </w:r>
      <w:r w:rsidRPr="00BD574A">
        <w:rPr>
          <w:noProof/>
        </w:rPr>
        <w:tab/>
      </w:r>
      <w:r w:rsidRPr="00BD574A">
        <w:rPr>
          <w:noProof/>
        </w:rPr>
        <w:fldChar w:fldCharType="begin"/>
      </w:r>
      <w:r w:rsidRPr="00BD574A">
        <w:rPr>
          <w:noProof/>
        </w:rPr>
        <w:instrText xml:space="preserve"> PAGEREF _Toc487718144 \h </w:instrText>
      </w:r>
      <w:r w:rsidRPr="00BD574A">
        <w:rPr>
          <w:noProof/>
        </w:rPr>
      </w:r>
      <w:r w:rsidRPr="00BD574A">
        <w:rPr>
          <w:noProof/>
        </w:rPr>
        <w:fldChar w:fldCharType="separate"/>
      </w:r>
      <w:r w:rsidR="00371612">
        <w:rPr>
          <w:noProof/>
        </w:rPr>
        <w:t>42</w:t>
      </w:r>
      <w:r w:rsidRPr="00BD574A">
        <w:rPr>
          <w:noProof/>
        </w:rPr>
        <w:fldChar w:fldCharType="end"/>
      </w:r>
    </w:p>
    <w:p w:rsidR="00BD574A" w:rsidRDefault="00BD574A">
      <w:pPr>
        <w:pStyle w:val="TOC2"/>
        <w:rPr>
          <w:rFonts w:asciiTheme="minorHAnsi" w:eastAsiaTheme="minorEastAsia" w:hAnsiTheme="minorHAnsi" w:cstheme="minorBidi"/>
          <w:b w:val="0"/>
          <w:noProof/>
          <w:kern w:val="0"/>
          <w:sz w:val="22"/>
          <w:szCs w:val="22"/>
        </w:rPr>
      </w:pPr>
      <w:r>
        <w:rPr>
          <w:noProof/>
        </w:rPr>
        <w:lastRenderedPageBreak/>
        <w:t>Part 7—Administration</w:t>
      </w:r>
      <w:r w:rsidRPr="00BD574A">
        <w:rPr>
          <w:b w:val="0"/>
          <w:noProof/>
          <w:sz w:val="18"/>
        </w:rPr>
        <w:tab/>
      </w:r>
      <w:r w:rsidRPr="00BD574A">
        <w:rPr>
          <w:b w:val="0"/>
          <w:noProof/>
          <w:sz w:val="18"/>
        </w:rPr>
        <w:fldChar w:fldCharType="begin"/>
      </w:r>
      <w:r w:rsidRPr="00BD574A">
        <w:rPr>
          <w:b w:val="0"/>
          <w:noProof/>
          <w:sz w:val="18"/>
        </w:rPr>
        <w:instrText xml:space="preserve"> PAGEREF _Toc487718145 \h </w:instrText>
      </w:r>
      <w:r w:rsidRPr="00BD574A">
        <w:rPr>
          <w:b w:val="0"/>
          <w:noProof/>
          <w:sz w:val="18"/>
        </w:rPr>
      </w:r>
      <w:r w:rsidRPr="00BD574A">
        <w:rPr>
          <w:b w:val="0"/>
          <w:noProof/>
          <w:sz w:val="18"/>
        </w:rPr>
        <w:fldChar w:fldCharType="separate"/>
      </w:r>
      <w:r w:rsidR="00371612">
        <w:rPr>
          <w:b w:val="0"/>
          <w:noProof/>
          <w:sz w:val="18"/>
        </w:rPr>
        <w:t>43</w:t>
      </w:r>
      <w:r w:rsidRPr="00BD574A">
        <w:rPr>
          <w:b w:val="0"/>
          <w:noProof/>
          <w:sz w:val="18"/>
        </w:rPr>
        <w:fldChar w:fldCharType="end"/>
      </w:r>
    </w:p>
    <w:p w:rsidR="00BD574A" w:rsidRDefault="00BD574A">
      <w:pPr>
        <w:pStyle w:val="TOC3"/>
        <w:rPr>
          <w:rFonts w:asciiTheme="minorHAnsi" w:eastAsiaTheme="minorEastAsia" w:hAnsiTheme="minorHAnsi" w:cstheme="minorBidi"/>
          <w:b w:val="0"/>
          <w:noProof/>
          <w:kern w:val="0"/>
          <w:szCs w:val="22"/>
        </w:rPr>
      </w:pPr>
      <w:r>
        <w:rPr>
          <w:noProof/>
        </w:rPr>
        <w:t>Division 1—General administration</w:t>
      </w:r>
      <w:r w:rsidRPr="00BD574A">
        <w:rPr>
          <w:b w:val="0"/>
          <w:noProof/>
          <w:sz w:val="18"/>
        </w:rPr>
        <w:tab/>
      </w:r>
      <w:r w:rsidRPr="00BD574A">
        <w:rPr>
          <w:b w:val="0"/>
          <w:noProof/>
          <w:sz w:val="18"/>
        </w:rPr>
        <w:fldChar w:fldCharType="begin"/>
      </w:r>
      <w:r w:rsidRPr="00BD574A">
        <w:rPr>
          <w:b w:val="0"/>
          <w:noProof/>
          <w:sz w:val="18"/>
        </w:rPr>
        <w:instrText xml:space="preserve"> PAGEREF _Toc487718146 \h </w:instrText>
      </w:r>
      <w:r w:rsidRPr="00BD574A">
        <w:rPr>
          <w:b w:val="0"/>
          <w:noProof/>
          <w:sz w:val="18"/>
        </w:rPr>
      </w:r>
      <w:r w:rsidRPr="00BD574A">
        <w:rPr>
          <w:b w:val="0"/>
          <w:noProof/>
          <w:sz w:val="18"/>
        </w:rPr>
        <w:fldChar w:fldCharType="separate"/>
      </w:r>
      <w:r w:rsidR="00371612">
        <w:rPr>
          <w:b w:val="0"/>
          <w:noProof/>
          <w:sz w:val="18"/>
        </w:rPr>
        <w:t>43</w:t>
      </w:r>
      <w:r w:rsidRPr="00BD574A">
        <w:rPr>
          <w:b w:val="0"/>
          <w:noProof/>
          <w:sz w:val="18"/>
        </w:rPr>
        <w:fldChar w:fldCharType="end"/>
      </w:r>
    </w:p>
    <w:p w:rsidR="00BD574A" w:rsidRDefault="00BD574A">
      <w:pPr>
        <w:pStyle w:val="TOC5"/>
        <w:rPr>
          <w:rFonts w:asciiTheme="minorHAnsi" w:eastAsiaTheme="minorEastAsia" w:hAnsiTheme="minorHAnsi" w:cstheme="minorBidi"/>
          <w:noProof/>
          <w:kern w:val="0"/>
          <w:sz w:val="22"/>
          <w:szCs w:val="22"/>
        </w:rPr>
      </w:pPr>
      <w:r>
        <w:rPr>
          <w:noProof/>
        </w:rPr>
        <w:t>46</w:t>
      </w:r>
      <w:r>
        <w:rPr>
          <w:noProof/>
        </w:rPr>
        <w:tab/>
        <w:t>Commissioner to have general administration of the Act</w:t>
      </w:r>
      <w:r w:rsidRPr="00BD574A">
        <w:rPr>
          <w:noProof/>
        </w:rPr>
        <w:tab/>
      </w:r>
      <w:r w:rsidRPr="00BD574A">
        <w:rPr>
          <w:noProof/>
        </w:rPr>
        <w:fldChar w:fldCharType="begin"/>
      </w:r>
      <w:r w:rsidRPr="00BD574A">
        <w:rPr>
          <w:noProof/>
        </w:rPr>
        <w:instrText xml:space="preserve"> PAGEREF _Toc487718147 \h </w:instrText>
      </w:r>
      <w:r w:rsidRPr="00BD574A">
        <w:rPr>
          <w:noProof/>
        </w:rPr>
      </w:r>
      <w:r w:rsidRPr="00BD574A">
        <w:rPr>
          <w:noProof/>
        </w:rPr>
        <w:fldChar w:fldCharType="separate"/>
      </w:r>
      <w:r w:rsidR="00371612">
        <w:rPr>
          <w:noProof/>
        </w:rPr>
        <w:t>43</w:t>
      </w:r>
      <w:r w:rsidRPr="00BD574A">
        <w:rPr>
          <w:noProof/>
        </w:rPr>
        <w:fldChar w:fldCharType="end"/>
      </w:r>
    </w:p>
    <w:p w:rsidR="00BD574A" w:rsidRDefault="00BD574A">
      <w:pPr>
        <w:pStyle w:val="TOC5"/>
        <w:rPr>
          <w:rFonts w:asciiTheme="minorHAnsi" w:eastAsiaTheme="minorEastAsia" w:hAnsiTheme="minorHAnsi" w:cstheme="minorBidi"/>
          <w:noProof/>
          <w:kern w:val="0"/>
          <w:sz w:val="22"/>
          <w:szCs w:val="22"/>
        </w:rPr>
      </w:pPr>
      <w:r>
        <w:rPr>
          <w:noProof/>
        </w:rPr>
        <w:t>47</w:t>
      </w:r>
      <w:r>
        <w:rPr>
          <w:noProof/>
        </w:rPr>
        <w:tab/>
        <w:t>Decisions to be in writing</w:t>
      </w:r>
      <w:r w:rsidRPr="00BD574A">
        <w:rPr>
          <w:noProof/>
        </w:rPr>
        <w:tab/>
      </w:r>
      <w:r w:rsidRPr="00BD574A">
        <w:rPr>
          <w:noProof/>
        </w:rPr>
        <w:fldChar w:fldCharType="begin"/>
      </w:r>
      <w:r w:rsidRPr="00BD574A">
        <w:rPr>
          <w:noProof/>
        </w:rPr>
        <w:instrText xml:space="preserve"> PAGEREF _Toc487718148 \h </w:instrText>
      </w:r>
      <w:r w:rsidRPr="00BD574A">
        <w:rPr>
          <w:noProof/>
        </w:rPr>
      </w:r>
      <w:r w:rsidRPr="00BD574A">
        <w:rPr>
          <w:noProof/>
        </w:rPr>
        <w:fldChar w:fldCharType="separate"/>
      </w:r>
      <w:r w:rsidR="00371612">
        <w:rPr>
          <w:noProof/>
        </w:rPr>
        <w:t>43</w:t>
      </w:r>
      <w:r w:rsidRPr="00BD574A">
        <w:rPr>
          <w:noProof/>
        </w:rPr>
        <w:fldChar w:fldCharType="end"/>
      </w:r>
    </w:p>
    <w:p w:rsidR="00BD574A" w:rsidRDefault="00BD574A">
      <w:pPr>
        <w:pStyle w:val="TOC5"/>
        <w:rPr>
          <w:rFonts w:asciiTheme="minorHAnsi" w:eastAsiaTheme="minorEastAsia" w:hAnsiTheme="minorHAnsi" w:cstheme="minorBidi"/>
          <w:noProof/>
          <w:kern w:val="0"/>
          <w:sz w:val="22"/>
          <w:szCs w:val="22"/>
        </w:rPr>
      </w:pPr>
      <w:r>
        <w:rPr>
          <w:noProof/>
        </w:rPr>
        <w:t>48</w:t>
      </w:r>
      <w:r>
        <w:rPr>
          <w:noProof/>
        </w:rPr>
        <w:tab/>
        <w:t>Commissioner may arrange for use of computer programs to make decisions</w:t>
      </w:r>
      <w:r w:rsidRPr="00BD574A">
        <w:rPr>
          <w:noProof/>
        </w:rPr>
        <w:tab/>
      </w:r>
      <w:r w:rsidRPr="00BD574A">
        <w:rPr>
          <w:noProof/>
        </w:rPr>
        <w:fldChar w:fldCharType="begin"/>
      </w:r>
      <w:r w:rsidRPr="00BD574A">
        <w:rPr>
          <w:noProof/>
        </w:rPr>
        <w:instrText xml:space="preserve"> PAGEREF _Toc487718149 \h </w:instrText>
      </w:r>
      <w:r w:rsidRPr="00BD574A">
        <w:rPr>
          <w:noProof/>
        </w:rPr>
      </w:r>
      <w:r w:rsidRPr="00BD574A">
        <w:rPr>
          <w:noProof/>
        </w:rPr>
        <w:fldChar w:fldCharType="separate"/>
      </w:r>
      <w:r w:rsidR="00371612">
        <w:rPr>
          <w:noProof/>
        </w:rPr>
        <w:t>43</w:t>
      </w:r>
      <w:r w:rsidRPr="00BD574A">
        <w:rPr>
          <w:noProof/>
        </w:rPr>
        <w:fldChar w:fldCharType="end"/>
      </w:r>
    </w:p>
    <w:p w:rsidR="00BD574A" w:rsidRDefault="00BD574A">
      <w:pPr>
        <w:pStyle w:val="TOC3"/>
        <w:rPr>
          <w:rFonts w:asciiTheme="minorHAnsi" w:eastAsiaTheme="minorEastAsia" w:hAnsiTheme="minorHAnsi" w:cstheme="minorBidi"/>
          <w:b w:val="0"/>
          <w:noProof/>
          <w:kern w:val="0"/>
          <w:szCs w:val="22"/>
        </w:rPr>
      </w:pPr>
      <w:r>
        <w:rPr>
          <w:noProof/>
        </w:rPr>
        <w:t>Division 2—Review of decisions</w:t>
      </w:r>
      <w:r w:rsidRPr="00BD574A">
        <w:rPr>
          <w:b w:val="0"/>
          <w:noProof/>
          <w:sz w:val="18"/>
        </w:rPr>
        <w:tab/>
      </w:r>
      <w:r w:rsidRPr="00BD574A">
        <w:rPr>
          <w:b w:val="0"/>
          <w:noProof/>
          <w:sz w:val="18"/>
        </w:rPr>
        <w:fldChar w:fldCharType="begin"/>
      </w:r>
      <w:r w:rsidRPr="00BD574A">
        <w:rPr>
          <w:b w:val="0"/>
          <w:noProof/>
          <w:sz w:val="18"/>
        </w:rPr>
        <w:instrText xml:space="preserve"> PAGEREF _Toc487718150 \h </w:instrText>
      </w:r>
      <w:r w:rsidRPr="00BD574A">
        <w:rPr>
          <w:b w:val="0"/>
          <w:noProof/>
          <w:sz w:val="18"/>
        </w:rPr>
      </w:r>
      <w:r w:rsidRPr="00BD574A">
        <w:rPr>
          <w:b w:val="0"/>
          <w:noProof/>
          <w:sz w:val="18"/>
        </w:rPr>
        <w:fldChar w:fldCharType="separate"/>
      </w:r>
      <w:r w:rsidR="00371612">
        <w:rPr>
          <w:b w:val="0"/>
          <w:noProof/>
          <w:sz w:val="18"/>
        </w:rPr>
        <w:t>44</w:t>
      </w:r>
      <w:r w:rsidRPr="00BD574A">
        <w:rPr>
          <w:b w:val="0"/>
          <w:noProof/>
          <w:sz w:val="18"/>
        </w:rPr>
        <w:fldChar w:fldCharType="end"/>
      </w:r>
    </w:p>
    <w:p w:rsidR="00BD574A" w:rsidRDefault="00BD574A">
      <w:pPr>
        <w:pStyle w:val="TOC5"/>
        <w:rPr>
          <w:rFonts w:asciiTheme="minorHAnsi" w:eastAsiaTheme="minorEastAsia" w:hAnsiTheme="minorHAnsi" w:cstheme="minorBidi"/>
          <w:noProof/>
          <w:kern w:val="0"/>
          <w:sz w:val="22"/>
          <w:szCs w:val="22"/>
        </w:rPr>
      </w:pPr>
      <w:r>
        <w:rPr>
          <w:noProof/>
        </w:rPr>
        <w:t>49</w:t>
      </w:r>
      <w:r>
        <w:rPr>
          <w:noProof/>
        </w:rPr>
        <w:tab/>
        <w:t>Review of decisions</w:t>
      </w:r>
      <w:r w:rsidRPr="00BD574A">
        <w:rPr>
          <w:noProof/>
        </w:rPr>
        <w:tab/>
      </w:r>
      <w:r w:rsidRPr="00BD574A">
        <w:rPr>
          <w:noProof/>
        </w:rPr>
        <w:fldChar w:fldCharType="begin"/>
      </w:r>
      <w:r w:rsidRPr="00BD574A">
        <w:rPr>
          <w:noProof/>
        </w:rPr>
        <w:instrText xml:space="preserve"> PAGEREF _Toc487718151 \h </w:instrText>
      </w:r>
      <w:r w:rsidRPr="00BD574A">
        <w:rPr>
          <w:noProof/>
        </w:rPr>
      </w:r>
      <w:r w:rsidRPr="00BD574A">
        <w:rPr>
          <w:noProof/>
        </w:rPr>
        <w:fldChar w:fldCharType="separate"/>
      </w:r>
      <w:r w:rsidR="00371612">
        <w:rPr>
          <w:noProof/>
        </w:rPr>
        <w:t>44</w:t>
      </w:r>
      <w:r w:rsidRPr="00BD574A">
        <w:rPr>
          <w:noProof/>
        </w:rPr>
        <w:fldChar w:fldCharType="end"/>
      </w:r>
    </w:p>
    <w:p w:rsidR="00BD574A" w:rsidRDefault="00BD574A">
      <w:pPr>
        <w:pStyle w:val="TOC5"/>
        <w:rPr>
          <w:rFonts w:asciiTheme="minorHAnsi" w:eastAsiaTheme="minorEastAsia" w:hAnsiTheme="minorHAnsi" w:cstheme="minorBidi"/>
          <w:noProof/>
          <w:kern w:val="0"/>
          <w:sz w:val="22"/>
          <w:szCs w:val="22"/>
        </w:rPr>
      </w:pPr>
      <w:r>
        <w:rPr>
          <w:noProof/>
        </w:rPr>
        <w:t>50</w:t>
      </w:r>
      <w:r>
        <w:rPr>
          <w:noProof/>
        </w:rPr>
        <w:tab/>
        <w:t>Authorised review officers</w:t>
      </w:r>
      <w:r w:rsidRPr="00BD574A">
        <w:rPr>
          <w:noProof/>
        </w:rPr>
        <w:tab/>
      </w:r>
      <w:r w:rsidRPr="00BD574A">
        <w:rPr>
          <w:noProof/>
        </w:rPr>
        <w:fldChar w:fldCharType="begin"/>
      </w:r>
      <w:r w:rsidRPr="00BD574A">
        <w:rPr>
          <w:noProof/>
        </w:rPr>
        <w:instrText xml:space="preserve"> PAGEREF _Toc487718152 \h </w:instrText>
      </w:r>
      <w:r w:rsidRPr="00BD574A">
        <w:rPr>
          <w:noProof/>
        </w:rPr>
      </w:r>
      <w:r w:rsidRPr="00BD574A">
        <w:rPr>
          <w:noProof/>
        </w:rPr>
        <w:fldChar w:fldCharType="separate"/>
      </w:r>
      <w:r w:rsidR="00371612">
        <w:rPr>
          <w:noProof/>
        </w:rPr>
        <w:t>44</w:t>
      </w:r>
      <w:r w:rsidRPr="00BD574A">
        <w:rPr>
          <w:noProof/>
        </w:rPr>
        <w:fldChar w:fldCharType="end"/>
      </w:r>
    </w:p>
    <w:p w:rsidR="00BD574A" w:rsidRDefault="00BD574A">
      <w:pPr>
        <w:pStyle w:val="TOC5"/>
        <w:rPr>
          <w:rFonts w:asciiTheme="minorHAnsi" w:eastAsiaTheme="minorEastAsia" w:hAnsiTheme="minorHAnsi" w:cstheme="minorBidi"/>
          <w:noProof/>
          <w:kern w:val="0"/>
          <w:sz w:val="22"/>
          <w:szCs w:val="22"/>
        </w:rPr>
      </w:pPr>
      <w:r>
        <w:rPr>
          <w:noProof/>
        </w:rPr>
        <w:t>51</w:t>
      </w:r>
      <w:r>
        <w:rPr>
          <w:noProof/>
        </w:rPr>
        <w:tab/>
        <w:t>Withdrawal of review applications</w:t>
      </w:r>
      <w:r w:rsidRPr="00BD574A">
        <w:rPr>
          <w:noProof/>
        </w:rPr>
        <w:tab/>
      </w:r>
      <w:r w:rsidRPr="00BD574A">
        <w:rPr>
          <w:noProof/>
        </w:rPr>
        <w:fldChar w:fldCharType="begin"/>
      </w:r>
      <w:r w:rsidRPr="00BD574A">
        <w:rPr>
          <w:noProof/>
        </w:rPr>
        <w:instrText xml:space="preserve"> PAGEREF _Toc487718153 \h </w:instrText>
      </w:r>
      <w:r w:rsidRPr="00BD574A">
        <w:rPr>
          <w:noProof/>
        </w:rPr>
      </w:r>
      <w:r w:rsidRPr="00BD574A">
        <w:rPr>
          <w:noProof/>
        </w:rPr>
        <w:fldChar w:fldCharType="separate"/>
      </w:r>
      <w:r w:rsidR="00371612">
        <w:rPr>
          <w:noProof/>
        </w:rPr>
        <w:t>44</w:t>
      </w:r>
      <w:r w:rsidRPr="00BD574A">
        <w:rPr>
          <w:noProof/>
        </w:rPr>
        <w:fldChar w:fldCharType="end"/>
      </w:r>
    </w:p>
    <w:p w:rsidR="00BD574A" w:rsidRDefault="00BD574A">
      <w:pPr>
        <w:pStyle w:val="TOC3"/>
        <w:rPr>
          <w:rFonts w:asciiTheme="minorHAnsi" w:eastAsiaTheme="minorEastAsia" w:hAnsiTheme="minorHAnsi" w:cstheme="minorBidi"/>
          <w:b w:val="0"/>
          <w:noProof/>
          <w:kern w:val="0"/>
          <w:szCs w:val="22"/>
        </w:rPr>
      </w:pPr>
      <w:r>
        <w:rPr>
          <w:noProof/>
        </w:rPr>
        <w:t>Division 3—Other administrative matters</w:t>
      </w:r>
      <w:r w:rsidRPr="00BD574A">
        <w:rPr>
          <w:b w:val="0"/>
          <w:noProof/>
          <w:sz w:val="18"/>
        </w:rPr>
        <w:tab/>
      </w:r>
      <w:r w:rsidRPr="00BD574A">
        <w:rPr>
          <w:b w:val="0"/>
          <w:noProof/>
          <w:sz w:val="18"/>
        </w:rPr>
        <w:fldChar w:fldCharType="begin"/>
      </w:r>
      <w:r w:rsidRPr="00BD574A">
        <w:rPr>
          <w:b w:val="0"/>
          <w:noProof/>
          <w:sz w:val="18"/>
        </w:rPr>
        <w:instrText xml:space="preserve"> PAGEREF _Toc487718154 \h </w:instrText>
      </w:r>
      <w:r w:rsidRPr="00BD574A">
        <w:rPr>
          <w:b w:val="0"/>
          <w:noProof/>
          <w:sz w:val="18"/>
        </w:rPr>
      </w:r>
      <w:r w:rsidRPr="00BD574A">
        <w:rPr>
          <w:b w:val="0"/>
          <w:noProof/>
          <w:sz w:val="18"/>
        </w:rPr>
        <w:fldChar w:fldCharType="separate"/>
      </w:r>
      <w:r w:rsidR="00371612">
        <w:rPr>
          <w:b w:val="0"/>
          <w:noProof/>
          <w:sz w:val="18"/>
        </w:rPr>
        <w:t>45</w:t>
      </w:r>
      <w:r w:rsidRPr="00BD574A">
        <w:rPr>
          <w:b w:val="0"/>
          <w:noProof/>
          <w:sz w:val="18"/>
        </w:rPr>
        <w:fldChar w:fldCharType="end"/>
      </w:r>
    </w:p>
    <w:p w:rsidR="00BD574A" w:rsidRDefault="00BD574A">
      <w:pPr>
        <w:pStyle w:val="TOC5"/>
        <w:rPr>
          <w:rFonts w:asciiTheme="minorHAnsi" w:eastAsiaTheme="minorEastAsia" w:hAnsiTheme="minorHAnsi" w:cstheme="minorBidi"/>
          <w:noProof/>
          <w:kern w:val="0"/>
          <w:sz w:val="22"/>
          <w:szCs w:val="22"/>
        </w:rPr>
      </w:pPr>
      <w:r>
        <w:rPr>
          <w:noProof/>
        </w:rPr>
        <w:t>52</w:t>
      </w:r>
      <w:r>
        <w:rPr>
          <w:noProof/>
        </w:rPr>
        <w:tab/>
        <w:t>Tax file numbers</w:t>
      </w:r>
      <w:r w:rsidRPr="00BD574A">
        <w:rPr>
          <w:noProof/>
        </w:rPr>
        <w:tab/>
      </w:r>
      <w:r w:rsidRPr="00BD574A">
        <w:rPr>
          <w:noProof/>
        </w:rPr>
        <w:fldChar w:fldCharType="begin"/>
      </w:r>
      <w:r w:rsidRPr="00BD574A">
        <w:rPr>
          <w:noProof/>
        </w:rPr>
        <w:instrText xml:space="preserve"> PAGEREF _Toc487718155 \h </w:instrText>
      </w:r>
      <w:r w:rsidRPr="00BD574A">
        <w:rPr>
          <w:noProof/>
        </w:rPr>
      </w:r>
      <w:r w:rsidRPr="00BD574A">
        <w:rPr>
          <w:noProof/>
        </w:rPr>
        <w:fldChar w:fldCharType="separate"/>
      </w:r>
      <w:r w:rsidR="00371612">
        <w:rPr>
          <w:noProof/>
        </w:rPr>
        <w:t>45</w:t>
      </w:r>
      <w:r w:rsidRPr="00BD574A">
        <w:rPr>
          <w:noProof/>
        </w:rPr>
        <w:fldChar w:fldCharType="end"/>
      </w:r>
    </w:p>
    <w:p w:rsidR="00BD574A" w:rsidRDefault="00BD574A">
      <w:pPr>
        <w:pStyle w:val="TOC5"/>
        <w:rPr>
          <w:rFonts w:asciiTheme="minorHAnsi" w:eastAsiaTheme="minorEastAsia" w:hAnsiTheme="minorHAnsi" w:cstheme="minorBidi"/>
          <w:noProof/>
          <w:kern w:val="0"/>
          <w:sz w:val="22"/>
          <w:szCs w:val="22"/>
        </w:rPr>
      </w:pPr>
      <w:r>
        <w:rPr>
          <w:noProof/>
        </w:rPr>
        <w:t>54</w:t>
      </w:r>
      <w:r>
        <w:rPr>
          <w:noProof/>
        </w:rPr>
        <w:tab/>
        <w:t>Reports</w:t>
      </w:r>
      <w:r w:rsidRPr="00BD574A">
        <w:rPr>
          <w:noProof/>
        </w:rPr>
        <w:tab/>
      </w:r>
      <w:r w:rsidRPr="00BD574A">
        <w:rPr>
          <w:noProof/>
        </w:rPr>
        <w:fldChar w:fldCharType="begin"/>
      </w:r>
      <w:r w:rsidRPr="00BD574A">
        <w:rPr>
          <w:noProof/>
        </w:rPr>
        <w:instrText xml:space="preserve"> PAGEREF _Toc487718156 \h </w:instrText>
      </w:r>
      <w:r w:rsidRPr="00BD574A">
        <w:rPr>
          <w:noProof/>
        </w:rPr>
      </w:r>
      <w:r w:rsidRPr="00BD574A">
        <w:rPr>
          <w:noProof/>
        </w:rPr>
        <w:fldChar w:fldCharType="separate"/>
      </w:r>
      <w:r w:rsidR="00371612">
        <w:rPr>
          <w:noProof/>
        </w:rPr>
        <w:t>45</w:t>
      </w:r>
      <w:r w:rsidRPr="00BD574A">
        <w:rPr>
          <w:noProof/>
        </w:rPr>
        <w:fldChar w:fldCharType="end"/>
      </w:r>
    </w:p>
    <w:p w:rsidR="00BD574A" w:rsidRDefault="00BD574A">
      <w:pPr>
        <w:pStyle w:val="TOC2"/>
        <w:rPr>
          <w:rFonts w:asciiTheme="minorHAnsi" w:eastAsiaTheme="minorEastAsia" w:hAnsiTheme="minorHAnsi" w:cstheme="minorBidi"/>
          <w:b w:val="0"/>
          <w:noProof/>
          <w:kern w:val="0"/>
          <w:sz w:val="22"/>
          <w:szCs w:val="22"/>
        </w:rPr>
      </w:pPr>
      <w:r>
        <w:rPr>
          <w:noProof/>
        </w:rPr>
        <w:t>Part 8—Miscellaneous</w:t>
      </w:r>
      <w:r w:rsidRPr="00BD574A">
        <w:rPr>
          <w:b w:val="0"/>
          <w:noProof/>
          <w:sz w:val="18"/>
        </w:rPr>
        <w:tab/>
      </w:r>
      <w:r w:rsidRPr="00BD574A">
        <w:rPr>
          <w:b w:val="0"/>
          <w:noProof/>
          <w:sz w:val="18"/>
        </w:rPr>
        <w:fldChar w:fldCharType="begin"/>
      </w:r>
      <w:r w:rsidRPr="00BD574A">
        <w:rPr>
          <w:b w:val="0"/>
          <w:noProof/>
          <w:sz w:val="18"/>
        </w:rPr>
        <w:instrText xml:space="preserve"> PAGEREF _Toc487718157 \h </w:instrText>
      </w:r>
      <w:r w:rsidRPr="00BD574A">
        <w:rPr>
          <w:b w:val="0"/>
          <w:noProof/>
          <w:sz w:val="18"/>
        </w:rPr>
      </w:r>
      <w:r w:rsidRPr="00BD574A">
        <w:rPr>
          <w:b w:val="0"/>
          <w:noProof/>
          <w:sz w:val="18"/>
        </w:rPr>
        <w:fldChar w:fldCharType="separate"/>
      </w:r>
      <w:r w:rsidR="00371612">
        <w:rPr>
          <w:b w:val="0"/>
          <w:noProof/>
          <w:sz w:val="18"/>
        </w:rPr>
        <w:t>47</w:t>
      </w:r>
      <w:r w:rsidRPr="00BD574A">
        <w:rPr>
          <w:b w:val="0"/>
          <w:noProof/>
          <w:sz w:val="18"/>
        </w:rPr>
        <w:fldChar w:fldCharType="end"/>
      </w:r>
    </w:p>
    <w:p w:rsidR="00BD574A" w:rsidRDefault="00BD574A">
      <w:pPr>
        <w:pStyle w:val="TOC5"/>
        <w:rPr>
          <w:rFonts w:asciiTheme="minorHAnsi" w:eastAsiaTheme="minorEastAsia" w:hAnsiTheme="minorHAnsi" w:cstheme="minorBidi"/>
          <w:noProof/>
          <w:kern w:val="0"/>
          <w:sz w:val="22"/>
          <w:szCs w:val="22"/>
        </w:rPr>
      </w:pPr>
      <w:r>
        <w:rPr>
          <w:noProof/>
        </w:rPr>
        <w:t>55</w:t>
      </w:r>
      <w:r>
        <w:rPr>
          <w:noProof/>
        </w:rPr>
        <w:tab/>
        <w:t>Regulations</w:t>
      </w:r>
      <w:r w:rsidRPr="00BD574A">
        <w:rPr>
          <w:noProof/>
        </w:rPr>
        <w:tab/>
      </w:r>
      <w:r w:rsidRPr="00BD574A">
        <w:rPr>
          <w:noProof/>
        </w:rPr>
        <w:fldChar w:fldCharType="begin"/>
      </w:r>
      <w:r w:rsidRPr="00BD574A">
        <w:rPr>
          <w:noProof/>
        </w:rPr>
        <w:instrText xml:space="preserve"> PAGEREF _Toc487718158 \h </w:instrText>
      </w:r>
      <w:r w:rsidRPr="00BD574A">
        <w:rPr>
          <w:noProof/>
        </w:rPr>
      </w:r>
      <w:r w:rsidRPr="00BD574A">
        <w:rPr>
          <w:noProof/>
        </w:rPr>
        <w:fldChar w:fldCharType="separate"/>
      </w:r>
      <w:r w:rsidR="00371612">
        <w:rPr>
          <w:noProof/>
        </w:rPr>
        <w:t>47</w:t>
      </w:r>
      <w:r w:rsidRPr="00BD574A">
        <w:rPr>
          <w:noProof/>
        </w:rPr>
        <w:fldChar w:fldCharType="end"/>
      </w:r>
    </w:p>
    <w:p w:rsidR="00BD574A" w:rsidRDefault="00BD574A">
      <w:pPr>
        <w:pStyle w:val="TOC2"/>
        <w:rPr>
          <w:rFonts w:asciiTheme="minorHAnsi" w:eastAsiaTheme="minorEastAsia" w:hAnsiTheme="minorHAnsi" w:cstheme="minorBidi"/>
          <w:b w:val="0"/>
          <w:noProof/>
          <w:kern w:val="0"/>
          <w:sz w:val="22"/>
          <w:szCs w:val="22"/>
        </w:rPr>
      </w:pPr>
      <w:r>
        <w:rPr>
          <w:noProof/>
        </w:rPr>
        <w:t>Part 9—Dictionary</w:t>
      </w:r>
      <w:r w:rsidRPr="00BD574A">
        <w:rPr>
          <w:b w:val="0"/>
          <w:noProof/>
          <w:sz w:val="18"/>
        </w:rPr>
        <w:tab/>
      </w:r>
      <w:r w:rsidRPr="00BD574A">
        <w:rPr>
          <w:b w:val="0"/>
          <w:noProof/>
          <w:sz w:val="18"/>
        </w:rPr>
        <w:fldChar w:fldCharType="begin"/>
      </w:r>
      <w:r w:rsidRPr="00BD574A">
        <w:rPr>
          <w:b w:val="0"/>
          <w:noProof/>
          <w:sz w:val="18"/>
        </w:rPr>
        <w:instrText xml:space="preserve"> PAGEREF _Toc487718159 \h </w:instrText>
      </w:r>
      <w:r w:rsidRPr="00BD574A">
        <w:rPr>
          <w:b w:val="0"/>
          <w:noProof/>
          <w:sz w:val="18"/>
        </w:rPr>
      </w:r>
      <w:r w:rsidRPr="00BD574A">
        <w:rPr>
          <w:b w:val="0"/>
          <w:noProof/>
          <w:sz w:val="18"/>
        </w:rPr>
        <w:fldChar w:fldCharType="separate"/>
      </w:r>
      <w:r w:rsidR="00371612">
        <w:rPr>
          <w:b w:val="0"/>
          <w:noProof/>
          <w:sz w:val="18"/>
        </w:rPr>
        <w:t>48</w:t>
      </w:r>
      <w:r w:rsidRPr="00BD574A">
        <w:rPr>
          <w:b w:val="0"/>
          <w:noProof/>
          <w:sz w:val="18"/>
        </w:rPr>
        <w:fldChar w:fldCharType="end"/>
      </w:r>
    </w:p>
    <w:p w:rsidR="00BD574A" w:rsidRDefault="00BD574A">
      <w:pPr>
        <w:pStyle w:val="TOC5"/>
        <w:rPr>
          <w:rFonts w:asciiTheme="minorHAnsi" w:eastAsiaTheme="minorEastAsia" w:hAnsiTheme="minorHAnsi" w:cstheme="minorBidi"/>
          <w:noProof/>
          <w:kern w:val="0"/>
          <w:sz w:val="22"/>
          <w:szCs w:val="22"/>
        </w:rPr>
      </w:pPr>
      <w:r>
        <w:rPr>
          <w:noProof/>
        </w:rPr>
        <w:t>56</w:t>
      </w:r>
      <w:r>
        <w:rPr>
          <w:noProof/>
        </w:rPr>
        <w:tab/>
        <w:t>Dictionary</w:t>
      </w:r>
      <w:r w:rsidRPr="00BD574A">
        <w:rPr>
          <w:noProof/>
        </w:rPr>
        <w:tab/>
      </w:r>
      <w:r w:rsidRPr="00BD574A">
        <w:rPr>
          <w:noProof/>
        </w:rPr>
        <w:fldChar w:fldCharType="begin"/>
      </w:r>
      <w:r w:rsidRPr="00BD574A">
        <w:rPr>
          <w:noProof/>
        </w:rPr>
        <w:instrText xml:space="preserve"> PAGEREF _Toc487718160 \h </w:instrText>
      </w:r>
      <w:r w:rsidRPr="00BD574A">
        <w:rPr>
          <w:noProof/>
        </w:rPr>
      </w:r>
      <w:r w:rsidRPr="00BD574A">
        <w:rPr>
          <w:noProof/>
        </w:rPr>
        <w:fldChar w:fldCharType="separate"/>
      </w:r>
      <w:r w:rsidR="00371612">
        <w:rPr>
          <w:noProof/>
        </w:rPr>
        <w:t>48</w:t>
      </w:r>
      <w:r w:rsidRPr="00BD574A">
        <w:rPr>
          <w:noProof/>
        </w:rPr>
        <w:fldChar w:fldCharType="end"/>
      </w:r>
    </w:p>
    <w:p w:rsidR="00BD574A" w:rsidRDefault="00BD574A">
      <w:pPr>
        <w:pStyle w:val="TOC2"/>
        <w:rPr>
          <w:rFonts w:asciiTheme="minorHAnsi" w:eastAsiaTheme="minorEastAsia" w:hAnsiTheme="minorHAnsi" w:cstheme="minorBidi"/>
          <w:b w:val="0"/>
          <w:noProof/>
          <w:kern w:val="0"/>
          <w:sz w:val="22"/>
          <w:szCs w:val="22"/>
        </w:rPr>
      </w:pPr>
      <w:r>
        <w:rPr>
          <w:noProof/>
        </w:rPr>
        <w:t>Endnotes</w:t>
      </w:r>
      <w:r w:rsidRPr="00BD574A">
        <w:rPr>
          <w:b w:val="0"/>
          <w:noProof/>
          <w:sz w:val="18"/>
        </w:rPr>
        <w:tab/>
      </w:r>
      <w:r w:rsidRPr="00BD574A">
        <w:rPr>
          <w:b w:val="0"/>
          <w:noProof/>
          <w:sz w:val="18"/>
        </w:rPr>
        <w:fldChar w:fldCharType="begin"/>
      </w:r>
      <w:r w:rsidRPr="00BD574A">
        <w:rPr>
          <w:b w:val="0"/>
          <w:noProof/>
          <w:sz w:val="18"/>
        </w:rPr>
        <w:instrText xml:space="preserve"> PAGEREF _Toc487718161 \h </w:instrText>
      </w:r>
      <w:r w:rsidRPr="00BD574A">
        <w:rPr>
          <w:b w:val="0"/>
          <w:noProof/>
          <w:sz w:val="18"/>
        </w:rPr>
      </w:r>
      <w:r w:rsidRPr="00BD574A">
        <w:rPr>
          <w:b w:val="0"/>
          <w:noProof/>
          <w:sz w:val="18"/>
        </w:rPr>
        <w:fldChar w:fldCharType="separate"/>
      </w:r>
      <w:r w:rsidR="00371612">
        <w:rPr>
          <w:b w:val="0"/>
          <w:noProof/>
          <w:sz w:val="18"/>
        </w:rPr>
        <w:t>52</w:t>
      </w:r>
      <w:r w:rsidRPr="00BD574A">
        <w:rPr>
          <w:b w:val="0"/>
          <w:noProof/>
          <w:sz w:val="18"/>
        </w:rPr>
        <w:fldChar w:fldCharType="end"/>
      </w:r>
    </w:p>
    <w:p w:rsidR="00BD574A" w:rsidRDefault="00BD574A">
      <w:pPr>
        <w:pStyle w:val="TOC3"/>
        <w:rPr>
          <w:rFonts w:asciiTheme="minorHAnsi" w:eastAsiaTheme="minorEastAsia" w:hAnsiTheme="minorHAnsi" w:cstheme="minorBidi"/>
          <w:b w:val="0"/>
          <w:noProof/>
          <w:kern w:val="0"/>
          <w:szCs w:val="22"/>
        </w:rPr>
      </w:pPr>
      <w:r>
        <w:rPr>
          <w:noProof/>
        </w:rPr>
        <w:t>Endnote 1—About the endnotes</w:t>
      </w:r>
      <w:r w:rsidRPr="00BD574A">
        <w:rPr>
          <w:b w:val="0"/>
          <w:noProof/>
          <w:sz w:val="18"/>
        </w:rPr>
        <w:tab/>
      </w:r>
      <w:r w:rsidRPr="00BD574A">
        <w:rPr>
          <w:b w:val="0"/>
          <w:noProof/>
          <w:sz w:val="18"/>
        </w:rPr>
        <w:fldChar w:fldCharType="begin"/>
      </w:r>
      <w:r w:rsidRPr="00BD574A">
        <w:rPr>
          <w:b w:val="0"/>
          <w:noProof/>
          <w:sz w:val="18"/>
        </w:rPr>
        <w:instrText xml:space="preserve"> PAGEREF _Toc487718162 \h </w:instrText>
      </w:r>
      <w:r w:rsidRPr="00BD574A">
        <w:rPr>
          <w:b w:val="0"/>
          <w:noProof/>
          <w:sz w:val="18"/>
        </w:rPr>
      </w:r>
      <w:r w:rsidRPr="00BD574A">
        <w:rPr>
          <w:b w:val="0"/>
          <w:noProof/>
          <w:sz w:val="18"/>
        </w:rPr>
        <w:fldChar w:fldCharType="separate"/>
      </w:r>
      <w:r w:rsidR="00371612">
        <w:rPr>
          <w:b w:val="0"/>
          <w:noProof/>
          <w:sz w:val="18"/>
        </w:rPr>
        <w:t>52</w:t>
      </w:r>
      <w:r w:rsidRPr="00BD574A">
        <w:rPr>
          <w:b w:val="0"/>
          <w:noProof/>
          <w:sz w:val="18"/>
        </w:rPr>
        <w:fldChar w:fldCharType="end"/>
      </w:r>
    </w:p>
    <w:p w:rsidR="00BD574A" w:rsidRDefault="00BD574A">
      <w:pPr>
        <w:pStyle w:val="TOC3"/>
        <w:rPr>
          <w:rFonts w:asciiTheme="minorHAnsi" w:eastAsiaTheme="minorEastAsia" w:hAnsiTheme="minorHAnsi" w:cstheme="minorBidi"/>
          <w:b w:val="0"/>
          <w:noProof/>
          <w:kern w:val="0"/>
          <w:szCs w:val="22"/>
        </w:rPr>
      </w:pPr>
      <w:r>
        <w:rPr>
          <w:noProof/>
        </w:rPr>
        <w:t>Endnote 2—Abbreviation key</w:t>
      </w:r>
      <w:r w:rsidRPr="00BD574A">
        <w:rPr>
          <w:b w:val="0"/>
          <w:noProof/>
          <w:sz w:val="18"/>
        </w:rPr>
        <w:tab/>
      </w:r>
      <w:r w:rsidRPr="00BD574A">
        <w:rPr>
          <w:b w:val="0"/>
          <w:noProof/>
          <w:sz w:val="18"/>
        </w:rPr>
        <w:fldChar w:fldCharType="begin"/>
      </w:r>
      <w:r w:rsidRPr="00BD574A">
        <w:rPr>
          <w:b w:val="0"/>
          <w:noProof/>
          <w:sz w:val="18"/>
        </w:rPr>
        <w:instrText xml:space="preserve"> PAGEREF _Toc487718163 \h </w:instrText>
      </w:r>
      <w:r w:rsidRPr="00BD574A">
        <w:rPr>
          <w:b w:val="0"/>
          <w:noProof/>
          <w:sz w:val="18"/>
        </w:rPr>
      </w:r>
      <w:r w:rsidRPr="00BD574A">
        <w:rPr>
          <w:b w:val="0"/>
          <w:noProof/>
          <w:sz w:val="18"/>
        </w:rPr>
        <w:fldChar w:fldCharType="separate"/>
      </w:r>
      <w:r w:rsidR="00371612">
        <w:rPr>
          <w:b w:val="0"/>
          <w:noProof/>
          <w:sz w:val="18"/>
        </w:rPr>
        <w:t>54</w:t>
      </w:r>
      <w:r w:rsidRPr="00BD574A">
        <w:rPr>
          <w:b w:val="0"/>
          <w:noProof/>
          <w:sz w:val="18"/>
        </w:rPr>
        <w:fldChar w:fldCharType="end"/>
      </w:r>
    </w:p>
    <w:p w:rsidR="00BD574A" w:rsidRDefault="00BD574A">
      <w:pPr>
        <w:pStyle w:val="TOC3"/>
        <w:rPr>
          <w:rFonts w:asciiTheme="minorHAnsi" w:eastAsiaTheme="minorEastAsia" w:hAnsiTheme="minorHAnsi" w:cstheme="minorBidi"/>
          <w:b w:val="0"/>
          <w:noProof/>
          <w:kern w:val="0"/>
          <w:szCs w:val="22"/>
        </w:rPr>
      </w:pPr>
      <w:r>
        <w:rPr>
          <w:noProof/>
        </w:rPr>
        <w:t>Endnote 3—Legislation history</w:t>
      </w:r>
      <w:r w:rsidRPr="00BD574A">
        <w:rPr>
          <w:b w:val="0"/>
          <w:noProof/>
          <w:sz w:val="18"/>
        </w:rPr>
        <w:tab/>
      </w:r>
      <w:r w:rsidRPr="00BD574A">
        <w:rPr>
          <w:b w:val="0"/>
          <w:noProof/>
          <w:sz w:val="18"/>
        </w:rPr>
        <w:fldChar w:fldCharType="begin"/>
      </w:r>
      <w:r w:rsidRPr="00BD574A">
        <w:rPr>
          <w:b w:val="0"/>
          <w:noProof/>
          <w:sz w:val="18"/>
        </w:rPr>
        <w:instrText xml:space="preserve"> PAGEREF _Toc487718164 \h </w:instrText>
      </w:r>
      <w:r w:rsidRPr="00BD574A">
        <w:rPr>
          <w:b w:val="0"/>
          <w:noProof/>
          <w:sz w:val="18"/>
        </w:rPr>
      </w:r>
      <w:r w:rsidRPr="00BD574A">
        <w:rPr>
          <w:b w:val="0"/>
          <w:noProof/>
          <w:sz w:val="18"/>
        </w:rPr>
        <w:fldChar w:fldCharType="separate"/>
      </w:r>
      <w:r w:rsidR="00371612">
        <w:rPr>
          <w:b w:val="0"/>
          <w:noProof/>
          <w:sz w:val="18"/>
        </w:rPr>
        <w:t>55</w:t>
      </w:r>
      <w:r w:rsidRPr="00BD574A">
        <w:rPr>
          <w:b w:val="0"/>
          <w:noProof/>
          <w:sz w:val="18"/>
        </w:rPr>
        <w:fldChar w:fldCharType="end"/>
      </w:r>
    </w:p>
    <w:p w:rsidR="00BD574A" w:rsidRDefault="00BD574A">
      <w:pPr>
        <w:pStyle w:val="TOC3"/>
        <w:rPr>
          <w:rFonts w:asciiTheme="minorHAnsi" w:eastAsiaTheme="minorEastAsia" w:hAnsiTheme="minorHAnsi" w:cstheme="minorBidi"/>
          <w:b w:val="0"/>
          <w:noProof/>
          <w:kern w:val="0"/>
          <w:szCs w:val="22"/>
        </w:rPr>
      </w:pPr>
      <w:r>
        <w:rPr>
          <w:noProof/>
        </w:rPr>
        <w:t>Endnote 4—Amendment history</w:t>
      </w:r>
      <w:r w:rsidRPr="00BD574A">
        <w:rPr>
          <w:b w:val="0"/>
          <w:noProof/>
          <w:sz w:val="18"/>
        </w:rPr>
        <w:tab/>
      </w:r>
      <w:r w:rsidRPr="00BD574A">
        <w:rPr>
          <w:b w:val="0"/>
          <w:noProof/>
          <w:sz w:val="18"/>
        </w:rPr>
        <w:fldChar w:fldCharType="begin"/>
      </w:r>
      <w:r w:rsidRPr="00BD574A">
        <w:rPr>
          <w:b w:val="0"/>
          <w:noProof/>
          <w:sz w:val="18"/>
        </w:rPr>
        <w:instrText xml:space="preserve"> PAGEREF _Toc487718165 \h </w:instrText>
      </w:r>
      <w:r w:rsidRPr="00BD574A">
        <w:rPr>
          <w:b w:val="0"/>
          <w:noProof/>
          <w:sz w:val="18"/>
        </w:rPr>
      </w:r>
      <w:r w:rsidRPr="00BD574A">
        <w:rPr>
          <w:b w:val="0"/>
          <w:noProof/>
          <w:sz w:val="18"/>
        </w:rPr>
        <w:fldChar w:fldCharType="separate"/>
      </w:r>
      <w:r w:rsidR="00371612">
        <w:rPr>
          <w:b w:val="0"/>
          <w:noProof/>
          <w:sz w:val="18"/>
        </w:rPr>
        <w:t>59</w:t>
      </w:r>
      <w:r w:rsidRPr="00BD574A">
        <w:rPr>
          <w:b w:val="0"/>
          <w:noProof/>
          <w:sz w:val="18"/>
        </w:rPr>
        <w:fldChar w:fldCharType="end"/>
      </w:r>
    </w:p>
    <w:p w:rsidR="00392615" w:rsidRPr="00BD574A" w:rsidRDefault="00FA4CEF" w:rsidP="00392615">
      <w:pPr>
        <w:sectPr w:rsidR="00392615" w:rsidRPr="00BD574A" w:rsidSect="003B795F">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BD574A">
        <w:fldChar w:fldCharType="end"/>
      </w:r>
    </w:p>
    <w:p w:rsidR="0080222D" w:rsidRPr="00BD574A" w:rsidRDefault="0080222D" w:rsidP="00215433">
      <w:pPr>
        <w:pStyle w:val="LongT"/>
      </w:pPr>
      <w:r w:rsidRPr="00BD574A">
        <w:lastRenderedPageBreak/>
        <w:t>An Act to provide for contributions to be made towards the superannuation of low income earners, and for related purposes</w:t>
      </w:r>
    </w:p>
    <w:p w:rsidR="0080222D" w:rsidRPr="00BD574A" w:rsidRDefault="0080222D" w:rsidP="0080222D">
      <w:pPr>
        <w:pStyle w:val="ActHead2"/>
      </w:pPr>
      <w:bookmarkStart w:id="1" w:name="_Toc487718091"/>
      <w:r w:rsidRPr="00BD574A">
        <w:rPr>
          <w:rStyle w:val="CharPartNo"/>
        </w:rPr>
        <w:t>Part</w:t>
      </w:r>
      <w:r w:rsidR="00BD574A" w:rsidRPr="00BD574A">
        <w:rPr>
          <w:rStyle w:val="CharPartNo"/>
        </w:rPr>
        <w:t> </w:t>
      </w:r>
      <w:r w:rsidRPr="00BD574A">
        <w:rPr>
          <w:rStyle w:val="CharPartNo"/>
        </w:rPr>
        <w:t>1</w:t>
      </w:r>
      <w:r w:rsidRPr="00BD574A">
        <w:t>—</w:t>
      </w:r>
      <w:r w:rsidRPr="00BD574A">
        <w:rPr>
          <w:rStyle w:val="CharPartText"/>
        </w:rPr>
        <w:t>Preliminary</w:t>
      </w:r>
      <w:bookmarkEnd w:id="1"/>
    </w:p>
    <w:p w:rsidR="0080222D" w:rsidRPr="00BD574A" w:rsidRDefault="00F136B1" w:rsidP="0080222D">
      <w:pPr>
        <w:pStyle w:val="Header"/>
      </w:pPr>
      <w:r w:rsidRPr="00BD574A">
        <w:rPr>
          <w:rStyle w:val="CharDivNo"/>
        </w:rPr>
        <w:t xml:space="preserve"> </w:t>
      </w:r>
      <w:r w:rsidRPr="00BD574A">
        <w:rPr>
          <w:rStyle w:val="CharDivText"/>
        </w:rPr>
        <w:t xml:space="preserve"> </w:t>
      </w:r>
    </w:p>
    <w:p w:rsidR="0080222D" w:rsidRPr="00BD574A" w:rsidRDefault="0080222D" w:rsidP="0080222D">
      <w:pPr>
        <w:pStyle w:val="ActHead5"/>
      </w:pPr>
      <w:bookmarkStart w:id="2" w:name="_Toc487718092"/>
      <w:r w:rsidRPr="00BD574A">
        <w:rPr>
          <w:rStyle w:val="CharSectno"/>
        </w:rPr>
        <w:t>1</w:t>
      </w:r>
      <w:r w:rsidRPr="00BD574A">
        <w:t xml:space="preserve">  Short title</w:t>
      </w:r>
      <w:bookmarkEnd w:id="2"/>
    </w:p>
    <w:p w:rsidR="0080222D" w:rsidRPr="00BD574A" w:rsidRDefault="0080222D" w:rsidP="0080222D">
      <w:pPr>
        <w:pStyle w:val="subsection"/>
      </w:pPr>
      <w:r w:rsidRPr="00BD574A">
        <w:tab/>
      </w:r>
      <w:r w:rsidRPr="00BD574A">
        <w:tab/>
        <w:t xml:space="preserve">This Act may be cited as the </w:t>
      </w:r>
      <w:r w:rsidRPr="00BD574A">
        <w:rPr>
          <w:i/>
        </w:rPr>
        <w:t>Superannuation (Government Co</w:t>
      </w:r>
      <w:r w:rsidR="00BD574A">
        <w:rPr>
          <w:i/>
        </w:rPr>
        <w:noBreakHyphen/>
      </w:r>
      <w:r w:rsidRPr="00BD574A">
        <w:rPr>
          <w:i/>
        </w:rPr>
        <w:t>contribution for Low Income Earners) Act 2003</w:t>
      </w:r>
      <w:r w:rsidRPr="00BD574A">
        <w:t>.</w:t>
      </w:r>
    </w:p>
    <w:p w:rsidR="0080222D" w:rsidRPr="00BD574A" w:rsidRDefault="0080222D" w:rsidP="0080222D">
      <w:pPr>
        <w:pStyle w:val="ActHead5"/>
      </w:pPr>
      <w:bookmarkStart w:id="3" w:name="_Toc487718093"/>
      <w:r w:rsidRPr="00BD574A">
        <w:rPr>
          <w:rStyle w:val="CharSectno"/>
        </w:rPr>
        <w:t>2</w:t>
      </w:r>
      <w:r w:rsidRPr="00BD574A">
        <w:t xml:space="preserve">  Commencement</w:t>
      </w:r>
      <w:bookmarkEnd w:id="3"/>
    </w:p>
    <w:p w:rsidR="0080222D" w:rsidRPr="00BD574A" w:rsidRDefault="0080222D" w:rsidP="0080222D">
      <w:pPr>
        <w:pStyle w:val="subsection"/>
      </w:pPr>
      <w:r w:rsidRPr="00BD574A">
        <w:tab/>
      </w:r>
      <w:r w:rsidRPr="00BD574A">
        <w:tab/>
        <w:t>This Act commences on the day on which it receives the Royal Assent.</w:t>
      </w:r>
    </w:p>
    <w:p w:rsidR="0080222D" w:rsidRPr="00BD574A" w:rsidRDefault="0080222D" w:rsidP="0080222D">
      <w:pPr>
        <w:pStyle w:val="ActHead5"/>
      </w:pPr>
      <w:bookmarkStart w:id="4" w:name="_Toc487718094"/>
      <w:r w:rsidRPr="00BD574A">
        <w:rPr>
          <w:rStyle w:val="CharSectno"/>
        </w:rPr>
        <w:t>3</w:t>
      </w:r>
      <w:r w:rsidRPr="00BD574A">
        <w:t xml:space="preserve">  Act binds Crown</w:t>
      </w:r>
      <w:bookmarkEnd w:id="4"/>
    </w:p>
    <w:p w:rsidR="0080222D" w:rsidRPr="00BD574A" w:rsidRDefault="0080222D" w:rsidP="0080222D">
      <w:pPr>
        <w:pStyle w:val="subsection"/>
      </w:pPr>
      <w:r w:rsidRPr="00BD574A">
        <w:tab/>
        <w:t>(1)</w:t>
      </w:r>
      <w:r w:rsidRPr="00BD574A">
        <w:tab/>
        <w:t>This Act binds the Crown in each of its capacities.</w:t>
      </w:r>
    </w:p>
    <w:p w:rsidR="0080222D" w:rsidRPr="00BD574A" w:rsidRDefault="0080222D" w:rsidP="0080222D">
      <w:pPr>
        <w:pStyle w:val="subsection"/>
      </w:pPr>
      <w:r w:rsidRPr="00BD574A">
        <w:tab/>
        <w:t>(2)</w:t>
      </w:r>
      <w:r w:rsidRPr="00BD574A">
        <w:tab/>
        <w:t>However, this Act does not make the Crown liable to be prosecuted for an offence.</w:t>
      </w:r>
    </w:p>
    <w:p w:rsidR="0080222D" w:rsidRPr="00BD574A" w:rsidRDefault="0080222D" w:rsidP="0080222D">
      <w:pPr>
        <w:pStyle w:val="ActHead5"/>
      </w:pPr>
      <w:bookmarkStart w:id="5" w:name="_Toc487718095"/>
      <w:r w:rsidRPr="00BD574A">
        <w:rPr>
          <w:rStyle w:val="CharSectno"/>
        </w:rPr>
        <w:t>4</w:t>
      </w:r>
      <w:r w:rsidRPr="00BD574A">
        <w:t xml:space="preserve">  Geographical application of Act</w:t>
      </w:r>
      <w:bookmarkEnd w:id="5"/>
    </w:p>
    <w:p w:rsidR="0080222D" w:rsidRPr="00BD574A" w:rsidRDefault="0080222D" w:rsidP="0080222D">
      <w:pPr>
        <w:pStyle w:val="subsection"/>
      </w:pPr>
      <w:r w:rsidRPr="00BD574A">
        <w:tab/>
      </w:r>
      <w:r w:rsidRPr="00BD574A">
        <w:tab/>
        <w:t>This Act extends to:</w:t>
      </w:r>
    </w:p>
    <w:p w:rsidR="0080222D" w:rsidRPr="00BD574A" w:rsidRDefault="0080222D" w:rsidP="0080222D">
      <w:pPr>
        <w:pStyle w:val="paragraph"/>
      </w:pPr>
      <w:r w:rsidRPr="00BD574A">
        <w:tab/>
        <w:t>(a)</w:t>
      </w:r>
      <w:r w:rsidRPr="00BD574A">
        <w:tab/>
      </w:r>
      <w:smartTag w:uri="urn:schemas-microsoft-com:office:smarttags" w:element="place">
        <w:r w:rsidRPr="00BD574A">
          <w:t>Norfolk Island</w:t>
        </w:r>
      </w:smartTag>
      <w:r w:rsidRPr="00BD574A">
        <w:t>; and</w:t>
      </w:r>
    </w:p>
    <w:p w:rsidR="0080222D" w:rsidRPr="00BD574A" w:rsidRDefault="0080222D" w:rsidP="0080222D">
      <w:pPr>
        <w:pStyle w:val="paragraph"/>
      </w:pPr>
      <w:r w:rsidRPr="00BD574A">
        <w:tab/>
        <w:t>(b)</w:t>
      </w:r>
      <w:r w:rsidRPr="00BD574A">
        <w:tab/>
        <w:t xml:space="preserve">the </w:t>
      </w:r>
      <w:smartTag w:uri="urn:schemas-microsoft-com:office:smarttags" w:element="place">
        <w:smartTag w:uri="urn:schemas-microsoft-com:office:smarttags" w:element="PlaceType">
          <w:r w:rsidRPr="00BD574A">
            <w:t>Territory</w:t>
          </w:r>
        </w:smartTag>
        <w:r w:rsidRPr="00BD574A">
          <w:t xml:space="preserve"> of </w:t>
        </w:r>
        <w:smartTag w:uri="urn:schemas-microsoft-com:office:smarttags" w:element="PlaceName">
          <w:r w:rsidRPr="00BD574A">
            <w:t>Cocos</w:t>
          </w:r>
        </w:smartTag>
      </w:smartTag>
      <w:r w:rsidRPr="00BD574A">
        <w:t xml:space="preserve"> (Keeling) </w:t>
      </w:r>
      <w:smartTag w:uri="urn:schemas-microsoft-com:office:smarttags" w:element="place">
        <w:r w:rsidRPr="00BD574A">
          <w:t>Islands</w:t>
        </w:r>
      </w:smartTag>
      <w:r w:rsidRPr="00BD574A">
        <w:t>; and</w:t>
      </w:r>
    </w:p>
    <w:p w:rsidR="0080222D" w:rsidRPr="00BD574A" w:rsidRDefault="0080222D" w:rsidP="0080222D">
      <w:pPr>
        <w:pStyle w:val="paragraph"/>
      </w:pPr>
      <w:r w:rsidRPr="00BD574A">
        <w:tab/>
        <w:t>(c)</w:t>
      </w:r>
      <w:r w:rsidRPr="00BD574A">
        <w:tab/>
        <w:t xml:space="preserve">the </w:t>
      </w:r>
      <w:smartTag w:uri="urn:schemas-microsoft-com:office:smarttags" w:element="place">
        <w:smartTag w:uri="urn:schemas-microsoft-com:office:smarttags" w:element="PlaceType">
          <w:r w:rsidRPr="00BD574A">
            <w:t>Territory</w:t>
          </w:r>
        </w:smartTag>
        <w:r w:rsidRPr="00BD574A">
          <w:t xml:space="preserve"> of </w:t>
        </w:r>
        <w:smartTag w:uri="urn:schemas-microsoft-com:office:smarttags" w:element="PlaceName">
          <w:r w:rsidRPr="00BD574A">
            <w:t>Christmas Island</w:t>
          </w:r>
        </w:smartTag>
      </w:smartTag>
      <w:r w:rsidRPr="00BD574A">
        <w:t>.</w:t>
      </w:r>
    </w:p>
    <w:p w:rsidR="0080222D" w:rsidRPr="00BD574A" w:rsidRDefault="0080222D" w:rsidP="0080222D">
      <w:pPr>
        <w:pStyle w:val="ActHead5"/>
      </w:pPr>
      <w:bookmarkStart w:id="6" w:name="_Toc487718096"/>
      <w:r w:rsidRPr="00BD574A">
        <w:rPr>
          <w:rStyle w:val="CharSectno"/>
        </w:rPr>
        <w:t>5</w:t>
      </w:r>
      <w:r w:rsidRPr="00BD574A">
        <w:t xml:space="preserve">  Overview of the Act</w:t>
      </w:r>
      <w:bookmarkEnd w:id="6"/>
    </w:p>
    <w:p w:rsidR="0080222D" w:rsidRPr="00BD574A" w:rsidRDefault="0080222D" w:rsidP="0080222D">
      <w:pPr>
        <w:pStyle w:val="subsection"/>
      </w:pPr>
      <w:r w:rsidRPr="00BD574A">
        <w:tab/>
        <w:t>(1)</w:t>
      </w:r>
      <w:r w:rsidRPr="00BD574A">
        <w:tab/>
        <w:t>This Act provides for Government co</w:t>
      </w:r>
      <w:r w:rsidR="00BD574A">
        <w:noBreakHyphen/>
      </w:r>
      <w:r w:rsidRPr="00BD574A">
        <w:t>contributions to be made towards the superannuation of low income earners.</w:t>
      </w:r>
    </w:p>
    <w:p w:rsidR="0080222D" w:rsidRPr="00BD574A" w:rsidRDefault="0080222D" w:rsidP="0080222D">
      <w:pPr>
        <w:pStyle w:val="notetext"/>
      </w:pPr>
      <w:r w:rsidRPr="00BD574A">
        <w:lastRenderedPageBreak/>
        <w:t>Note:</w:t>
      </w:r>
      <w:r w:rsidRPr="00BD574A">
        <w:tab/>
        <w:t>The Government co</w:t>
      </w:r>
      <w:r w:rsidR="00BD574A">
        <w:noBreakHyphen/>
      </w:r>
      <w:r w:rsidRPr="00BD574A">
        <w:t>contributions replace the rebates that used to be provided for in Subdivision AAC of Division</w:t>
      </w:r>
      <w:r w:rsidR="00BD574A">
        <w:t> </w:t>
      </w:r>
      <w:r w:rsidRPr="00BD574A">
        <w:t>17 of Part</w:t>
      </w:r>
      <w:r w:rsidR="008B621D" w:rsidRPr="00BD574A">
        <w:t> </w:t>
      </w:r>
      <w:r w:rsidRPr="00BD574A">
        <w:t xml:space="preserve">III of the </w:t>
      </w:r>
      <w:r w:rsidRPr="00BD574A">
        <w:rPr>
          <w:i/>
        </w:rPr>
        <w:t>Income Tax Assessment Act 1936</w:t>
      </w:r>
      <w:r w:rsidRPr="00BD574A">
        <w:t>.</w:t>
      </w:r>
    </w:p>
    <w:p w:rsidR="0080222D" w:rsidRPr="00BD574A" w:rsidRDefault="0080222D" w:rsidP="00AC2B9B">
      <w:pPr>
        <w:pStyle w:val="subsection"/>
        <w:keepNext/>
      </w:pPr>
      <w:r w:rsidRPr="00BD574A">
        <w:tab/>
        <w:t>(2)</w:t>
      </w:r>
      <w:r w:rsidRPr="00BD574A">
        <w:tab/>
        <w:t>The following is a simplified explanation of this Act:</w:t>
      </w:r>
    </w:p>
    <w:p w:rsidR="0080222D" w:rsidRPr="00BD574A" w:rsidRDefault="0080222D" w:rsidP="005B473B">
      <w:pPr>
        <w:pStyle w:val="SOBullet"/>
      </w:pPr>
      <w:r w:rsidRPr="00BD574A">
        <w:t>•</w:t>
      </w:r>
      <w:r w:rsidRPr="00BD574A">
        <w:tab/>
        <w:t>Part</w:t>
      </w:r>
      <w:r w:rsidR="00BD574A">
        <w:t> </w:t>
      </w:r>
      <w:r w:rsidRPr="00BD574A">
        <w:t>2 (sections</w:t>
      </w:r>
      <w:r w:rsidR="00BD574A">
        <w:t> </w:t>
      </w:r>
      <w:r w:rsidRPr="00BD574A">
        <w:t>6 to 12) tells you who are the people in respect of whom a Government co</w:t>
      </w:r>
      <w:r w:rsidR="00BD574A">
        <w:noBreakHyphen/>
      </w:r>
      <w:r w:rsidRPr="00BD574A">
        <w:t>contribution is payable. It also tells you how much the co</w:t>
      </w:r>
      <w:r w:rsidR="00BD574A">
        <w:noBreakHyphen/>
      </w:r>
      <w:r w:rsidRPr="00BD574A">
        <w:t>contribution is.</w:t>
      </w:r>
    </w:p>
    <w:p w:rsidR="00AD0EEF" w:rsidRPr="00BD574A" w:rsidRDefault="00AD0EEF" w:rsidP="00AD0EEF">
      <w:pPr>
        <w:pStyle w:val="SOBullet"/>
      </w:pPr>
      <w:r w:rsidRPr="00BD574A">
        <w:t>•</w:t>
      </w:r>
      <w:r w:rsidRPr="00BD574A">
        <w:tab/>
        <w:t>Part</w:t>
      </w:r>
      <w:r w:rsidR="00BD574A">
        <w:t> </w:t>
      </w:r>
      <w:r w:rsidRPr="00BD574A">
        <w:t>2A (sections</w:t>
      </w:r>
      <w:r w:rsidR="00BD574A">
        <w:t> </w:t>
      </w:r>
      <w:r w:rsidRPr="00BD574A">
        <w:t>12B to 12G) tells you who are the people entitled to a low income superannuation tax offset. It also tells you how much the low income superannuation tax offset is.</w:t>
      </w:r>
    </w:p>
    <w:p w:rsidR="0080222D" w:rsidRPr="00BD574A" w:rsidRDefault="0080222D" w:rsidP="005B473B">
      <w:pPr>
        <w:pStyle w:val="SOBullet"/>
      </w:pPr>
      <w:r w:rsidRPr="00BD574A">
        <w:t>•</w:t>
      </w:r>
      <w:r w:rsidRPr="00BD574A">
        <w:tab/>
        <w:t>Part</w:t>
      </w:r>
      <w:r w:rsidR="00BD574A">
        <w:t> </w:t>
      </w:r>
      <w:r w:rsidRPr="00BD574A">
        <w:t>3 (sections</w:t>
      </w:r>
      <w:r w:rsidR="00BD574A">
        <w:t> </w:t>
      </w:r>
      <w:r w:rsidRPr="00BD574A">
        <w:t>13 and 14) tells you how the Commissioner of Taxation determines whether a Government co</w:t>
      </w:r>
      <w:r w:rsidR="00BD574A">
        <w:noBreakHyphen/>
      </w:r>
      <w:r w:rsidRPr="00BD574A">
        <w:t>contribution is payable in respect of a person.</w:t>
      </w:r>
    </w:p>
    <w:p w:rsidR="0080222D" w:rsidRPr="00BD574A" w:rsidRDefault="0080222D" w:rsidP="005B473B">
      <w:pPr>
        <w:pStyle w:val="SOBullet"/>
      </w:pPr>
      <w:r w:rsidRPr="00BD574A">
        <w:t>•</w:t>
      </w:r>
      <w:r w:rsidRPr="00BD574A">
        <w:tab/>
        <w:t>Part</w:t>
      </w:r>
      <w:r w:rsidR="00BD574A">
        <w:t> </w:t>
      </w:r>
      <w:r w:rsidRPr="00BD574A">
        <w:t>4 (sections</w:t>
      </w:r>
      <w:r w:rsidR="00BD574A">
        <w:t> </w:t>
      </w:r>
      <w:r w:rsidRPr="00BD574A">
        <w:t>15 to 18) tells you how the Government co</w:t>
      </w:r>
      <w:r w:rsidR="00BD574A">
        <w:noBreakHyphen/>
      </w:r>
      <w:r w:rsidRPr="00BD574A">
        <w:t>contribution is paid.</w:t>
      </w:r>
    </w:p>
    <w:p w:rsidR="0080222D" w:rsidRPr="00BD574A" w:rsidRDefault="0080222D" w:rsidP="005B473B">
      <w:pPr>
        <w:pStyle w:val="SOBullet"/>
      </w:pPr>
      <w:r w:rsidRPr="00BD574A">
        <w:t>•</w:t>
      </w:r>
      <w:r w:rsidRPr="00BD574A">
        <w:tab/>
        <w:t>Part</w:t>
      </w:r>
      <w:r w:rsidR="00BD574A">
        <w:t> </w:t>
      </w:r>
      <w:r w:rsidRPr="00BD574A">
        <w:t>5 (sections</w:t>
      </w:r>
      <w:r w:rsidR="00BD574A">
        <w:t> </w:t>
      </w:r>
      <w:r w:rsidRPr="00BD574A">
        <w:t>19 to 24) tells you what happens if there is an overpayment or an underpayment of a Government co</w:t>
      </w:r>
      <w:r w:rsidR="00BD574A">
        <w:noBreakHyphen/>
      </w:r>
      <w:r w:rsidRPr="00BD574A">
        <w:t>contribution.</w:t>
      </w:r>
    </w:p>
    <w:p w:rsidR="0080222D" w:rsidRPr="00BD574A" w:rsidRDefault="0080222D" w:rsidP="005B473B">
      <w:pPr>
        <w:pStyle w:val="SOBullet"/>
      </w:pPr>
      <w:r w:rsidRPr="00BD574A">
        <w:t>•</w:t>
      </w:r>
      <w:r w:rsidRPr="00BD574A">
        <w:tab/>
        <w:t>Part</w:t>
      </w:r>
      <w:r w:rsidR="00BD574A">
        <w:t> </w:t>
      </w:r>
      <w:r w:rsidRPr="00BD574A">
        <w:t>5A (section</w:t>
      </w:r>
      <w:r w:rsidR="00BD574A">
        <w:t> </w:t>
      </w:r>
      <w:r w:rsidRPr="00BD574A">
        <w:t>25) sets out circumstances in which general interest charge is payable.</w:t>
      </w:r>
    </w:p>
    <w:p w:rsidR="00B811ED" w:rsidRPr="00BD574A" w:rsidRDefault="00B811ED" w:rsidP="00793B51">
      <w:pPr>
        <w:pStyle w:val="SOBullet"/>
      </w:pPr>
      <w:r w:rsidRPr="00BD574A">
        <w:t>•</w:t>
      </w:r>
      <w:r w:rsidRPr="00BD574A">
        <w:tab/>
        <w:t>Part</w:t>
      </w:r>
      <w:r w:rsidR="00BD574A">
        <w:t> </w:t>
      </w:r>
      <w:r w:rsidRPr="00BD574A">
        <w:t>6 (sections</w:t>
      </w:r>
      <w:r w:rsidR="00BD574A">
        <w:t> </w:t>
      </w:r>
      <w:r w:rsidRPr="00BD574A">
        <w:t>32 to 39) sets out record keeping obligations and provides for infringement notices).</w:t>
      </w:r>
    </w:p>
    <w:p w:rsidR="0080222D" w:rsidRPr="00BD574A" w:rsidRDefault="0080222D" w:rsidP="005B473B">
      <w:pPr>
        <w:pStyle w:val="SOBullet"/>
      </w:pPr>
      <w:r w:rsidRPr="00BD574A">
        <w:t>•</w:t>
      </w:r>
      <w:r w:rsidRPr="00BD574A">
        <w:tab/>
        <w:t>Parts</w:t>
      </w:r>
      <w:r w:rsidR="00BD574A">
        <w:t> </w:t>
      </w:r>
      <w:r w:rsidRPr="00BD574A">
        <w:t>7 and 8 (sections</w:t>
      </w:r>
      <w:r w:rsidR="00BD574A">
        <w:t> </w:t>
      </w:r>
      <w:r w:rsidRPr="00BD574A">
        <w:t>46 to 55) provide for administrative matters.</w:t>
      </w:r>
    </w:p>
    <w:p w:rsidR="0080222D" w:rsidRPr="00BD574A" w:rsidRDefault="0080222D" w:rsidP="005B473B">
      <w:pPr>
        <w:pStyle w:val="SOBullet"/>
      </w:pPr>
      <w:r w:rsidRPr="00BD574A">
        <w:t>•</w:t>
      </w:r>
      <w:r w:rsidRPr="00BD574A">
        <w:tab/>
        <w:t>Part</w:t>
      </w:r>
      <w:r w:rsidR="00BD574A">
        <w:t> </w:t>
      </w:r>
      <w:r w:rsidRPr="00BD574A">
        <w:t>9 (section</w:t>
      </w:r>
      <w:r w:rsidR="00BD574A">
        <w:t> </w:t>
      </w:r>
      <w:r w:rsidRPr="00BD574A">
        <w:t>56) sets out the terms that are defined to have a particular meaning when used in this Act.</w:t>
      </w:r>
    </w:p>
    <w:p w:rsidR="0080222D" w:rsidRPr="00BD574A" w:rsidRDefault="0080222D" w:rsidP="005B473B">
      <w:pPr>
        <w:pStyle w:val="ActHead2"/>
      </w:pPr>
      <w:bookmarkStart w:id="7" w:name="_Toc487718097"/>
      <w:r w:rsidRPr="00BD574A">
        <w:rPr>
          <w:rStyle w:val="CharPartNo"/>
        </w:rPr>
        <w:lastRenderedPageBreak/>
        <w:t>Part</w:t>
      </w:r>
      <w:r w:rsidR="00BD574A" w:rsidRPr="00BD574A">
        <w:rPr>
          <w:rStyle w:val="CharPartNo"/>
        </w:rPr>
        <w:t> </w:t>
      </w:r>
      <w:r w:rsidRPr="00BD574A">
        <w:rPr>
          <w:rStyle w:val="CharPartNo"/>
        </w:rPr>
        <w:t>2</w:t>
      </w:r>
      <w:r w:rsidRPr="00BD574A">
        <w:t>—</w:t>
      </w:r>
      <w:r w:rsidRPr="00BD574A">
        <w:rPr>
          <w:rStyle w:val="CharPartText"/>
        </w:rPr>
        <w:t>Government co</w:t>
      </w:r>
      <w:r w:rsidR="00BD574A" w:rsidRPr="00BD574A">
        <w:rPr>
          <w:rStyle w:val="CharPartText"/>
        </w:rPr>
        <w:noBreakHyphen/>
      </w:r>
      <w:r w:rsidRPr="00BD574A">
        <w:rPr>
          <w:rStyle w:val="CharPartText"/>
        </w:rPr>
        <w:t>contribution in respect of low income earners</w:t>
      </w:r>
      <w:bookmarkEnd w:id="7"/>
    </w:p>
    <w:p w:rsidR="0080222D" w:rsidRPr="00BD574A" w:rsidRDefault="0080222D" w:rsidP="0080222D">
      <w:pPr>
        <w:pStyle w:val="ActHead3"/>
      </w:pPr>
      <w:bookmarkStart w:id="8" w:name="_Toc487718098"/>
      <w:r w:rsidRPr="00BD574A">
        <w:rPr>
          <w:rStyle w:val="CharDivNo"/>
        </w:rPr>
        <w:t>Division</w:t>
      </w:r>
      <w:r w:rsidR="00BD574A" w:rsidRPr="00BD574A">
        <w:rPr>
          <w:rStyle w:val="CharDivNo"/>
        </w:rPr>
        <w:t> </w:t>
      </w:r>
      <w:r w:rsidRPr="00BD574A">
        <w:rPr>
          <w:rStyle w:val="CharDivNo"/>
        </w:rPr>
        <w:t>1</w:t>
      </w:r>
      <w:r w:rsidRPr="00BD574A">
        <w:t>—</w:t>
      </w:r>
      <w:r w:rsidRPr="00BD574A">
        <w:rPr>
          <w:rStyle w:val="CharDivText"/>
        </w:rPr>
        <w:t>Government co</w:t>
      </w:r>
      <w:r w:rsidR="00BD574A" w:rsidRPr="00BD574A">
        <w:rPr>
          <w:rStyle w:val="CharDivText"/>
        </w:rPr>
        <w:noBreakHyphen/>
      </w:r>
      <w:r w:rsidRPr="00BD574A">
        <w:rPr>
          <w:rStyle w:val="CharDivText"/>
        </w:rPr>
        <w:t>contribution</w:t>
      </w:r>
      <w:bookmarkEnd w:id="8"/>
    </w:p>
    <w:p w:rsidR="0080222D" w:rsidRPr="00BD574A" w:rsidRDefault="0080222D" w:rsidP="0080222D">
      <w:pPr>
        <w:pStyle w:val="ActHead5"/>
      </w:pPr>
      <w:bookmarkStart w:id="9" w:name="_Toc487718099"/>
      <w:r w:rsidRPr="00BD574A">
        <w:rPr>
          <w:rStyle w:val="CharSectno"/>
        </w:rPr>
        <w:t>6</w:t>
      </w:r>
      <w:r w:rsidRPr="00BD574A">
        <w:t xml:space="preserve">  Person in respect of whom Government co</w:t>
      </w:r>
      <w:r w:rsidR="00BD574A">
        <w:noBreakHyphen/>
      </w:r>
      <w:r w:rsidRPr="00BD574A">
        <w:t>contribution payable</w:t>
      </w:r>
      <w:bookmarkEnd w:id="9"/>
    </w:p>
    <w:p w:rsidR="0080222D" w:rsidRPr="00BD574A" w:rsidRDefault="0080222D" w:rsidP="0080222D">
      <w:pPr>
        <w:pStyle w:val="subsection"/>
      </w:pPr>
      <w:r w:rsidRPr="00BD574A">
        <w:tab/>
        <w:t>(1)</w:t>
      </w:r>
      <w:r w:rsidRPr="00BD574A">
        <w:tab/>
        <w:t>A Government co</w:t>
      </w:r>
      <w:r w:rsidR="00BD574A">
        <w:noBreakHyphen/>
      </w:r>
      <w:r w:rsidRPr="00BD574A">
        <w:t>contribution is payable under this Act in respect of a person for an income year of the person if:</w:t>
      </w:r>
    </w:p>
    <w:p w:rsidR="0080222D" w:rsidRPr="00BD574A" w:rsidRDefault="0080222D" w:rsidP="0080222D">
      <w:pPr>
        <w:pStyle w:val="paragraph"/>
      </w:pPr>
      <w:r w:rsidRPr="00BD574A">
        <w:tab/>
        <w:t>(a)</w:t>
      </w:r>
      <w:r w:rsidRPr="00BD574A">
        <w:tab/>
        <w:t>the person makes one or more eligible personal superannuation contributions during the income year; and</w:t>
      </w:r>
    </w:p>
    <w:p w:rsidR="004C0C71" w:rsidRPr="00BD574A" w:rsidRDefault="004C0C71" w:rsidP="004C0C71">
      <w:pPr>
        <w:pStyle w:val="paragraph"/>
      </w:pPr>
      <w:r w:rsidRPr="00BD574A">
        <w:tab/>
        <w:t>(b)</w:t>
      </w:r>
      <w:r w:rsidRPr="00BD574A">
        <w:tab/>
        <w:t>10% or more of the person’s total income for the income year is attributable to either or both of the following:</w:t>
      </w:r>
    </w:p>
    <w:p w:rsidR="004C0C71" w:rsidRPr="00BD574A" w:rsidRDefault="004C0C71" w:rsidP="004C0C71">
      <w:pPr>
        <w:pStyle w:val="paragraphsub"/>
      </w:pPr>
      <w:r w:rsidRPr="00BD574A">
        <w:tab/>
        <w:t>(i)</w:t>
      </w:r>
      <w:r w:rsidRPr="00BD574A">
        <w:tab/>
        <w:t xml:space="preserve">the person engaging in activities covered under </w:t>
      </w:r>
      <w:r w:rsidR="00BD574A">
        <w:t>subsection (</w:t>
      </w:r>
      <w:r w:rsidRPr="00BD574A">
        <w:t>2);</w:t>
      </w:r>
    </w:p>
    <w:p w:rsidR="004C0C71" w:rsidRPr="00BD574A" w:rsidRDefault="004C0C71" w:rsidP="004C0C71">
      <w:pPr>
        <w:pStyle w:val="paragraphsub"/>
      </w:pPr>
      <w:r w:rsidRPr="00BD574A">
        <w:tab/>
        <w:t>(ii)</w:t>
      </w:r>
      <w:r w:rsidRPr="00BD574A">
        <w:tab/>
        <w:t xml:space="preserve">the person carrying on a business (within the meaning of the </w:t>
      </w:r>
      <w:r w:rsidRPr="00BD574A">
        <w:rPr>
          <w:i/>
        </w:rPr>
        <w:t>Income Tax Assessment Act 1997</w:t>
      </w:r>
      <w:r w:rsidRPr="00BD574A">
        <w:t>); and</w:t>
      </w:r>
    </w:p>
    <w:p w:rsidR="0080222D" w:rsidRPr="00BD574A" w:rsidRDefault="0080222D" w:rsidP="0080222D">
      <w:pPr>
        <w:pStyle w:val="paragraph"/>
      </w:pPr>
      <w:r w:rsidRPr="00BD574A">
        <w:tab/>
        <w:t>(c)</w:t>
      </w:r>
      <w:r w:rsidRPr="00BD574A">
        <w:tab/>
        <w:t>the person’s total income for the income year is less than the higher income threshold; and</w:t>
      </w:r>
    </w:p>
    <w:p w:rsidR="0080222D" w:rsidRPr="00BD574A" w:rsidRDefault="0080222D" w:rsidP="0080222D">
      <w:pPr>
        <w:pStyle w:val="paragraph"/>
      </w:pPr>
      <w:r w:rsidRPr="00BD574A">
        <w:tab/>
        <w:t>(d)</w:t>
      </w:r>
      <w:r w:rsidRPr="00BD574A">
        <w:tab/>
        <w:t>an income tax return for th</w:t>
      </w:r>
      <w:r w:rsidR="00D62705" w:rsidRPr="00BD574A">
        <w:t>e person for the income year is</w:t>
      </w:r>
      <w:r w:rsidR="00F84199" w:rsidRPr="00BD574A">
        <w:t xml:space="preserve"> </w:t>
      </w:r>
      <w:r w:rsidRPr="00BD574A">
        <w:t>lodged; and</w:t>
      </w:r>
    </w:p>
    <w:p w:rsidR="00DE6CE2" w:rsidRPr="00BD574A" w:rsidRDefault="00DE6CE2" w:rsidP="00DE6CE2">
      <w:pPr>
        <w:pStyle w:val="paragraph"/>
      </w:pPr>
      <w:r w:rsidRPr="00BD574A">
        <w:tab/>
        <w:t>(da)</w:t>
      </w:r>
      <w:r w:rsidRPr="00BD574A">
        <w:tab/>
        <w:t>the person’s non</w:t>
      </w:r>
      <w:r w:rsidR="00BD574A">
        <w:noBreakHyphen/>
      </w:r>
      <w:r w:rsidRPr="00BD574A">
        <w:t>concessional contributions for the financial year corresponding to the income year do not exceed the person’s non</w:t>
      </w:r>
      <w:r w:rsidR="00BD574A">
        <w:noBreakHyphen/>
      </w:r>
      <w:r w:rsidRPr="00BD574A">
        <w:t>concessional contributions cap for the financial year; and</w:t>
      </w:r>
    </w:p>
    <w:p w:rsidR="00DE6CE2" w:rsidRPr="00BD574A" w:rsidRDefault="00DE6CE2" w:rsidP="0080222D">
      <w:pPr>
        <w:pStyle w:val="paragraph"/>
      </w:pPr>
      <w:r w:rsidRPr="00BD574A">
        <w:tab/>
        <w:t>(db)</w:t>
      </w:r>
      <w:r w:rsidRPr="00BD574A">
        <w:tab/>
        <w:t>immediately before the start of that financial year, the person’s total superannuation balance is less than the general transfer balance cap for that financial year; and</w:t>
      </w:r>
    </w:p>
    <w:p w:rsidR="0080222D" w:rsidRPr="00BD574A" w:rsidRDefault="0080222D" w:rsidP="0080222D">
      <w:pPr>
        <w:pStyle w:val="paragraph"/>
      </w:pPr>
      <w:r w:rsidRPr="00BD574A">
        <w:tab/>
        <w:t>(e)</w:t>
      </w:r>
      <w:r w:rsidRPr="00BD574A">
        <w:tab/>
        <w:t>the person is less than 71 years old at the end of the income year; and</w:t>
      </w:r>
    </w:p>
    <w:p w:rsidR="00D701BF" w:rsidRPr="00BD574A" w:rsidRDefault="00D701BF" w:rsidP="00D701BF">
      <w:pPr>
        <w:pStyle w:val="paragraph"/>
      </w:pPr>
      <w:r w:rsidRPr="00BD574A">
        <w:tab/>
        <w:t>(f)</w:t>
      </w:r>
      <w:r w:rsidRPr="00BD574A">
        <w:tab/>
        <w:t>the person:</w:t>
      </w:r>
    </w:p>
    <w:p w:rsidR="00D701BF" w:rsidRPr="00BD574A" w:rsidRDefault="00D701BF" w:rsidP="00D701BF">
      <w:pPr>
        <w:pStyle w:val="paragraphsub"/>
      </w:pPr>
      <w:r w:rsidRPr="00BD574A">
        <w:tab/>
        <w:t>(i)</w:t>
      </w:r>
      <w:r w:rsidRPr="00BD574A">
        <w:tab/>
        <w:t xml:space="preserve">is not the holder of a temporary visa under the </w:t>
      </w:r>
      <w:r w:rsidRPr="00BD574A">
        <w:rPr>
          <w:i/>
        </w:rPr>
        <w:t>Migration Act 1958</w:t>
      </w:r>
      <w:r w:rsidRPr="00BD574A">
        <w:t xml:space="preserve"> at any time in the income year; or</w:t>
      </w:r>
    </w:p>
    <w:p w:rsidR="00D701BF" w:rsidRPr="00BD574A" w:rsidRDefault="00D701BF" w:rsidP="00D701BF">
      <w:pPr>
        <w:pStyle w:val="paragraphsub"/>
      </w:pPr>
      <w:r w:rsidRPr="00BD574A">
        <w:lastRenderedPageBreak/>
        <w:tab/>
        <w:t>(ii)</w:t>
      </w:r>
      <w:r w:rsidRPr="00BD574A">
        <w:tab/>
        <w:t>at all times when he or she holds such a temporary visa during the income year, is a New Zealand citizen or the holder of a visa prescribed for the purposes of subsection</w:t>
      </w:r>
      <w:r w:rsidR="00BD574A">
        <w:t> </w:t>
      </w:r>
      <w:r w:rsidRPr="00BD574A">
        <w:t xml:space="preserve">20AA(2) of the </w:t>
      </w:r>
      <w:r w:rsidRPr="00BD574A">
        <w:rPr>
          <w:i/>
        </w:rPr>
        <w:t>Superannuation (Unclaimed Money and Lost Members) Act 1999</w:t>
      </w:r>
      <w:r w:rsidRPr="00BD574A">
        <w:t>.</w:t>
      </w:r>
    </w:p>
    <w:p w:rsidR="004C0C71" w:rsidRPr="00BD574A" w:rsidRDefault="004C0C71" w:rsidP="004C0C71">
      <w:pPr>
        <w:pStyle w:val="subsection"/>
      </w:pPr>
      <w:r w:rsidRPr="00BD574A">
        <w:tab/>
        <w:t>(2)</w:t>
      </w:r>
      <w:r w:rsidRPr="00BD574A">
        <w:tab/>
        <w:t>A person engages in activities covered under this subsection if:</w:t>
      </w:r>
    </w:p>
    <w:p w:rsidR="004C0C71" w:rsidRPr="00BD574A" w:rsidRDefault="004C0C71" w:rsidP="004C0C71">
      <w:pPr>
        <w:pStyle w:val="paragraph"/>
      </w:pPr>
      <w:r w:rsidRPr="00BD574A">
        <w:tab/>
        <w:t>(a)</w:t>
      </w:r>
      <w:r w:rsidRPr="00BD574A">
        <w:tab/>
        <w:t>the person engages in any of these activities in the income year in which the person makes the contribution:</w:t>
      </w:r>
    </w:p>
    <w:p w:rsidR="004C0C71" w:rsidRPr="00BD574A" w:rsidRDefault="004C0C71" w:rsidP="004C0C71">
      <w:pPr>
        <w:pStyle w:val="paragraphsub"/>
      </w:pPr>
      <w:r w:rsidRPr="00BD574A">
        <w:tab/>
        <w:t>(i)</w:t>
      </w:r>
      <w:r w:rsidRPr="00BD574A">
        <w:tab/>
        <w:t>holding an office or appointment;</w:t>
      </w:r>
    </w:p>
    <w:p w:rsidR="004C0C71" w:rsidRPr="00BD574A" w:rsidRDefault="004C0C71" w:rsidP="004C0C71">
      <w:pPr>
        <w:pStyle w:val="paragraphsub"/>
      </w:pPr>
      <w:r w:rsidRPr="00BD574A">
        <w:tab/>
        <w:t>(ii)</w:t>
      </w:r>
      <w:r w:rsidRPr="00BD574A">
        <w:tab/>
        <w:t>performing functions or duties;</w:t>
      </w:r>
    </w:p>
    <w:p w:rsidR="004C0C71" w:rsidRPr="00BD574A" w:rsidRDefault="004C0C71" w:rsidP="004C0C71">
      <w:pPr>
        <w:pStyle w:val="paragraphsub"/>
      </w:pPr>
      <w:r w:rsidRPr="00BD574A">
        <w:tab/>
        <w:t>(iii)</w:t>
      </w:r>
      <w:r w:rsidRPr="00BD574A">
        <w:tab/>
        <w:t>engaging in work;</w:t>
      </w:r>
    </w:p>
    <w:p w:rsidR="004C0C71" w:rsidRPr="00BD574A" w:rsidRDefault="004C0C71" w:rsidP="004C0C71">
      <w:pPr>
        <w:pStyle w:val="paragraphsub"/>
      </w:pPr>
      <w:r w:rsidRPr="00BD574A">
        <w:tab/>
        <w:t>(iv)</w:t>
      </w:r>
      <w:r w:rsidRPr="00BD574A">
        <w:tab/>
        <w:t>doing acts or things; and</w:t>
      </w:r>
    </w:p>
    <w:p w:rsidR="004C0C71" w:rsidRPr="00BD574A" w:rsidRDefault="004C0C71" w:rsidP="004C0C71">
      <w:pPr>
        <w:pStyle w:val="paragraph"/>
      </w:pPr>
      <w:r w:rsidRPr="00BD574A">
        <w:tab/>
        <w:t>(b)</w:t>
      </w:r>
      <w:r w:rsidRPr="00BD574A">
        <w:tab/>
        <w:t xml:space="preserve">the activities result in the person being treated as an employee for the purposes of the </w:t>
      </w:r>
      <w:r w:rsidRPr="00BD574A">
        <w:rPr>
          <w:i/>
        </w:rPr>
        <w:t>Superannuation Guarantee (Administration) Act 1992</w:t>
      </w:r>
      <w:r w:rsidRPr="00BD574A">
        <w:t xml:space="preserve"> (assuming that subsection</w:t>
      </w:r>
      <w:r w:rsidR="00BD574A">
        <w:t> </w:t>
      </w:r>
      <w:r w:rsidRPr="00BD574A">
        <w:t>12(11) of that Act had not been enacted).</w:t>
      </w:r>
    </w:p>
    <w:p w:rsidR="0080222D" w:rsidRPr="00BD574A" w:rsidRDefault="0080222D" w:rsidP="0080222D">
      <w:pPr>
        <w:pStyle w:val="ActHead5"/>
      </w:pPr>
      <w:bookmarkStart w:id="10" w:name="_Toc487718100"/>
      <w:r w:rsidRPr="00BD574A">
        <w:rPr>
          <w:rStyle w:val="CharSectno"/>
        </w:rPr>
        <w:t>7</w:t>
      </w:r>
      <w:r w:rsidRPr="00BD574A">
        <w:t xml:space="preserve">  Contributions that attract matching Government co</w:t>
      </w:r>
      <w:r w:rsidR="00BD574A">
        <w:noBreakHyphen/>
      </w:r>
      <w:r w:rsidRPr="00BD574A">
        <w:t>contributions</w:t>
      </w:r>
      <w:bookmarkEnd w:id="10"/>
    </w:p>
    <w:p w:rsidR="0080222D" w:rsidRPr="00BD574A" w:rsidRDefault="0080222D" w:rsidP="0080222D">
      <w:pPr>
        <w:pStyle w:val="subsection"/>
      </w:pPr>
      <w:r w:rsidRPr="00BD574A">
        <w:tab/>
      </w:r>
      <w:r w:rsidR="004C0C71" w:rsidRPr="00BD574A">
        <w:t>(1)</w:t>
      </w:r>
      <w:r w:rsidRPr="00BD574A">
        <w:tab/>
        <w:t xml:space="preserve">A contribution a person made or makes is an </w:t>
      </w:r>
      <w:r w:rsidRPr="00BD574A">
        <w:rPr>
          <w:b/>
          <w:i/>
        </w:rPr>
        <w:t>eligible personal superannuation contribution</w:t>
      </w:r>
      <w:r w:rsidRPr="00BD574A">
        <w:t xml:space="preserve"> if:</w:t>
      </w:r>
    </w:p>
    <w:p w:rsidR="0080222D" w:rsidRPr="00BD574A" w:rsidRDefault="0080222D" w:rsidP="0080222D">
      <w:pPr>
        <w:pStyle w:val="paragraph"/>
      </w:pPr>
      <w:r w:rsidRPr="00BD574A">
        <w:tab/>
        <w:t>(a)</w:t>
      </w:r>
      <w:r w:rsidRPr="00BD574A">
        <w:tab/>
        <w:t>the contribution was or is made on or after 1</w:t>
      </w:r>
      <w:r w:rsidR="00BD574A">
        <w:t> </w:t>
      </w:r>
      <w:r w:rsidRPr="00BD574A">
        <w:t>July 2003 to:</w:t>
      </w:r>
    </w:p>
    <w:p w:rsidR="0080222D" w:rsidRPr="00BD574A" w:rsidRDefault="0080222D" w:rsidP="0080222D">
      <w:pPr>
        <w:pStyle w:val="paragraphsub"/>
      </w:pPr>
      <w:r w:rsidRPr="00BD574A">
        <w:tab/>
        <w:t>(i)</w:t>
      </w:r>
      <w:r w:rsidRPr="00BD574A">
        <w:tab/>
        <w:t>a fund that is a complying superannuation fund in relation to the income year of the fund in which the contribution was or is made; or</w:t>
      </w:r>
    </w:p>
    <w:p w:rsidR="0080222D" w:rsidRPr="00BD574A" w:rsidRDefault="0080222D" w:rsidP="0080222D">
      <w:pPr>
        <w:pStyle w:val="paragraphsub"/>
      </w:pPr>
      <w:r w:rsidRPr="00BD574A">
        <w:tab/>
        <w:t>(ii)</w:t>
      </w:r>
      <w:r w:rsidRPr="00BD574A">
        <w:tab/>
        <w:t>an RSA the person holds; and</w:t>
      </w:r>
    </w:p>
    <w:p w:rsidR="00157B5A" w:rsidRPr="00BD574A" w:rsidRDefault="00157B5A" w:rsidP="00157B5A">
      <w:pPr>
        <w:pStyle w:val="paragraph"/>
      </w:pPr>
      <w:r w:rsidRPr="00BD574A">
        <w:tab/>
        <w:t>(b)</w:t>
      </w:r>
      <w:r w:rsidRPr="00BD574A">
        <w:tab/>
        <w:t>the contribution was or is made for the purpose of providing superannuation benefits for the person (regardless whether the benefits are payable to the person’s dependants if the person dies before or after becoming entitled to receive the benefits); and</w:t>
      </w:r>
    </w:p>
    <w:p w:rsidR="004C0C71" w:rsidRPr="00BD574A" w:rsidRDefault="004C0C71" w:rsidP="004C0C71">
      <w:pPr>
        <w:pStyle w:val="paragraph"/>
      </w:pPr>
      <w:r w:rsidRPr="00BD574A">
        <w:tab/>
        <w:t>(c)</w:t>
      </w:r>
      <w:r w:rsidRPr="00BD574A">
        <w:tab/>
        <w:t>the contribution is not any of the following:</w:t>
      </w:r>
    </w:p>
    <w:p w:rsidR="004C0C71" w:rsidRPr="00BD574A" w:rsidRDefault="004C0C71" w:rsidP="004C0C71">
      <w:pPr>
        <w:pStyle w:val="paragraphsub"/>
      </w:pPr>
      <w:r w:rsidRPr="00BD574A">
        <w:tab/>
        <w:t>(i)</w:t>
      </w:r>
      <w:r w:rsidRPr="00BD574A">
        <w:tab/>
        <w:t>a roll</w:t>
      </w:r>
      <w:r w:rsidR="00BD574A">
        <w:noBreakHyphen/>
      </w:r>
      <w:r w:rsidRPr="00BD574A">
        <w:t xml:space="preserve">over superannuation benefit (within the meaning of the </w:t>
      </w:r>
      <w:r w:rsidRPr="00BD574A">
        <w:rPr>
          <w:i/>
        </w:rPr>
        <w:t>Income Tax Assessment Act 1997</w:t>
      </w:r>
      <w:r w:rsidRPr="00BD574A">
        <w:t>);</w:t>
      </w:r>
    </w:p>
    <w:p w:rsidR="004C0C71" w:rsidRPr="00BD574A" w:rsidRDefault="004C0C71" w:rsidP="004C0C71">
      <w:pPr>
        <w:pStyle w:val="paragraphsub"/>
      </w:pPr>
      <w:r w:rsidRPr="00BD574A">
        <w:lastRenderedPageBreak/>
        <w:tab/>
        <w:t>(ii)</w:t>
      </w:r>
      <w:r w:rsidRPr="00BD574A">
        <w:tab/>
      </w:r>
      <w:r w:rsidRPr="00BD574A">
        <w:rPr>
          <w:lang w:eastAsia="en-US"/>
        </w:rPr>
        <w:t xml:space="preserve">a </w:t>
      </w:r>
      <w:r w:rsidRPr="00BD574A">
        <w:t xml:space="preserve">superannuation lump sum that is paid from a foreign superannuation fund (within the meaning of the </w:t>
      </w:r>
      <w:r w:rsidRPr="00BD574A">
        <w:rPr>
          <w:i/>
        </w:rPr>
        <w:t>Income Tax Assessment Act 1997</w:t>
      </w:r>
      <w:r w:rsidRPr="00BD574A">
        <w:t>);</w:t>
      </w:r>
    </w:p>
    <w:p w:rsidR="009F2817" w:rsidRPr="00BD574A" w:rsidRDefault="009F2817" w:rsidP="009F2817">
      <w:pPr>
        <w:pStyle w:val="paragraphsub"/>
      </w:pPr>
      <w:r w:rsidRPr="00BD574A">
        <w:tab/>
        <w:t>(iia)</w:t>
      </w:r>
      <w:r w:rsidRPr="00BD574A">
        <w:tab/>
        <w:t>an amount transferred from a KiwiSaver scheme to a complying superannuation fund as mentioned in section</w:t>
      </w:r>
      <w:r w:rsidR="00BD574A">
        <w:t> </w:t>
      </w:r>
      <w:r w:rsidRPr="00BD574A">
        <w:t>312</w:t>
      </w:r>
      <w:r w:rsidR="00BD574A">
        <w:noBreakHyphen/>
      </w:r>
      <w:r w:rsidRPr="00BD574A">
        <w:t xml:space="preserve">10 of the </w:t>
      </w:r>
      <w:r w:rsidRPr="00BD574A">
        <w:rPr>
          <w:i/>
        </w:rPr>
        <w:t>Income Tax Assessment Act 1997</w:t>
      </w:r>
      <w:r w:rsidRPr="00BD574A">
        <w:t>;</w:t>
      </w:r>
    </w:p>
    <w:p w:rsidR="004C0C71" w:rsidRPr="00BD574A" w:rsidRDefault="004C0C71" w:rsidP="004C0C71">
      <w:pPr>
        <w:pStyle w:val="paragraphsub"/>
      </w:pPr>
      <w:r w:rsidRPr="00BD574A">
        <w:tab/>
        <w:t>(iii)</w:t>
      </w:r>
      <w:r w:rsidRPr="00BD574A">
        <w:tab/>
        <w:t>a directed termination payment (within the meaning of section</w:t>
      </w:r>
      <w:r w:rsidR="00BD574A">
        <w:t> </w:t>
      </w:r>
      <w:r w:rsidRPr="00BD574A">
        <w:t>82</w:t>
      </w:r>
      <w:r w:rsidR="00BD574A">
        <w:noBreakHyphen/>
      </w:r>
      <w:r w:rsidRPr="00BD574A">
        <w:t xml:space="preserve">10F of the </w:t>
      </w:r>
      <w:r w:rsidRPr="00BD574A">
        <w:rPr>
          <w:i/>
        </w:rPr>
        <w:t xml:space="preserve">Income Tax (Transitional Provisions) Act </w:t>
      </w:r>
      <w:r w:rsidR="00FD22BE" w:rsidRPr="00BD574A">
        <w:rPr>
          <w:i/>
        </w:rPr>
        <w:t>1997</w:t>
      </w:r>
      <w:r w:rsidR="00FD22BE" w:rsidRPr="00BD574A">
        <w:t>);</w:t>
      </w:r>
    </w:p>
    <w:p w:rsidR="00FD22BE" w:rsidRPr="00BD574A" w:rsidRDefault="00FD22BE" w:rsidP="00B35036">
      <w:pPr>
        <w:pStyle w:val="paragraphsub"/>
        <w:keepNext/>
      </w:pPr>
      <w:r w:rsidRPr="00BD574A">
        <w:tab/>
        <w:t>(iv)</w:t>
      </w:r>
      <w:r w:rsidRPr="00BD574A">
        <w:tab/>
        <w:t>an amount transferred from a scheme mentioned in paragraph</w:t>
      </w:r>
      <w:r w:rsidR="00BD574A">
        <w:t> </w:t>
      </w:r>
      <w:r w:rsidRPr="00BD574A">
        <w:t>290</w:t>
      </w:r>
      <w:r w:rsidR="00BD574A">
        <w:noBreakHyphen/>
      </w:r>
      <w:r w:rsidRPr="00BD574A">
        <w:t xml:space="preserve">5(c) of the </w:t>
      </w:r>
      <w:r w:rsidRPr="00BD574A">
        <w:rPr>
          <w:i/>
        </w:rPr>
        <w:t xml:space="preserve">Income Tax Assessment Act </w:t>
      </w:r>
      <w:r w:rsidR="000A42A1" w:rsidRPr="00BD574A">
        <w:rPr>
          <w:i/>
        </w:rPr>
        <w:t>1997</w:t>
      </w:r>
      <w:r w:rsidR="000A42A1" w:rsidRPr="00BD574A">
        <w:t>.</w:t>
      </w:r>
    </w:p>
    <w:p w:rsidR="004C0C71" w:rsidRPr="00BD574A" w:rsidRDefault="004C0C71" w:rsidP="004C0C71">
      <w:pPr>
        <w:pStyle w:val="subsection"/>
      </w:pPr>
      <w:r w:rsidRPr="00BD574A">
        <w:tab/>
        <w:t>(2)</w:t>
      </w:r>
      <w:r w:rsidRPr="00BD574A">
        <w:tab/>
        <w:t xml:space="preserve">However, the contribution is an </w:t>
      </w:r>
      <w:r w:rsidRPr="00BD574A">
        <w:rPr>
          <w:b/>
          <w:i/>
        </w:rPr>
        <w:t xml:space="preserve">eligible personal superannuation contribution </w:t>
      </w:r>
      <w:r w:rsidRPr="00BD574A">
        <w:t>only to the extent that the Commissioner has not allowed the contribution as a deduction for the person.</w:t>
      </w:r>
    </w:p>
    <w:p w:rsidR="0080222D" w:rsidRPr="00BD574A" w:rsidRDefault="0080222D" w:rsidP="0080222D">
      <w:pPr>
        <w:pStyle w:val="ActHead5"/>
      </w:pPr>
      <w:bookmarkStart w:id="11" w:name="_Toc487718101"/>
      <w:r w:rsidRPr="00BD574A">
        <w:rPr>
          <w:rStyle w:val="CharSectno"/>
        </w:rPr>
        <w:t>8</w:t>
      </w:r>
      <w:r w:rsidRPr="00BD574A">
        <w:t xml:space="preserve">  Total income for income year</w:t>
      </w:r>
      <w:bookmarkEnd w:id="11"/>
    </w:p>
    <w:p w:rsidR="0080222D" w:rsidRPr="00BD574A" w:rsidRDefault="0080222D" w:rsidP="0080222D">
      <w:pPr>
        <w:pStyle w:val="subsection"/>
      </w:pPr>
      <w:r w:rsidRPr="00BD574A">
        <w:tab/>
      </w:r>
      <w:r w:rsidR="004C0C71" w:rsidRPr="00BD574A">
        <w:t>(1)</w:t>
      </w:r>
      <w:r w:rsidRPr="00BD574A">
        <w:tab/>
        <w:t xml:space="preserve">The person’s </w:t>
      </w:r>
      <w:r w:rsidRPr="00BD574A">
        <w:rPr>
          <w:b/>
          <w:i/>
        </w:rPr>
        <w:t>total income</w:t>
      </w:r>
      <w:r w:rsidRPr="00BD574A">
        <w:t xml:space="preserve"> for the income year is the sum of:</w:t>
      </w:r>
    </w:p>
    <w:p w:rsidR="0080222D" w:rsidRPr="00BD574A" w:rsidRDefault="0080222D" w:rsidP="0080222D">
      <w:pPr>
        <w:pStyle w:val="paragraph"/>
      </w:pPr>
      <w:r w:rsidRPr="00BD574A">
        <w:tab/>
        <w:t>(a)</w:t>
      </w:r>
      <w:r w:rsidRPr="00BD574A">
        <w:tab/>
        <w:t>the person’s assessable income for the income year; and</w:t>
      </w:r>
    </w:p>
    <w:p w:rsidR="0080222D" w:rsidRPr="00BD574A" w:rsidRDefault="0080222D" w:rsidP="0080222D">
      <w:pPr>
        <w:pStyle w:val="paragraph"/>
      </w:pPr>
      <w:r w:rsidRPr="00BD574A">
        <w:tab/>
        <w:t>(b)</w:t>
      </w:r>
      <w:r w:rsidRPr="00BD574A">
        <w:tab/>
        <w:t>the person’s reportable fringe benefits total for the income year</w:t>
      </w:r>
      <w:r w:rsidR="007B3128" w:rsidRPr="00BD574A">
        <w:t xml:space="preserve">; and </w:t>
      </w:r>
    </w:p>
    <w:p w:rsidR="007B3128" w:rsidRPr="00BD574A" w:rsidRDefault="007B3128" w:rsidP="007B3128">
      <w:pPr>
        <w:pStyle w:val="paragraph"/>
      </w:pPr>
      <w:r w:rsidRPr="00BD574A">
        <w:tab/>
        <w:t>(c)</w:t>
      </w:r>
      <w:r w:rsidRPr="00BD574A">
        <w:tab/>
        <w:t xml:space="preserve">the total of the person’s reportable employer superannuation contributions (within the meaning of the </w:t>
      </w:r>
      <w:r w:rsidRPr="00BD574A">
        <w:rPr>
          <w:i/>
        </w:rPr>
        <w:t>Income Tax Assessment Act 1997</w:t>
      </w:r>
      <w:r w:rsidRPr="00BD574A">
        <w:t>) for the income year.</w:t>
      </w:r>
    </w:p>
    <w:p w:rsidR="009E651F" w:rsidRPr="00BD574A" w:rsidRDefault="009E651F" w:rsidP="009E651F">
      <w:pPr>
        <w:pStyle w:val="subsection"/>
      </w:pPr>
      <w:r w:rsidRPr="00BD574A">
        <w:tab/>
        <w:t>(1A)</w:t>
      </w:r>
      <w:r w:rsidRPr="00BD574A">
        <w:tab/>
        <w:t xml:space="preserve">For the purposes of </w:t>
      </w:r>
      <w:r w:rsidR="00BD574A">
        <w:t>paragraph (</w:t>
      </w:r>
      <w:r w:rsidRPr="00BD574A">
        <w:t xml:space="preserve">1)(c) of this section, reduce (but not below zero) the reportable employer superannuation contributions by any excess concessional contributions (within the meaning of the </w:t>
      </w:r>
      <w:r w:rsidRPr="00BD574A">
        <w:rPr>
          <w:i/>
        </w:rPr>
        <w:t>Income Tax Assessment Act 1997</w:t>
      </w:r>
      <w:r w:rsidRPr="00BD574A">
        <w:t xml:space="preserve">) </w:t>
      </w:r>
      <w:r w:rsidR="00EA4177" w:rsidRPr="00BD574A">
        <w:t>included in the person’s assessable income under paragraph</w:t>
      </w:r>
      <w:r w:rsidR="00BD574A">
        <w:t> </w:t>
      </w:r>
      <w:r w:rsidR="00EA4177" w:rsidRPr="00BD574A">
        <w:t>291</w:t>
      </w:r>
      <w:r w:rsidR="00BD574A">
        <w:noBreakHyphen/>
      </w:r>
      <w:r w:rsidR="00EA4177" w:rsidRPr="00BD574A">
        <w:t>15(a) of that Act for the income year</w:t>
      </w:r>
      <w:r w:rsidRPr="00BD574A">
        <w:t>.</w:t>
      </w:r>
    </w:p>
    <w:p w:rsidR="004C0C71" w:rsidRPr="00BD574A" w:rsidRDefault="004C0C71" w:rsidP="004C0C71">
      <w:pPr>
        <w:pStyle w:val="subsection"/>
      </w:pPr>
      <w:r w:rsidRPr="00BD574A">
        <w:tab/>
        <w:t>(2)</w:t>
      </w:r>
      <w:r w:rsidRPr="00BD574A">
        <w:tab/>
        <w:t xml:space="preserve">However, the person’s </w:t>
      </w:r>
      <w:r w:rsidRPr="00BD574A">
        <w:rPr>
          <w:b/>
          <w:i/>
        </w:rPr>
        <w:t>total income</w:t>
      </w:r>
      <w:r w:rsidRPr="00BD574A">
        <w:t xml:space="preserve"> for the income year is reduced by amounts (if any) for which the person is entitled to a deduction </w:t>
      </w:r>
      <w:r w:rsidRPr="00BD574A">
        <w:lastRenderedPageBreak/>
        <w:t xml:space="preserve">as a result of carrying on a business (within the meaning of the </w:t>
      </w:r>
      <w:r w:rsidRPr="00BD574A">
        <w:rPr>
          <w:i/>
        </w:rPr>
        <w:t>Income Tax Assessment Act 1997</w:t>
      </w:r>
      <w:r w:rsidRPr="00BD574A">
        <w:t>).</w:t>
      </w:r>
    </w:p>
    <w:p w:rsidR="004C0C71" w:rsidRPr="00BD574A" w:rsidRDefault="004C0C71" w:rsidP="004C0C71">
      <w:pPr>
        <w:pStyle w:val="subsection"/>
      </w:pPr>
      <w:r w:rsidRPr="00BD574A">
        <w:tab/>
        <w:t>(3)</w:t>
      </w:r>
      <w:r w:rsidRPr="00BD574A">
        <w:tab/>
      </w:r>
      <w:r w:rsidR="00BD574A">
        <w:t>Subsection (</w:t>
      </w:r>
      <w:r w:rsidRPr="00BD574A">
        <w:t>2) does not apply for the purposes of paragraph</w:t>
      </w:r>
      <w:r w:rsidR="00BD574A">
        <w:t> </w:t>
      </w:r>
      <w:r w:rsidRPr="00BD574A">
        <w:t>6(1)(b).</w:t>
      </w:r>
    </w:p>
    <w:p w:rsidR="0080222D" w:rsidRPr="00BD574A" w:rsidRDefault="0080222D" w:rsidP="00215433">
      <w:pPr>
        <w:pStyle w:val="ActHead3"/>
        <w:pageBreakBefore/>
      </w:pPr>
      <w:bookmarkStart w:id="12" w:name="_Toc487718102"/>
      <w:r w:rsidRPr="00BD574A">
        <w:rPr>
          <w:rStyle w:val="CharDivNo"/>
        </w:rPr>
        <w:lastRenderedPageBreak/>
        <w:t>Division</w:t>
      </w:r>
      <w:r w:rsidR="00BD574A" w:rsidRPr="00BD574A">
        <w:rPr>
          <w:rStyle w:val="CharDivNo"/>
        </w:rPr>
        <w:t> </w:t>
      </w:r>
      <w:r w:rsidRPr="00BD574A">
        <w:rPr>
          <w:rStyle w:val="CharDivNo"/>
        </w:rPr>
        <w:t>2</w:t>
      </w:r>
      <w:r w:rsidRPr="00BD574A">
        <w:t>—</w:t>
      </w:r>
      <w:r w:rsidRPr="00BD574A">
        <w:rPr>
          <w:rStyle w:val="CharDivText"/>
        </w:rPr>
        <w:t>Amount of the Government co</w:t>
      </w:r>
      <w:r w:rsidR="00BD574A" w:rsidRPr="00BD574A">
        <w:rPr>
          <w:rStyle w:val="CharDivText"/>
        </w:rPr>
        <w:noBreakHyphen/>
      </w:r>
      <w:r w:rsidRPr="00BD574A">
        <w:rPr>
          <w:rStyle w:val="CharDivText"/>
        </w:rPr>
        <w:t>contribution</w:t>
      </w:r>
      <w:bookmarkEnd w:id="12"/>
    </w:p>
    <w:p w:rsidR="0080222D" w:rsidRPr="00BD574A" w:rsidRDefault="0080222D" w:rsidP="0080222D">
      <w:pPr>
        <w:pStyle w:val="ActHead5"/>
      </w:pPr>
      <w:bookmarkStart w:id="13" w:name="_Toc487718103"/>
      <w:r w:rsidRPr="00BD574A">
        <w:rPr>
          <w:rStyle w:val="CharSectno"/>
        </w:rPr>
        <w:t>9</w:t>
      </w:r>
      <w:r w:rsidRPr="00BD574A">
        <w:t xml:space="preserve">  Basic rule—Government co</w:t>
      </w:r>
      <w:r w:rsidR="00BD574A">
        <w:noBreakHyphen/>
      </w:r>
      <w:r w:rsidRPr="00BD574A">
        <w:t>contribution matches personal contributions</w:t>
      </w:r>
      <w:bookmarkEnd w:id="13"/>
    </w:p>
    <w:p w:rsidR="0080222D" w:rsidRPr="00BD574A" w:rsidRDefault="0080222D" w:rsidP="0080222D">
      <w:pPr>
        <w:pStyle w:val="subsection"/>
      </w:pPr>
      <w:r w:rsidRPr="00BD574A">
        <w:tab/>
        <w:t>(1)</w:t>
      </w:r>
      <w:r w:rsidRPr="00BD574A">
        <w:tab/>
        <w:t>The amount of the Government co</w:t>
      </w:r>
      <w:r w:rsidR="00BD574A">
        <w:noBreakHyphen/>
      </w:r>
      <w:r w:rsidRPr="00BD574A">
        <w:t>contribution in respect of a person for an income year is:</w:t>
      </w:r>
    </w:p>
    <w:p w:rsidR="0080222D" w:rsidRPr="00BD574A" w:rsidRDefault="0080222D" w:rsidP="0080222D">
      <w:pPr>
        <w:pStyle w:val="paragraph"/>
      </w:pPr>
      <w:r w:rsidRPr="00BD574A">
        <w:tab/>
        <w:t>(a)</w:t>
      </w:r>
      <w:r w:rsidRPr="00BD574A">
        <w:tab/>
        <w:t>for the 2003</w:t>
      </w:r>
      <w:r w:rsidR="00BD574A">
        <w:noBreakHyphen/>
      </w:r>
      <w:r w:rsidRPr="00BD574A">
        <w:t>04 income year—an amount equal to the sum of the eligible personal superannuation contributions the person makes during the income year; and</w:t>
      </w:r>
    </w:p>
    <w:p w:rsidR="0080222D" w:rsidRPr="00BD574A" w:rsidRDefault="0080222D" w:rsidP="0080222D">
      <w:pPr>
        <w:pStyle w:val="paragraph"/>
      </w:pPr>
      <w:r w:rsidRPr="00BD574A">
        <w:tab/>
        <w:t>(b)</w:t>
      </w:r>
      <w:r w:rsidRPr="00BD574A">
        <w:tab/>
        <w:t xml:space="preserve">for </w:t>
      </w:r>
      <w:r w:rsidR="000A2577" w:rsidRPr="00BD574A">
        <w:t>the 2004</w:t>
      </w:r>
      <w:r w:rsidR="00BD574A">
        <w:noBreakHyphen/>
      </w:r>
      <w:r w:rsidR="000A2577" w:rsidRPr="00BD574A">
        <w:t>05 income year, the 2005</w:t>
      </w:r>
      <w:r w:rsidR="00BD574A">
        <w:noBreakHyphen/>
      </w:r>
      <w:r w:rsidR="000A2577" w:rsidRPr="00BD574A">
        <w:t>06 income year, the 2006</w:t>
      </w:r>
      <w:r w:rsidR="00BD574A">
        <w:noBreakHyphen/>
      </w:r>
      <w:r w:rsidR="000A2577" w:rsidRPr="00BD574A">
        <w:t>07 income year, the 2007</w:t>
      </w:r>
      <w:r w:rsidR="00BD574A">
        <w:noBreakHyphen/>
      </w:r>
      <w:r w:rsidR="000A2577" w:rsidRPr="00BD574A">
        <w:t>08 income year or the 2008</w:t>
      </w:r>
      <w:r w:rsidR="00BD574A">
        <w:noBreakHyphen/>
      </w:r>
      <w:r w:rsidR="000A2577" w:rsidRPr="00BD574A">
        <w:t>09 income year</w:t>
      </w:r>
      <w:r w:rsidRPr="00BD574A">
        <w:t xml:space="preserve">—an amount equal to 150% of the sum of the eligible personal superannuation contributions the person makes during the income </w:t>
      </w:r>
      <w:r w:rsidR="000A2577" w:rsidRPr="00BD574A">
        <w:t>year; and</w:t>
      </w:r>
    </w:p>
    <w:p w:rsidR="00324408" w:rsidRPr="00BD574A" w:rsidRDefault="00F31542" w:rsidP="00324408">
      <w:pPr>
        <w:pStyle w:val="paragraph"/>
      </w:pPr>
      <w:r w:rsidRPr="00BD574A">
        <w:tab/>
        <w:t>(c)</w:t>
      </w:r>
      <w:r w:rsidRPr="00BD574A">
        <w:tab/>
        <w:t xml:space="preserve">for the </w:t>
      </w:r>
      <w:r w:rsidR="00324408" w:rsidRPr="00BD574A">
        <w:t>2009</w:t>
      </w:r>
      <w:r w:rsidR="00BD574A">
        <w:noBreakHyphen/>
      </w:r>
      <w:r w:rsidR="00324408" w:rsidRPr="00BD574A">
        <w:t>10, 2010</w:t>
      </w:r>
      <w:r w:rsidR="00BD574A">
        <w:noBreakHyphen/>
      </w:r>
      <w:r w:rsidR="00324408" w:rsidRPr="00BD574A">
        <w:t>11 and 2011</w:t>
      </w:r>
      <w:r w:rsidR="00BD574A">
        <w:noBreakHyphen/>
      </w:r>
      <w:r w:rsidR="00324408" w:rsidRPr="00BD574A">
        <w:t>12 income years</w:t>
      </w:r>
      <w:r w:rsidRPr="00BD574A">
        <w:t>—an amount equal to the sum of the eligible personal superannuation contributions the person makes during the income year</w:t>
      </w:r>
      <w:r w:rsidR="00324408" w:rsidRPr="00BD574A">
        <w:t>; and</w:t>
      </w:r>
    </w:p>
    <w:p w:rsidR="00324408" w:rsidRPr="00BD574A" w:rsidRDefault="00324408" w:rsidP="00324408">
      <w:pPr>
        <w:pStyle w:val="paragraph"/>
      </w:pPr>
      <w:r w:rsidRPr="00BD574A">
        <w:tab/>
        <w:t>(d)</w:t>
      </w:r>
      <w:r w:rsidRPr="00BD574A">
        <w:tab/>
        <w:t>for the 2012</w:t>
      </w:r>
      <w:r w:rsidR="00BD574A">
        <w:noBreakHyphen/>
      </w:r>
      <w:r w:rsidRPr="00BD574A">
        <w:t>13 income year or a later income year—an amount equal to 50% of the sum of the eligible personal superannuation contributions the person makes during the income year.</w:t>
      </w:r>
    </w:p>
    <w:p w:rsidR="0080222D" w:rsidRPr="00BD574A" w:rsidRDefault="0080222D" w:rsidP="00E268A6">
      <w:pPr>
        <w:pStyle w:val="subsection"/>
      </w:pPr>
      <w:r w:rsidRPr="00BD574A">
        <w:tab/>
        <w:t>(2)</w:t>
      </w:r>
      <w:r w:rsidRPr="00BD574A">
        <w:tab/>
      </w:r>
      <w:r w:rsidR="00BD574A">
        <w:t>Subsection (</w:t>
      </w:r>
      <w:r w:rsidRPr="00BD574A">
        <w:t>1) has effect subject to sections</w:t>
      </w:r>
      <w:r w:rsidR="00BD574A">
        <w:t> </w:t>
      </w:r>
      <w:r w:rsidRPr="00BD574A">
        <w:t>10, 10A, 11, 12, 21, 22 and 23.</w:t>
      </w:r>
    </w:p>
    <w:p w:rsidR="0080222D" w:rsidRPr="00BD574A" w:rsidRDefault="0080222D" w:rsidP="0080222D">
      <w:pPr>
        <w:pStyle w:val="ActHead5"/>
      </w:pPr>
      <w:bookmarkStart w:id="14" w:name="_Toc487718104"/>
      <w:r w:rsidRPr="00BD574A">
        <w:rPr>
          <w:rStyle w:val="CharSectno"/>
        </w:rPr>
        <w:t>10</w:t>
      </w:r>
      <w:r w:rsidRPr="00BD574A">
        <w:t xml:space="preserve">  Taper based on total income for the income year</w:t>
      </w:r>
      <w:bookmarkEnd w:id="14"/>
    </w:p>
    <w:p w:rsidR="0080222D" w:rsidRPr="00BD574A" w:rsidRDefault="0080222D" w:rsidP="00F31542">
      <w:pPr>
        <w:pStyle w:val="subsection"/>
      </w:pPr>
      <w:r w:rsidRPr="00BD574A">
        <w:tab/>
        <w:t>(1)</w:t>
      </w:r>
      <w:r w:rsidRPr="00BD574A">
        <w:tab/>
        <w:t>The amount of the Government co</w:t>
      </w:r>
      <w:r w:rsidR="00BD574A">
        <w:noBreakHyphen/>
      </w:r>
      <w:r w:rsidRPr="00BD574A">
        <w:t>contribution in respect of a person for the 2003</w:t>
      </w:r>
      <w:r w:rsidR="00BD574A">
        <w:noBreakHyphen/>
      </w:r>
      <w:r w:rsidRPr="00BD574A">
        <w:t>04 income year must not exceed the maximum amount worked out using the following table:</w:t>
      </w:r>
    </w:p>
    <w:p w:rsidR="0080222D" w:rsidRPr="00BD574A" w:rsidRDefault="0080222D" w:rsidP="00F136B1">
      <w:pPr>
        <w:pStyle w:val="Tabletext"/>
      </w:pPr>
    </w:p>
    <w:tbl>
      <w:tblPr>
        <w:tblW w:w="0" w:type="auto"/>
        <w:tblInd w:w="674"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9"/>
        <w:gridCol w:w="2693"/>
        <w:gridCol w:w="2977"/>
      </w:tblGrid>
      <w:tr w:rsidR="0080222D" w:rsidRPr="00BD574A" w:rsidTr="00F136B1">
        <w:trPr>
          <w:tblHeader/>
        </w:trPr>
        <w:tc>
          <w:tcPr>
            <w:tcW w:w="6379" w:type="dxa"/>
            <w:gridSpan w:val="3"/>
            <w:tcBorders>
              <w:top w:val="single" w:sz="12" w:space="0" w:color="auto"/>
              <w:bottom w:val="single" w:sz="6" w:space="0" w:color="auto"/>
            </w:tcBorders>
            <w:shd w:val="clear" w:color="auto" w:fill="auto"/>
          </w:tcPr>
          <w:p w:rsidR="0080222D" w:rsidRPr="00BD574A" w:rsidRDefault="0080222D" w:rsidP="00F136B1">
            <w:pPr>
              <w:pStyle w:val="TableHeading"/>
            </w:pPr>
            <w:r w:rsidRPr="00BD574A">
              <w:lastRenderedPageBreak/>
              <w:t>Maximum Government co</w:t>
            </w:r>
            <w:r w:rsidR="00BD574A">
              <w:noBreakHyphen/>
            </w:r>
            <w:r w:rsidRPr="00BD574A">
              <w:t>contribution</w:t>
            </w:r>
          </w:p>
        </w:tc>
      </w:tr>
      <w:tr w:rsidR="0080222D" w:rsidRPr="00BD574A" w:rsidTr="00F136B1">
        <w:trPr>
          <w:tblHeader/>
        </w:trPr>
        <w:tc>
          <w:tcPr>
            <w:tcW w:w="709" w:type="dxa"/>
            <w:tcBorders>
              <w:top w:val="single" w:sz="6" w:space="0" w:color="auto"/>
              <w:bottom w:val="single" w:sz="12" w:space="0" w:color="auto"/>
            </w:tcBorders>
            <w:shd w:val="clear" w:color="auto" w:fill="auto"/>
          </w:tcPr>
          <w:p w:rsidR="0080222D" w:rsidRPr="00BD574A" w:rsidRDefault="0080222D" w:rsidP="0080222D">
            <w:pPr>
              <w:pStyle w:val="Tabletext"/>
              <w:keepNext/>
              <w:rPr>
                <w:b/>
              </w:rPr>
            </w:pPr>
            <w:r w:rsidRPr="00BD574A">
              <w:rPr>
                <w:b/>
              </w:rPr>
              <w:t>Item</w:t>
            </w:r>
          </w:p>
        </w:tc>
        <w:tc>
          <w:tcPr>
            <w:tcW w:w="2693" w:type="dxa"/>
            <w:tcBorders>
              <w:top w:val="single" w:sz="6" w:space="0" w:color="auto"/>
              <w:bottom w:val="single" w:sz="12" w:space="0" w:color="auto"/>
            </w:tcBorders>
            <w:shd w:val="clear" w:color="auto" w:fill="auto"/>
          </w:tcPr>
          <w:p w:rsidR="0080222D" w:rsidRPr="00BD574A" w:rsidRDefault="0080222D" w:rsidP="0080222D">
            <w:pPr>
              <w:pStyle w:val="Tabletext"/>
              <w:keepNext/>
              <w:rPr>
                <w:b/>
              </w:rPr>
            </w:pPr>
            <w:r w:rsidRPr="00BD574A">
              <w:rPr>
                <w:b/>
              </w:rPr>
              <w:t>Person’s total income for the income year</w:t>
            </w:r>
          </w:p>
        </w:tc>
        <w:tc>
          <w:tcPr>
            <w:tcW w:w="2977" w:type="dxa"/>
            <w:tcBorders>
              <w:top w:val="single" w:sz="6" w:space="0" w:color="auto"/>
              <w:bottom w:val="single" w:sz="12" w:space="0" w:color="auto"/>
            </w:tcBorders>
            <w:shd w:val="clear" w:color="auto" w:fill="auto"/>
          </w:tcPr>
          <w:p w:rsidR="0080222D" w:rsidRPr="00BD574A" w:rsidRDefault="0080222D" w:rsidP="0080222D">
            <w:pPr>
              <w:pStyle w:val="Tabletext"/>
              <w:keepNext/>
              <w:rPr>
                <w:b/>
              </w:rPr>
            </w:pPr>
            <w:r w:rsidRPr="00BD574A">
              <w:rPr>
                <w:b/>
              </w:rPr>
              <w:t>Maximum amount</w:t>
            </w:r>
          </w:p>
        </w:tc>
      </w:tr>
      <w:tr w:rsidR="0080222D" w:rsidRPr="00BD574A" w:rsidTr="004A48C9">
        <w:trPr>
          <w:cantSplit/>
        </w:trPr>
        <w:tc>
          <w:tcPr>
            <w:tcW w:w="709" w:type="dxa"/>
            <w:tcBorders>
              <w:top w:val="single" w:sz="12" w:space="0" w:color="auto"/>
              <w:bottom w:val="single" w:sz="4" w:space="0" w:color="auto"/>
            </w:tcBorders>
            <w:shd w:val="clear" w:color="auto" w:fill="auto"/>
          </w:tcPr>
          <w:p w:rsidR="0080222D" w:rsidRPr="00BD574A" w:rsidRDefault="0080222D" w:rsidP="0080222D">
            <w:pPr>
              <w:pStyle w:val="Tabletext"/>
            </w:pPr>
            <w:r w:rsidRPr="00BD574A">
              <w:t>1</w:t>
            </w:r>
          </w:p>
        </w:tc>
        <w:tc>
          <w:tcPr>
            <w:tcW w:w="2693" w:type="dxa"/>
            <w:tcBorders>
              <w:top w:val="single" w:sz="12" w:space="0" w:color="auto"/>
              <w:bottom w:val="single" w:sz="4" w:space="0" w:color="auto"/>
            </w:tcBorders>
            <w:shd w:val="clear" w:color="auto" w:fill="auto"/>
          </w:tcPr>
          <w:p w:rsidR="0080222D" w:rsidRPr="00BD574A" w:rsidRDefault="0080222D" w:rsidP="0080222D">
            <w:pPr>
              <w:pStyle w:val="Tabletext"/>
            </w:pPr>
            <w:r w:rsidRPr="00BD574A">
              <w:t>the lower income threshold or less</w:t>
            </w:r>
          </w:p>
        </w:tc>
        <w:tc>
          <w:tcPr>
            <w:tcW w:w="2977" w:type="dxa"/>
            <w:tcBorders>
              <w:top w:val="single" w:sz="12" w:space="0" w:color="auto"/>
              <w:bottom w:val="single" w:sz="4" w:space="0" w:color="auto"/>
            </w:tcBorders>
            <w:shd w:val="clear" w:color="auto" w:fill="auto"/>
          </w:tcPr>
          <w:p w:rsidR="0080222D" w:rsidRPr="00BD574A" w:rsidRDefault="0080222D" w:rsidP="0080222D">
            <w:pPr>
              <w:pStyle w:val="Tabletext"/>
            </w:pPr>
            <w:r w:rsidRPr="00BD574A">
              <w:t>$1,000</w:t>
            </w:r>
          </w:p>
        </w:tc>
      </w:tr>
      <w:tr w:rsidR="0080222D" w:rsidRPr="00BD574A" w:rsidTr="00F136B1">
        <w:tc>
          <w:tcPr>
            <w:tcW w:w="709" w:type="dxa"/>
            <w:tcBorders>
              <w:bottom w:val="single" w:sz="12" w:space="0" w:color="auto"/>
            </w:tcBorders>
            <w:shd w:val="clear" w:color="auto" w:fill="auto"/>
          </w:tcPr>
          <w:p w:rsidR="0080222D" w:rsidRPr="00BD574A" w:rsidRDefault="0080222D" w:rsidP="00322BA4">
            <w:pPr>
              <w:pStyle w:val="Tabletext"/>
              <w:keepNext/>
              <w:keepLines/>
            </w:pPr>
            <w:r w:rsidRPr="00BD574A">
              <w:t>2</w:t>
            </w:r>
          </w:p>
        </w:tc>
        <w:tc>
          <w:tcPr>
            <w:tcW w:w="2693" w:type="dxa"/>
            <w:tcBorders>
              <w:bottom w:val="single" w:sz="12" w:space="0" w:color="auto"/>
            </w:tcBorders>
            <w:shd w:val="clear" w:color="auto" w:fill="auto"/>
          </w:tcPr>
          <w:p w:rsidR="0080222D" w:rsidRPr="00BD574A" w:rsidRDefault="0080222D" w:rsidP="00322BA4">
            <w:pPr>
              <w:pStyle w:val="Tabletext"/>
              <w:keepNext/>
              <w:keepLines/>
            </w:pPr>
            <w:r w:rsidRPr="00BD574A">
              <w:t>more than the lower income threshold but less than the higher income threshold</w:t>
            </w:r>
          </w:p>
        </w:tc>
        <w:tc>
          <w:tcPr>
            <w:tcW w:w="2977" w:type="dxa"/>
            <w:tcBorders>
              <w:bottom w:val="single" w:sz="12" w:space="0" w:color="auto"/>
            </w:tcBorders>
            <w:shd w:val="clear" w:color="auto" w:fill="auto"/>
          </w:tcPr>
          <w:p w:rsidR="0080222D" w:rsidRPr="00BD574A" w:rsidRDefault="0080222D" w:rsidP="00322BA4">
            <w:pPr>
              <w:pStyle w:val="Tabletext"/>
              <w:keepNext/>
              <w:keepLines/>
            </w:pPr>
            <w:r w:rsidRPr="00BD574A">
              <w:t>$1,000 reduced by 8 cents for each dollar by which the person’s total income for the income year exceeds the lower income threshold</w:t>
            </w:r>
          </w:p>
        </w:tc>
      </w:tr>
    </w:tbl>
    <w:p w:rsidR="0080222D" w:rsidRPr="00BD574A" w:rsidRDefault="0080222D" w:rsidP="0080222D">
      <w:pPr>
        <w:pStyle w:val="subsection"/>
      </w:pPr>
      <w:r w:rsidRPr="00BD574A">
        <w:tab/>
        <w:t>(1A)</w:t>
      </w:r>
      <w:r w:rsidRPr="00BD574A">
        <w:tab/>
        <w:t>The amount of the Government co</w:t>
      </w:r>
      <w:r w:rsidR="00BD574A">
        <w:noBreakHyphen/>
      </w:r>
      <w:r w:rsidRPr="00BD574A">
        <w:t xml:space="preserve">contribution in respect of a person for </w:t>
      </w:r>
      <w:r w:rsidR="00834BE7" w:rsidRPr="00BD574A">
        <w:t>the 2004</w:t>
      </w:r>
      <w:r w:rsidR="00BD574A">
        <w:noBreakHyphen/>
      </w:r>
      <w:r w:rsidR="00834BE7" w:rsidRPr="00BD574A">
        <w:t>05 income year, the 2005</w:t>
      </w:r>
      <w:r w:rsidR="00BD574A">
        <w:noBreakHyphen/>
      </w:r>
      <w:r w:rsidR="00834BE7" w:rsidRPr="00BD574A">
        <w:t>06 income year, the 2006</w:t>
      </w:r>
      <w:r w:rsidR="00BD574A">
        <w:noBreakHyphen/>
      </w:r>
      <w:r w:rsidR="00834BE7" w:rsidRPr="00BD574A">
        <w:t>07 income year, the 2007</w:t>
      </w:r>
      <w:r w:rsidR="00BD574A">
        <w:noBreakHyphen/>
      </w:r>
      <w:r w:rsidR="00834BE7" w:rsidRPr="00BD574A">
        <w:t>08 income year or the 2008</w:t>
      </w:r>
      <w:r w:rsidR="00BD574A">
        <w:noBreakHyphen/>
      </w:r>
      <w:r w:rsidR="00834BE7" w:rsidRPr="00BD574A">
        <w:t>09 income year</w:t>
      </w:r>
      <w:r w:rsidRPr="00BD574A">
        <w:t xml:space="preserve"> must not exceed the maximum amount worked out using the following table:</w:t>
      </w:r>
    </w:p>
    <w:p w:rsidR="0080222D" w:rsidRPr="00BD574A" w:rsidRDefault="0080222D" w:rsidP="00F136B1">
      <w:pPr>
        <w:pStyle w:val="Tabletext"/>
      </w:pPr>
    </w:p>
    <w:tbl>
      <w:tblPr>
        <w:tblW w:w="0" w:type="auto"/>
        <w:tblInd w:w="674"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9"/>
        <w:gridCol w:w="2693"/>
        <w:gridCol w:w="2977"/>
      </w:tblGrid>
      <w:tr w:rsidR="0080222D" w:rsidRPr="00BD574A" w:rsidTr="00F136B1">
        <w:trPr>
          <w:tblHeader/>
        </w:trPr>
        <w:tc>
          <w:tcPr>
            <w:tcW w:w="6379" w:type="dxa"/>
            <w:gridSpan w:val="3"/>
            <w:tcBorders>
              <w:top w:val="single" w:sz="12" w:space="0" w:color="auto"/>
              <w:bottom w:val="single" w:sz="6" w:space="0" w:color="auto"/>
            </w:tcBorders>
            <w:shd w:val="clear" w:color="auto" w:fill="auto"/>
          </w:tcPr>
          <w:p w:rsidR="0080222D" w:rsidRPr="00BD574A" w:rsidRDefault="0080222D" w:rsidP="00F136B1">
            <w:pPr>
              <w:pStyle w:val="TableHeading"/>
            </w:pPr>
            <w:r w:rsidRPr="00BD574A">
              <w:t>Maximum Government co</w:t>
            </w:r>
            <w:r w:rsidR="00BD574A">
              <w:noBreakHyphen/>
            </w:r>
            <w:r w:rsidRPr="00BD574A">
              <w:t>contribution</w:t>
            </w:r>
          </w:p>
        </w:tc>
      </w:tr>
      <w:tr w:rsidR="0080222D" w:rsidRPr="00BD574A" w:rsidTr="00F136B1">
        <w:trPr>
          <w:tblHeader/>
        </w:trPr>
        <w:tc>
          <w:tcPr>
            <w:tcW w:w="709" w:type="dxa"/>
            <w:tcBorders>
              <w:top w:val="single" w:sz="6" w:space="0" w:color="auto"/>
              <w:bottom w:val="single" w:sz="12" w:space="0" w:color="auto"/>
            </w:tcBorders>
            <w:shd w:val="clear" w:color="auto" w:fill="auto"/>
          </w:tcPr>
          <w:p w:rsidR="0080222D" w:rsidRPr="00BD574A" w:rsidRDefault="0080222D" w:rsidP="0080222D">
            <w:pPr>
              <w:pStyle w:val="Tabletext"/>
              <w:keepNext/>
              <w:rPr>
                <w:b/>
              </w:rPr>
            </w:pPr>
            <w:r w:rsidRPr="00BD574A">
              <w:rPr>
                <w:b/>
              </w:rPr>
              <w:t>Item</w:t>
            </w:r>
          </w:p>
        </w:tc>
        <w:tc>
          <w:tcPr>
            <w:tcW w:w="2693" w:type="dxa"/>
            <w:tcBorders>
              <w:top w:val="single" w:sz="6" w:space="0" w:color="auto"/>
              <w:bottom w:val="single" w:sz="12" w:space="0" w:color="auto"/>
            </w:tcBorders>
            <w:shd w:val="clear" w:color="auto" w:fill="auto"/>
          </w:tcPr>
          <w:p w:rsidR="0080222D" w:rsidRPr="00BD574A" w:rsidRDefault="0080222D" w:rsidP="0080222D">
            <w:pPr>
              <w:pStyle w:val="Tabletext"/>
              <w:keepNext/>
              <w:rPr>
                <w:b/>
              </w:rPr>
            </w:pPr>
            <w:r w:rsidRPr="00BD574A">
              <w:rPr>
                <w:b/>
              </w:rPr>
              <w:t>Person’s total income for the income year</w:t>
            </w:r>
          </w:p>
        </w:tc>
        <w:tc>
          <w:tcPr>
            <w:tcW w:w="2977" w:type="dxa"/>
            <w:tcBorders>
              <w:top w:val="single" w:sz="6" w:space="0" w:color="auto"/>
              <w:bottom w:val="single" w:sz="12" w:space="0" w:color="auto"/>
            </w:tcBorders>
            <w:shd w:val="clear" w:color="auto" w:fill="auto"/>
          </w:tcPr>
          <w:p w:rsidR="0080222D" w:rsidRPr="00BD574A" w:rsidRDefault="0080222D" w:rsidP="0080222D">
            <w:pPr>
              <w:pStyle w:val="Tabletext"/>
              <w:keepNext/>
              <w:rPr>
                <w:b/>
              </w:rPr>
            </w:pPr>
            <w:r w:rsidRPr="00BD574A">
              <w:rPr>
                <w:b/>
              </w:rPr>
              <w:t>Maximum amount</w:t>
            </w:r>
          </w:p>
        </w:tc>
      </w:tr>
      <w:tr w:rsidR="0080222D" w:rsidRPr="00BD574A" w:rsidTr="00F136B1">
        <w:tc>
          <w:tcPr>
            <w:tcW w:w="709" w:type="dxa"/>
            <w:tcBorders>
              <w:top w:val="single" w:sz="12" w:space="0" w:color="auto"/>
              <w:bottom w:val="single" w:sz="4" w:space="0" w:color="auto"/>
            </w:tcBorders>
            <w:shd w:val="clear" w:color="auto" w:fill="auto"/>
          </w:tcPr>
          <w:p w:rsidR="0080222D" w:rsidRPr="00BD574A" w:rsidRDefault="0080222D" w:rsidP="0080222D">
            <w:pPr>
              <w:pStyle w:val="Tabletext"/>
            </w:pPr>
            <w:r w:rsidRPr="00BD574A">
              <w:t>1</w:t>
            </w:r>
          </w:p>
        </w:tc>
        <w:tc>
          <w:tcPr>
            <w:tcW w:w="2693" w:type="dxa"/>
            <w:tcBorders>
              <w:top w:val="single" w:sz="12" w:space="0" w:color="auto"/>
              <w:bottom w:val="single" w:sz="4" w:space="0" w:color="auto"/>
            </w:tcBorders>
            <w:shd w:val="clear" w:color="auto" w:fill="auto"/>
          </w:tcPr>
          <w:p w:rsidR="0080222D" w:rsidRPr="00BD574A" w:rsidRDefault="0080222D" w:rsidP="0080222D">
            <w:pPr>
              <w:pStyle w:val="Tabletext"/>
            </w:pPr>
            <w:r w:rsidRPr="00BD574A">
              <w:t>the lower income threshold or less</w:t>
            </w:r>
          </w:p>
        </w:tc>
        <w:tc>
          <w:tcPr>
            <w:tcW w:w="2977" w:type="dxa"/>
            <w:tcBorders>
              <w:top w:val="single" w:sz="12" w:space="0" w:color="auto"/>
              <w:bottom w:val="single" w:sz="4" w:space="0" w:color="auto"/>
            </w:tcBorders>
            <w:shd w:val="clear" w:color="auto" w:fill="auto"/>
          </w:tcPr>
          <w:p w:rsidR="0080222D" w:rsidRPr="00BD574A" w:rsidRDefault="0080222D" w:rsidP="0080222D">
            <w:pPr>
              <w:pStyle w:val="Tabletext"/>
            </w:pPr>
            <w:r w:rsidRPr="00BD574A">
              <w:t>$1,500</w:t>
            </w:r>
          </w:p>
        </w:tc>
      </w:tr>
      <w:tr w:rsidR="0080222D" w:rsidRPr="00BD574A" w:rsidTr="00F136B1">
        <w:tc>
          <w:tcPr>
            <w:tcW w:w="709" w:type="dxa"/>
            <w:tcBorders>
              <w:bottom w:val="single" w:sz="12" w:space="0" w:color="auto"/>
            </w:tcBorders>
            <w:shd w:val="clear" w:color="auto" w:fill="auto"/>
          </w:tcPr>
          <w:p w:rsidR="0080222D" w:rsidRPr="00BD574A" w:rsidRDefault="0080222D" w:rsidP="0080222D">
            <w:pPr>
              <w:pStyle w:val="Tabletext"/>
            </w:pPr>
            <w:r w:rsidRPr="00BD574A">
              <w:t>2</w:t>
            </w:r>
          </w:p>
        </w:tc>
        <w:tc>
          <w:tcPr>
            <w:tcW w:w="2693" w:type="dxa"/>
            <w:tcBorders>
              <w:bottom w:val="single" w:sz="12" w:space="0" w:color="auto"/>
            </w:tcBorders>
            <w:shd w:val="clear" w:color="auto" w:fill="auto"/>
          </w:tcPr>
          <w:p w:rsidR="0080222D" w:rsidRPr="00BD574A" w:rsidRDefault="0080222D" w:rsidP="0080222D">
            <w:pPr>
              <w:pStyle w:val="Tabletext"/>
            </w:pPr>
            <w:r w:rsidRPr="00BD574A">
              <w:t>more than the lower income threshold but less than the higher income threshold</w:t>
            </w:r>
          </w:p>
        </w:tc>
        <w:tc>
          <w:tcPr>
            <w:tcW w:w="2977" w:type="dxa"/>
            <w:tcBorders>
              <w:bottom w:val="single" w:sz="12" w:space="0" w:color="auto"/>
            </w:tcBorders>
            <w:shd w:val="clear" w:color="auto" w:fill="auto"/>
          </w:tcPr>
          <w:p w:rsidR="0080222D" w:rsidRPr="00BD574A" w:rsidRDefault="0080222D" w:rsidP="0080222D">
            <w:pPr>
              <w:pStyle w:val="Tabletext"/>
            </w:pPr>
            <w:r w:rsidRPr="00BD574A">
              <w:t>$1,500 reduced by 5 cents for each dollar by which the person’s total income for the income year exceeds the lower income threshold</w:t>
            </w:r>
          </w:p>
        </w:tc>
      </w:tr>
    </w:tbl>
    <w:p w:rsidR="00F31542" w:rsidRPr="00BD574A" w:rsidRDefault="00F31542" w:rsidP="00F31542">
      <w:pPr>
        <w:pStyle w:val="subsection"/>
      </w:pPr>
      <w:r w:rsidRPr="00BD574A">
        <w:tab/>
        <w:t>(1B)</w:t>
      </w:r>
      <w:r w:rsidRPr="00BD574A">
        <w:tab/>
        <w:t>The amount of the Government co</w:t>
      </w:r>
      <w:r w:rsidR="00BD574A">
        <w:noBreakHyphen/>
      </w:r>
      <w:r w:rsidRPr="00BD574A">
        <w:t xml:space="preserve">contribution in respect of a person for the </w:t>
      </w:r>
      <w:r w:rsidR="00941670" w:rsidRPr="00BD574A">
        <w:t>2009</w:t>
      </w:r>
      <w:r w:rsidR="00BD574A">
        <w:noBreakHyphen/>
      </w:r>
      <w:r w:rsidR="00941670" w:rsidRPr="00BD574A">
        <w:t>10 income year, 2010</w:t>
      </w:r>
      <w:r w:rsidR="00BD574A">
        <w:noBreakHyphen/>
      </w:r>
      <w:r w:rsidR="00941670" w:rsidRPr="00BD574A">
        <w:t>11 income year or 2011</w:t>
      </w:r>
      <w:r w:rsidR="00BD574A">
        <w:noBreakHyphen/>
      </w:r>
      <w:r w:rsidR="00941670" w:rsidRPr="00BD574A">
        <w:t>12 income year</w:t>
      </w:r>
      <w:r w:rsidRPr="00BD574A">
        <w:t xml:space="preserve"> must not exceed the maximum amount worked out using the following table:</w:t>
      </w:r>
    </w:p>
    <w:p w:rsidR="00F31542" w:rsidRPr="00BD574A" w:rsidRDefault="00F31542" w:rsidP="00F136B1">
      <w:pPr>
        <w:pStyle w:val="Tabletext"/>
      </w:pPr>
    </w:p>
    <w:tbl>
      <w:tblPr>
        <w:tblW w:w="0" w:type="auto"/>
        <w:tblInd w:w="674"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9"/>
        <w:gridCol w:w="2693"/>
        <w:gridCol w:w="2977"/>
      </w:tblGrid>
      <w:tr w:rsidR="00F31542" w:rsidRPr="00BD574A" w:rsidTr="00F136B1">
        <w:trPr>
          <w:tblHeader/>
        </w:trPr>
        <w:tc>
          <w:tcPr>
            <w:tcW w:w="6379" w:type="dxa"/>
            <w:gridSpan w:val="3"/>
            <w:tcBorders>
              <w:top w:val="single" w:sz="12" w:space="0" w:color="auto"/>
              <w:bottom w:val="single" w:sz="6" w:space="0" w:color="auto"/>
            </w:tcBorders>
            <w:shd w:val="clear" w:color="auto" w:fill="auto"/>
          </w:tcPr>
          <w:p w:rsidR="00F31542" w:rsidRPr="00BD574A" w:rsidRDefault="00F31542" w:rsidP="00F136B1">
            <w:pPr>
              <w:pStyle w:val="TableHeading"/>
            </w:pPr>
            <w:r w:rsidRPr="00BD574A">
              <w:lastRenderedPageBreak/>
              <w:t>Maximum Government co</w:t>
            </w:r>
            <w:r w:rsidR="00BD574A">
              <w:noBreakHyphen/>
            </w:r>
            <w:r w:rsidRPr="00BD574A">
              <w:t>contribution</w:t>
            </w:r>
          </w:p>
        </w:tc>
      </w:tr>
      <w:tr w:rsidR="00F31542" w:rsidRPr="00BD574A" w:rsidTr="00F136B1">
        <w:trPr>
          <w:tblHeader/>
        </w:trPr>
        <w:tc>
          <w:tcPr>
            <w:tcW w:w="709" w:type="dxa"/>
            <w:tcBorders>
              <w:top w:val="single" w:sz="6" w:space="0" w:color="auto"/>
              <w:bottom w:val="single" w:sz="12" w:space="0" w:color="auto"/>
            </w:tcBorders>
            <w:shd w:val="clear" w:color="auto" w:fill="auto"/>
          </w:tcPr>
          <w:p w:rsidR="00F31542" w:rsidRPr="00BD574A" w:rsidRDefault="00F31542" w:rsidP="005F0FC8">
            <w:pPr>
              <w:pStyle w:val="Tabletext"/>
              <w:keepNext/>
              <w:rPr>
                <w:b/>
              </w:rPr>
            </w:pPr>
            <w:r w:rsidRPr="00BD574A">
              <w:rPr>
                <w:b/>
              </w:rPr>
              <w:t>Item</w:t>
            </w:r>
          </w:p>
        </w:tc>
        <w:tc>
          <w:tcPr>
            <w:tcW w:w="2693" w:type="dxa"/>
            <w:tcBorders>
              <w:top w:val="single" w:sz="6" w:space="0" w:color="auto"/>
              <w:bottom w:val="single" w:sz="12" w:space="0" w:color="auto"/>
            </w:tcBorders>
            <w:shd w:val="clear" w:color="auto" w:fill="auto"/>
          </w:tcPr>
          <w:p w:rsidR="00F31542" w:rsidRPr="00BD574A" w:rsidRDefault="00F31542" w:rsidP="005F0FC8">
            <w:pPr>
              <w:pStyle w:val="Tabletext"/>
              <w:keepNext/>
              <w:rPr>
                <w:b/>
              </w:rPr>
            </w:pPr>
            <w:r w:rsidRPr="00BD574A">
              <w:rPr>
                <w:b/>
              </w:rPr>
              <w:t>Person’s total income for the income year</w:t>
            </w:r>
          </w:p>
        </w:tc>
        <w:tc>
          <w:tcPr>
            <w:tcW w:w="2977" w:type="dxa"/>
            <w:tcBorders>
              <w:top w:val="single" w:sz="6" w:space="0" w:color="auto"/>
              <w:bottom w:val="single" w:sz="12" w:space="0" w:color="auto"/>
            </w:tcBorders>
            <w:shd w:val="clear" w:color="auto" w:fill="auto"/>
          </w:tcPr>
          <w:p w:rsidR="00F31542" w:rsidRPr="00BD574A" w:rsidRDefault="00F31542" w:rsidP="005F0FC8">
            <w:pPr>
              <w:pStyle w:val="Tabletext"/>
              <w:keepNext/>
              <w:rPr>
                <w:b/>
              </w:rPr>
            </w:pPr>
            <w:r w:rsidRPr="00BD574A">
              <w:rPr>
                <w:b/>
              </w:rPr>
              <w:t>Maximum amount</w:t>
            </w:r>
          </w:p>
        </w:tc>
      </w:tr>
      <w:tr w:rsidR="00F31542" w:rsidRPr="00BD574A" w:rsidTr="004A48C9">
        <w:trPr>
          <w:cantSplit/>
        </w:trPr>
        <w:tc>
          <w:tcPr>
            <w:tcW w:w="709" w:type="dxa"/>
            <w:tcBorders>
              <w:top w:val="single" w:sz="12" w:space="0" w:color="auto"/>
              <w:bottom w:val="single" w:sz="4" w:space="0" w:color="auto"/>
            </w:tcBorders>
            <w:shd w:val="clear" w:color="auto" w:fill="auto"/>
          </w:tcPr>
          <w:p w:rsidR="00F31542" w:rsidRPr="00BD574A" w:rsidRDefault="00F31542" w:rsidP="005F0FC8">
            <w:pPr>
              <w:pStyle w:val="Tabletext"/>
            </w:pPr>
            <w:r w:rsidRPr="00BD574A">
              <w:t>1</w:t>
            </w:r>
          </w:p>
        </w:tc>
        <w:tc>
          <w:tcPr>
            <w:tcW w:w="2693" w:type="dxa"/>
            <w:tcBorders>
              <w:top w:val="single" w:sz="12" w:space="0" w:color="auto"/>
              <w:bottom w:val="single" w:sz="4" w:space="0" w:color="auto"/>
            </w:tcBorders>
            <w:shd w:val="clear" w:color="auto" w:fill="auto"/>
          </w:tcPr>
          <w:p w:rsidR="00F31542" w:rsidRPr="00BD574A" w:rsidRDefault="00F31542" w:rsidP="005F0FC8">
            <w:pPr>
              <w:pStyle w:val="Tabletext"/>
            </w:pPr>
            <w:r w:rsidRPr="00BD574A">
              <w:t>the lower income threshold or less</w:t>
            </w:r>
          </w:p>
        </w:tc>
        <w:tc>
          <w:tcPr>
            <w:tcW w:w="2977" w:type="dxa"/>
            <w:tcBorders>
              <w:top w:val="single" w:sz="12" w:space="0" w:color="auto"/>
              <w:bottom w:val="single" w:sz="4" w:space="0" w:color="auto"/>
            </w:tcBorders>
            <w:shd w:val="clear" w:color="auto" w:fill="auto"/>
          </w:tcPr>
          <w:p w:rsidR="00F31542" w:rsidRPr="00BD574A" w:rsidRDefault="00F31542" w:rsidP="005F0FC8">
            <w:pPr>
              <w:pStyle w:val="Tabletext"/>
            </w:pPr>
            <w:r w:rsidRPr="00BD574A">
              <w:t>$1,000</w:t>
            </w:r>
          </w:p>
        </w:tc>
      </w:tr>
      <w:tr w:rsidR="00F31542" w:rsidRPr="00BD574A" w:rsidTr="00F136B1">
        <w:tc>
          <w:tcPr>
            <w:tcW w:w="709" w:type="dxa"/>
            <w:tcBorders>
              <w:bottom w:val="single" w:sz="12" w:space="0" w:color="auto"/>
            </w:tcBorders>
            <w:shd w:val="clear" w:color="auto" w:fill="auto"/>
          </w:tcPr>
          <w:p w:rsidR="00F31542" w:rsidRPr="00BD574A" w:rsidRDefault="00F31542" w:rsidP="005F0FC8">
            <w:pPr>
              <w:pStyle w:val="Tabletext"/>
            </w:pPr>
            <w:r w:rsidRPr="00BD574A">
              <w:t>2</w:t>
            </w:r>
          </w:p>
        </w:tc>
        <w:tc>
          <w:tcPr>
            <w:tcW w:w="2693" w:type="dxa"/>
            <w:tcBorders>
              <w:bottom w:val="single" w:sz="12" w:space="0" w:color="auto"/>
            </w:tcBorders>
            <w:shd w:val="clear" w:color="auto" w:fill="auto"/>
          </w:tcPr>
          <w:p w:rsidR="00F31542" w:rsidRPr="00BD574A" w:rsidRDefault="00F31542" w:rsidP="005F0FC8">
            <w:pPr>
              <w:pStyle w:val="Tabletext"/>
            </w:pPr>
            <w:r w:rsidRPr="00BD574A">
              <w:t>more than the lower income threshold but less than the higher income threshold</w:t>
            </w:r>
          </w:p>
        </w:tc>
        <w:tc>
          <w:tcPr>
            <w:tcW w:w="2977" w:type="dxa"/>
            <w:tcBorders>
              <w:bottom w:val="single" w:sz="12" w:space="0" w:color="auto"/>
            </w:tcBorders>
            <w:shd w:val="clear" w:color="auto" w:fill="auto"/>
          </w:tcPr>
          <w:p w:rsidR="00F31542" w:rsidRPr="00BD574A" w:rsidRDefault="00F31542" w:rsidP="005F0FC8">
            <w:pPr>
              <w:pStyle w:val="Tabletext"/>
            </w:pPr>
            <w:r w:rsidRPr="00BD574A">
              <w:t>$1,000 reduced by 3.333 cents for each dollar by which the person’s total income for the income year exceeds the lower income threshold</w:t>
            </w:r>
          </w:p>
        </w:tc>
      </w:tr>
    </w:tbl>
    <w:p w:rsidR="00941670" w:rsidRPr="00BD574A" w:rsidRDefault="00941670" w:rsidP="00002474">
      <w:pPr>
        <w:pStyle w:val="subsection"/>
      </w:pPr>
      <w:r w:rsidRPr="00BD574A">
        <w:tab/>
        <w:t>(1C)</w:t>
      </w:r>
      <w:r w:rsidRPr="00BD574A">
        <w:tab/>
        <w:t>The amount of the Government co</w:t>
      </w:r>
      <w:r w:rsidR="00BD574A">
        <w:noBreakHyphen/>
      </w:r>
      <w:r w:rsidRPr="00BD574A">
        <w:t>contribution in respect of a person for the 2012</w:t>
      </w:r>
      <w:r w:rsidR="00BD574A">
        <w:noBreakHyphen/>
      </w:r>
      <w:r w:rsidRPr="00BD574A">
        <w:t>13 income year or a later income year must not exceed the maximum amount worked out using the following table:</w:t>
      </w:r>
    </w:p>
    <w:p w:rsidR="00941670" w:rsidRPr="00BD574A" w:rsidRDefault="00941670" w:rsidP="00002474">
      <w:pPr>
        <w:pStyle w:val="Tabletext"/>
      </w:pPr>
    </w:p>
    <w:tbl>
      <w:tblPr>
        <w:tblW w:w="0" w:type="auto"/>
        <w:tblInd w:w="674" w:type="dxa"/>
        <w:tblLayout w:type="fixed"/>
        <w:tblCellMar>
          <w:left w:w="107" w:type="dxa"/>
          <w:right w:w="107" w:type="dxa"/>
        </w:tblCellMar>
        <w:tblLook w:val="0000" w:firstRow="0" w:lastRow="0" w:firstColumn="0" w:lastColumn="0" w:noHBand="0" w:noVBand="0"/>
      </w:tblPr>
      <w:tblGrid>
        <w:gridCol w:w="709"/>
        <w:gridCol w:w="2693"/>
        <w:gridCol w:w="2977"/>
      </w:tblGrid>
      <w:tr w:rsidR="00941670" w:rsidRPr="00BD574A" w:rsidTr="00B37871">
        <w:trPr>
          <w:cantSplit/>
          <w:tblHeader/>
        </w:trPr>
        <w:tc>
          <w:tcPr>
            <w:tcW w:w="6379" w:type="dxa"/>
            <w:gridSpan w:val="3"/>
            <w:tcBorders>
              <w:top w:val="single" w:sz="12" w:space="0" w:color="auto"/>
              <w:bottom w:val="single" w:sz="6" w:space="0" w:color="auto"/>
            </w:tcBorders>
          </w:tcPr>
          <w:p w:rsidR="00941670" w:rsidRPr="00BD574A" w:rsidRDefault="00941670" w:rsidP="00002474">
            <w:pPr>
              <w:pStyle w:val="TableHeading"/>
            </w:pPr>
            <w:r w:rsidRPr="00BD574A">
              <w:t>Maximum Government co</w:t>
            </w:r>
            <w:r w:rsidR="00BD574A">
              <w:noBreakHyphen/>
            </w:r>
            <w:r w:rsidRPr="00BD574A">
              <w:t>contribution</w:t>
            </w:r>
          </w:p>
        </w:tc>
      </w:tr>
      <w:tr w:rsidR="00941670" w:rsidRPr="00BD574A" w:rsidTr="00B37871">
        <w:trPr>
          <w:cantSplit/>
          <w:tblHeader/>
        </w:trPr>
        <w:tc>
          <w:tcPr>
            <w:tcW w:w="709" w:type="dxa"/>
            <w:tcBorders>
              <w:top w:val="single" w:sz="6" w:space="0" w:color="auto"/>
              <w:bottom w:val="single" w:sz="12" w:space="0" w:color="auto"/>
            </w:tcBorders>
          </w:tcPr>
          <w:p w:rsidR="00941670" w:rsidRPr="00BD574A" w:rsidRDefault="00941670" w:rsidP="0034589A">
            <w:pPr>
              <w:pStyle w:val="Tabletext"/>
              <w:keepNext/>
              <w:rPr>
                <w:b/>
              </w:rPr>
            </w:pPr>
            <w:r w:rsidRPr="00BD574A">
              <w:rPr>
                <w:b/>
              </w:rPr>
              <w:t>Item</w:t>
            </w:r>
          </w:p>
        </w:tc>
        <w:tc>
          <w:tcPr>
            <w:tcW w:w="2693" w:type="dxa"/>
            <w:tcBorders>
              <w:top w:val="single" w:sz="6" w:space="0" w:color="auto"/>
              <w:bottom w:val="single" w:sz="12" w:space="0" w:color="auto"/>
            </w:tcBorders>
          </w:tcPr>
          <w:p w:rsidR="00941670" w:rsidRPr="00BD574A" w:rsidRDefault="00941670" w:rsidP="0034589A">
            <w:pPr>
              <w:pStyle w:val="Tabletext"/>
              <w:keepNext/>
              <w:rPr>
                <w:b/>
              </w:rPr>
            </w:pPr>
            <w:r w:rsidRPr="00BD574A">
              <w:rPr>
                <w:b/>
              </w:rPr>
              <w:t>Person’s total income for the income year</w:t>
            </w:r>
          </w:p>
        </w:tc>
        <w:tc>
          <w:tcPr>
            <w:tcW w:w="2977" w:type="dxa"/>
            <w:tcBorders>
              <w:top w:val="single" w:sz="6" w:space="0" w:color="auto"/>
              <w:bottom w:val="single" w:sz="12" w:space="0" w:color="auto"/>
            </w:tcBorders>
          </w:tcPr>
          <w:p w:rsidR="00941670" w:rsidRPr="00BD574A" w:rsidRDefault="00941670" w:rsidP="0034589A">
            <w:pPr>
              <w:pStyle w:val="Tabletext"/>
              <w:keepNext/>
              <w:rPr>
                <w:b/>
              </w:rPr>
            </w:pPr>
            <w:r w:rsidRPr="00BD574A">
              <w:rPr>
                <w:b/>
              </w:rPr>
              <w:t>Maximum amount</w:t>
            </w:r>
          </w:p>
        </w:tc>
      </w:tr>
      <w:tr w:rsidR="00941670" w:rsidRPr="00BD574A" w:rsidTr="00B37871">
        <w:trPr>
          <w:cantSplit/>
        </w:trPr>
        <w:tc>
          <w:tcPr>
            <w:tcW w:w="709" w:type="dxa"/>
            <w:tcBorders>
              <w:top w:val="single" w:sz="12" w:space="0" w:color="auto"/>
              <w:bottom w:val="single" w:sz="2" w:space="0" w:color="auto"/>
            </w:tcBorders>
          </w:tcPr>
          <w:p w:rsidR="00941670" w:rsidRPr="00BD574A" w:rsidRDefault="00941670" w:rsidP="00002474">
            <w:pPr>
              <w:pStyle w:val="Tabletext"/>
            </w:pPr>
            <w:r w:rsidRPr="00BD574A">
              <w:t>1</w:t>
            </w:r>
          </w:p>
        </w:tc>
        <w:tc>
          <w:tcPr>
            <w:tcW w:w="2693" w:type="dxa"/>
            <w:tcBorders>
              <w:top w:val="single" w:sz="12" w:space="0" w:color="auto"/>
              <w:bottom w:val="single" w:sz="2" w:space="0" w:color="auto"/>
            </w:tcBorders>
          </w:tcPr>
          <w:p w:rsidR="00941670" w:rsidRPr="00BD574A" w:rsidRDefault="00941670" w:rsidP="00002474">
            <w:pPr>
              <w:pStyle w:val="Tabletext"/>
            </w:pPr>
            <w:r w:rsidRPr="00BD574A">
              <w:t>the lower income threshold or less</w:t>
            </w:r>
          </w:p>
        </w:tc>
        <w:tc>
          <w:tcPr>
            <w:tcW w:w="2977" w:type="dxa"/>
            <w:tcBorders>
              <w:top w:val="single" w:sz="12" w:space="0" w:color="auto"/>
              <w:bottom w:val="single" w:sz="2" w:space="0" w:color="auto"/>
            </w:tcBorders>
          </w:tcPr>
          <w:p w:rsidR="00941670" w:rsidRPr="00BD574A" w:rsidRDefault="00941670" w:rsidP="00002474">
            <w:pPr>
              <w:pStyle w:val="Tabletext"/>
            </w:pPr>
            <w:r w:rsidRPr="00BD574A">
              <w:t>$500</w:t>
            </w:r>
          </w:p>
        </w:tc>
      </w:tr>
      <w:tr w:rsidR="00941670" w:rsidRPr="00BD574A" w:rsidTr="00B37871">
        <w:trPr>
          <w:cantSplit/>
        </w:trPr>
        <w:tc>
          <w:tcPr>
            <w:tcW w:w="709" w:type="dxa"/>
            <w:tcBorders>
              <w:top w:val="single" w:sz="2" w:space="0" w:color="auto"/>
              <w:bottom w:val="single" w:sz="12" w:space="0" w:color="auto"/>
            </w:tcBorders>
          </w:tcPr>
          <w:p w:rsidR="00941670" w:rsidRPr="00BD574A" w:rsidRDefault="00941670" w:rsidP="00002474">
            <w:pPr>
              <w:pStyle w:val="Tabletext"/>
            </w:pPr>
            <w:r w:rsidRPr="00BD574A">
              <w:t>2</w:t>
            </w:r>
          </w:p>
        </w:tc>
        <w:tc>
          <w:tcPr>
            <w:tcW w:w="2693" w:type="dxa"/>
            <w:tcBorders>
              <w:top w:val="single" w:sz="2" w:space="0" w:color="auto"/>
              <w:bottom w:val="single" w:sz="12" w:space="0" w:color="auto"/>
            </w:tcBorders>
          </w:tcPr>
          <w:p w:rsidR="00941670" w:rsidRPr="00BD574A" w:rsidRDefault="00941670" w:rsidP="00002474">
            <w:pPr>
              <w:pStyle w:val="Tabletext"/>
            </w:pPr>
            <w:r w:rsidRPr="00BD574A">
              <w:t>more than the lower income threshold but less than the higher income threshold</w:t>
            </w:r>
          </w:p>
        </w:tc>
        <w:tc>
          <w:tcPr>
            <w:tcW w:w="2977" w:type="dxa"/>
            <w:tcBorders>
              <w:top w:val="single" w:sz="2" w:space="0" w:color="auto"/>
              <w:bottom w:val="single" w:sz="12" w:space="0" w:color="auto"/>
            </w:tcBorders>
          </w:tcPr>
          <w:p w:rsidR="00941670" w:rsidRPr="00BD574A" w:rsidRDefault="00941670" w:rsidP="00002474">
            <w:pPr>
              <w:pStyle w:val="Tabletext"/>
            </w:pPr>
            <w:r w:rsidRPr="00BD574A">
              <w:t>$500 reduced by 3.333 cents for each dollar by which the person’s total income for the income year exceeds the lower income threshold</w:t>
            </w:r>
          </w:p>
        </w:tc>
      </w:tr>
    </w:tbl>
    <w:p w:rsidR="0080222D" w:rsidRPr="00BD574A" w:rsidRDefault="0080222D" w:rsidP="0080222D">
      <w:pPr>
        <w:pStyle w:val="subsection"/>
      </w:pPr>
      <w:r w:rsidRPr="00BD574A">
        <w:tab/>
        <w:t>(2)</w:t>
      </w:r>
      <w:r w:rsidRPr="00BD574A">
        <w:tab/>
      </w:r>
      <w:r w:rsidR="00BD574A">
        <w:t>Subsections (</w:t>
      </w:r>
      <w:r w:rsidR="00B422D2" w:rsidRPr="00BD574A">
        <w:t>1), (1A)</w:t>
      </w:r>
      <w:r w:rsidR="00941670" w:rsidRPr="00BD574A">
        <w:t>, (1B) and (1C)</w:t>
      </w:r>
      <w:r w:rsidR="00834BE7" w:rsidRPr="00BD574A">
        <w:t xml:space="preserve"> have</w:t>
      </w:r>
      <w:r w:rsidRPr="00BD574A">
        <w:t xml:space="preserve"> effect subject to sections</w:t>
      </w:r>
      <w:r w:rsidR="00BD574A">
        <w:t> </w:t>
      </w:r>
      <w:r w:rsidRPr="00BD574A">
        <w:t>10A, 11, 12, 21, 22 and 23.</w:t>
      </w:r>
    </w:p>
    <w:p w:rsidR="0080222D" w:rsidRPr="00BD574A" w:rsidRDefault="0080222D" w:rsidP="00322BA4">
      <w:pPr>
        <w:pStyle w:val="ActHead5"/>
      </w:pPr>
      <w:bookmarkStart w:id="15" w:name="_Toc487718105"/>
      <w:r w:rsidRPr="00BD574A">
        <w:rPr>
          <w:rStyle w:val="CharSectno"/>
        </w:rPr>
        <w:t>10A</w:t>
      </w:r>
      <w:r w:rsidRPr="00BD574A">
        <w:t xml:space="preserve">  Increases in lower and higher income threshold</w:t>
      </w:r>
      <w:bookmarkEnd w:id="15"/>
    </w:p>
    <w:p w:rsidR="0080222D" w:rsidRPr="00BD574A" w:rsidRDefault="0080222D" w:rsidP="00322BA4">
      <w:pPr>
        <w:pStyle w:val="subsection"/>
        <w:keepNext/>
        <w:keepLines/>
      </w:pPr>
      <w:r w:rsidRPr="00BD574A">
        <w:tab/>
        <w:t>(1)</w:t>
      </w:r>
      <w:r w:rsidRPr="00BD574A">
        <w:tab/>
        <w:t>This section provides for:</w:t>
      </w:r>
    </w:p>
    <w:p w:rsidR="0080222D" w:rsidRPr="00BD574A" w:rsidRDefault="0080222D" w:rsidP="0080222D">
      <w:pPr>
        <w:pStyle w:val="paragraph"/>
      </w:pPr>
      <w:r w:rsidRPr="00BD574A">
        <w:tab/>
        <w:t>(a)</w:t>
      </w:r>
      <w:r w:rsidRPr="00BD574A">
        <w:tab/>
        <w:t>indexation of the lower income threshold for the 2007</w:t>
      </w:r>
      <w:r w:rsidR="00BD574A">
        <w:noBreakHyphen/>
      </w:r>
      <w:r w:rsidRPr="00BD574A">
        <w:t>08 income year and later income years</w:t>
      </w:r>
      <w:r w:rsidR="00B07A5E" w:rsidRPr="00BD574A">
        <w:t xml:space="preserve"> (apart from the 2010</w:t>
      </w:r>
      <w:r w:rsidR="00BD574A">
        <w:noBreakHyphen/>
      </w:r>
      <w:r w:rsidR="0034589A" w:rsidRPr="00BD574A">
        <w:t>11</w:t>
      </w:r>
      <w:r w:rsidR="00941670" w:rsidRPr="00BD574A">
        <w:t>, 2011</w:t>
      </w:r>
      <w:r w:rsidR="00BD574A">
        <w:noBreakHyphen/>
      </w:r>
      <w:r w:rsidR="00941670" w:rsidRPr="00BD574A">
        <w:t>12 and 2012</w:t>
      </w:r>
      <w:r w:rsidR="00BD574A">
        <w:noBreakHyphen/>
      </w:r>
      <w:r w:rsidR="00941670" w:rsidRPr="00BD574A">
        <w:t>13</w:t>
      </w:r>
      <w:r w:rsidR="00B07A5E" w:rsidRPr="00BD574A">
        <w:t xml:space="preserve"> income years)</w:t>
      </w:r>
      <w:r w:rsidRPr="00BD574A">
        <w:t>; and</w:t>
      </w:r>
    </w:p>
    <w:p w:rsidR="0080222D" w:rsidRPr="00BD574A" w:rsidRDefault="0080222D" w:rsidP="0080222D">
      <w:pPr>
        <w:pStyle w:val="paragraph"/>
      </w:pPr>
      <w:r w:rsidRPr="00BD574A">
        <w:lastRenderedPageBreak/>
        <w:tab/>
        <w:t>(b)</w:t>
      </w:r>
      <w:r w:rsidRPr="00BD574A">
        <w:tab/>
        <w:t>increases in the higher income threshold for the 2007</w:t>
      </w:r>
      <w:r w:rsidR="00BD574A">
        <w:noBreakHyphen/>
      </w:r>
      <w:r w:rsidRPr="00BD574A">
        <w:t>08 income year and each later income year</w:t>
      </w:r>
      <w:r w:rsidR="00B07A5E" w:rsidRPr="00BD574A">
        <w:t xml:space="preserve"> (apart from the 2010</w:t>
      </w:r>
      <w:r w:rsidR="00BD574A">
        <w:noBreakHyphen/>
      </w:r>
      <w:r w:rsidR="0034589A" w:rsidRPr="00BD574A">
        <w:t>11</w:t>
      </w:r>
      <w:r w:rsidR="00941670" w:rsidRPr="00BD574A">
        <w:t>, 2011</w:t>
      </w:r>
      <w:r w:rsidR="00BD574A">
        <w:noBreakHyphen/>
      </w:r>
      <w:r w:rsidR="00941670" w:rsidRPr="00BD574A">
        <w:t>12 and 2012</w:t>
      </w:r>
      <w:r w:rsidR="00BD574A">
        <w:noBreakHyphen/>
      </w:r>
      <w:r w:rsidR="00941670" w:rsidRPr="00BD574A">
        <w:t>13</w:t>
      </w:r>
      <w:r w:rsidR="00B07A5E" w:rsidRPr="00BD574A">
        <w:t xml:space="preserve"> income years)</w:t>
      </w:r>
      <w:r w:rsidRPr="00BD574A">
        <w:t xml:space="preserve"> equal to the indexation increase in the lower income threshold for that year.</w:t>
      </w:r>
    </w:p>
    <w:p w:rsidR="0080222D" w:rsidRPr="00BD574A" w:rsidRDefault="0080222D" w:rsidP="0080222D">
      <w:pPr>
        <w:pStyle w:val="subsection"/>
      </w:pPr>
      <w:r w:rsidRPr="00BD574A">
        <w:tab/>
        <w:t>(2)</w:t>
      </w:r>
      <w:r w:rsidRPr="00BD574A">
        <w:tab/>
        <w:t xml:space="preserve">The </w:t>
      </w:r>
      <w:r w:rsidRPr="00BD574A">
        <w:rPr>
          <w:b/>
          <w:i/>
        </w:rPr>
        <w:t>lower income threshold</w:t>
      </w:r>
      <w:r w:rsidRPr="00BD574A">
        <w:t xml:space="preserve"> for an income year is:</w:t>
      </w:r>
    </w:p>
    <w:p w:rsidR="0080222D" w:rsidRPr="00BD574A" w:rsidRDefault="0080222D" w:rsidP="0080222D">
      <w:pPr>
        <w:pStyle w:val="paragraph"/>
      </w:pPr>
      <w:r w:rsidRPr="00BD574A">
        <w:tab/>
        <w:t>(a)</w:t>
      </w:r>
      <w:r w:rsidRPr="00BD574A">
        <w:tab/>
        <w:t>for the 2003</w:t>
      </w:r>
      <w:r w:rsidR="00BD574A">
        <w:noBreakHyphen/>
      </w:r>
      <w:r w:rsidRPr="00BD574A">
        <w:t>04 income year—$27,500; or</w:t>
      </w:r>
    </w:p>
    <w:p w:rsidR="0080222D" w:rsidRPr="00BD574A" w:rsidRDefault="0080222D" w:rsidP="0080222D">
      <w:pPr>
        <w:pStyle w:val="paragraph"/>
      </w:pPr>
      <w:r w:rsidRPr="00BD574A">
        <w:tab/>
        <w:t>(b)</w:t>
      </w:r>
      <w:r w:rsidRPr="00BD574A">
        <w:tab/>
        <w:t>for the 2004</w:t>
      </w:r>
      <w:r w:rsidR="00BD574A">
        <w:noBreakHyphen/>
      </w:r>
      <w:r w:rsidRPr="00BD574A">
        <w:t>05 income year or a later income year before the 2007</w:t>
      </w:r>
      <w:r w:rsidR="00BD574A">
        <w:noBreakHyphen/>
      </w:r>
      <w:r w:rsidRPr="00BD574A">
        <w:t>08 income year—$28,000; or</w:t>
      </w:r>
    </w:p>
    <w:p w:rsidR="0080222D" w:rsidRPr="00BD574A" w:rsidRDefault="0080222D" w:rsidP="0080222D">
      <w:pPr>
        <w:pStyle w:val="paragraph"/>
      </w:pPr>
      <w:r w:rsidRPr="00BD574A">
        <w:tab/>
        <w:t>(c)</w:t>
      </w:r>
      <w:r w:rsidRPr="00BD574A">
        <w:tab/>
        <w:t>for the 2007</w:t>
      </w:r>
      <w:r w:rsidR="00BD574A">
        <w:noBreakHyphen/>
      </w:r>
      <w:r w:rsidRPr="00BD574A">
        <w:t>08 income year—$28,000 multiplied by the indexation factor for that income year; or</w:t>
      </w:r>
    </w:p>
    <w:p w:rsidR="0080222D" w:rsidRPr="00BD574A" w:rsidRDefault="0080222D" w:rsidP="0080222D">
      <w:pPr>
        <w:pStyle w:val="paragraph"/>
      </w:pPr>
      <w:r w:rsidRPr="00BD574A">
        <w:tab/>
        <w:t>(d)</w:t>
      </w:r>
      <w:r w:rsidRPr="00BD574A">
        <w:tab/>
        <w:t>for a later income year—the amount of the lower income threshold for the previous income year multiplied by the indexation factor for that later income year.</w:t>
      </w:r>
    </w:p>
    <w:p w:rsidR="0080222D" w:rsidRPr="00BD574A" w:rsidRDefault="0080222D" w:rsidP="0080222D">
      <w:pPr>
        <w:pStyle w:val="subsection"/>
      </w:pPr>
      <w:r w:rsidRPr="00BD574A">
        <w:tab/>
        <w:t>(3)</w:t>
      </w:r>
      <w:r w:rsidRPr="00BD574A">
        <w:tab/>
        <w:t xml:space="preserve">The </w:t>
      </w:r>
      <w:r w:rsidRPr="00BD574A">
        <w:rPr>
          <w:b/>
          <w:i/>
        </w:rPr>
        <w:t>higher income threshold</w:t>
      </w:r>
      <w:r w:rsidRPr="00BD574A">
        <w:t xml:space="preserve"> for an income year is:</w:t>
      </w:r>
    </w:p>
    <w:p w:rsidR="0080222D" w:rsidRPr="00BD574A" w:rsidRDefault="0080222D" w:rsidP="0080222D">
      <w:pPr>
        <w:pStyle w:val="paragraph"/>
      </w:pPr>
      <w:r w:rsidRPr="00BD574A">
        <w:tab/>
        <w:t>(a)</w:t>
      </w:r>
      <w:r w:rsidRPr="00BD574A">
        <w:tab/>
        <w:t>for the 2003</w:t>
      </w:r>
      <w:r w:rsidR="00BD574A">
        <w:noBreakHyphen/>
      </w:r>
      <w:r w:rsidRPr="00BD574A">
        <w:t>04 income year—$40,000; or</w:t>
      </w:r>
    </w:p>
    <w:p w:rsidR="0080222D" w:rsidRPr="00BD574A" w:rsidRDefault="0080222D" w:rsidP="0080222D">
      <w:pPr>
        <w:pStyle w:val="paragraph"/>
      </w:pPr>
      <w:r w:rsidRPr="00BD574A">
        <w:tab/>
        <w:t>(b)</w:t>
      </w:r>
      <w:r w:rsidRPr="00BD574A">
        <w:tab/>
        <w:t>for the 2004</w:t>
      </w:r>
      <w:r w:rsidR="00BD574A">
        <w:noBreakHyphen/>
      </w:r>
      <w:r w:rsidRPr="00BD574A">
        <w:t>05 income year or a later income year before the 2007</w:t>
      </w:r>
      <w:r w:rsidR="00BD574A">
        <w:noBreakHyphen/>
      </w:r>
      <w:r w:rsidRPr="00BD574A">
        <w:t>08 income year—$58,000; or</w:t>
      </w:r>
    </w:p>
    <w:p w:rsidR="0080222D" w:rsidRPr="00BD574A" w:rsidRDefault="0080222D" w:rsidP="00322BA4">
      <w:pPr>
        <w:pStyle w:val="paragraph"/>
        <w:keepNext/>
        <w:keepLines/>
      </w:pPr>
      <w:r w:rsidRPr="00BD574A">
        <w:tab/>
        <w:t>(c)</w:t>
      </w:r>
      <w:r w:rsidRPr="00BD574A">
        <w:tab/>
        <w:t xml:space="preserve">for the </w:t>
      </w:r>
      <w:r w:rsidR="00941670" w:rsidRPr="00BD574A">
        <w:t>2007</w:t>
      </w:r>
      <w:r w:rsidR="00BD574A">
        <w:noBreakHyphen/>
      </w:r>
      <w:r w:rsidR="00941670" w:rsidRPr="00BD574A">
        <w:t>08 income year or a later income year before the 2012</w:t>
      </w:r>
      <w:r w:rsidR="00BD574A">
        <w:noBreakHyphen/>
      </w:r>
      <w:r w:rsidR="00941670" w:rsidRPr="00BD574A">
        <w:t>13 income year</w:t>
      </w:r>
      <w:r w:rsidRPr="00BD574A">
        <w:t>—the sum of:</w:t>
      </w:r>
    </w:p>
    <w:p w:rsidR="0080222D" w:rsidRPr="00BD574A" w:rsidRDefault="0080222D" w:rsidP="00322BA4">
      <w:pPr>
        <w:pStyle w:val="paragraphsub"/>
        <w:keepNext/>
        <w:keepLines/>
      </w:pPr>
      <w:r w:rsidRPr="00BD574A">
        <w:tab/>
        <w:t>(i)</w:t>
      </w:r>
      <w:r w:rsidRPr="00BD574A">
        <w:tab/>
        <w:t>the lower income threshold for that income year; and</w:t>
      </w:r>
    </w:p>
    <w:p w:rsidR="00941670" w:rsidRPr="00BD574A" w:rsidRDefault="0080222D" w:rsidP="0034589A">
      <w:pPr>
        <w:pStyle w:val="paragraphsub"/>
        <w:keepNext/>
        <w:keepLines/>
      </w:pPr>
      <w:r w:rsidRPr="00BD574A">
        <w:tab/>
        <w:t>(ii)</w:t>
      </w:r>
      <w:r w:rsidRPr="00BD574A">
        <w:tab/>
        <w:t>$30,000</w:t>
      </w:r>
      <w:r w:rsidR="00941670" w:rsidRPr="00BD574A">
        <w:t>; or</w:t>
      </w:r>
    </w:p>
    <w:p w:rsidR="00941670" w:rsidRPr="00BD574A" w:rsidRDefault="00941670" w:rsidP="00941670">
      <w:pPr>
        <w:pStyle w:val="paragraph"/>
      </w:pPr>
      <w:r w:rsidRPr="00BD574A">
        <w:tab/>
        <w:t>(d)</w:t>
      </w:r>
      <w:r w:rsidRPr="00BD574A">
        <w:tab/>
        <w:t>for the 2012</w:t>
      </w:r>
      <w:r w:rsidR="00BD574A">
        <w:noBreakHyphen/>
      </w:r>
      <w:r w:rsidRPr="00BD574A">
        <w:t>13 income year or a later income year—the sum of:</w:t>
      </w:r>
    </w:p>
    <w:p w:rsidR="00941670" w:rsidRPr="00BD574A" w:rsidRDefault="00941670" w:rsidP="00002474">
      <w:pPr>
        <w:pStyle w:val="paragraphsub"/>
      </w:pPr>
      <w:r w:rsidRPr="00BD574A">
        <w:tab/>
        <w:t>(i)</w:t>
      </w:r>
      <w:r w:rsidRPr="00BD574A">
        <w:tab/>
        <w:t>the lower income threshold for that income year; and</w:t>
      </w:r>
    </w:p>
    <w:p w:rsidR="00941670" w:rsidRPr="00BD574A" w:rsidRDefault="00941670" w:rsidP="00002474">
      <w:pPr>
        <w:pStyle w:val="paragraphsub"/>
      </w:pPr>
      <w:r w:rsidRPr="00BD574A">
        <w:tab/>
        <w:t>(ii)</w:t>
      </w:r>
      <w:r w:rsidRPr="00BD574A">
        <w:tab/>
        <w:t>$15,000.</w:t>
      </w:r>
    </w:p>
    <w:p w:rsidR="0080222D" w:rsidRPr="00BD574A" w:rsidRDefault="0080222D" w:rsidP="0034589A">
      <w:pPr>
        <w:pStyle w:val="subsection"/>
      </w:pPr>
      <w:r w:rsidRPr="00BD574A">
        <w:tab/>
        <w:t>(4)</w:t>
      </w:r>
      <w:r w:rsidRPr="00BD574A">
        <w:tab/>
        <w:t>If the lower income threshold for an income year is an amount of dollars and cents:</w:t>
      </w:r>
    </w:p>
    <w:p w:rsidR="0080222D" w:rsidRPr="00BD574A" w:rsidRDefault="0080222D" w:rsidP="0080222D">
      <w:pPr>
        <w:pStyle w:val="paragraph"/>
      </w:pPr>
      <w:r w:rsidRPr="00BD574A">
        <w:tab/>
        <w:t>(a)</w:t>
      </w:r>
      <w:r w:rsidRPr="00BD574A">
        <w:tab/>
        <w:t>if the number of cents is less than 50—the lower income threshold is to be rounded down to the nearest whole dollar; or</w:t>
      </w:r>
    </w:p>
    <w:p w:rsidR="0080222D" w:rsidRPr="00BD574A" w:rsidRDefault="0080222D" w:rsidP="0080222D">
      <w:pPr>
        <w:pStyle w:val="paragraph"/>
      </w:pPr>
      <w:r w:rsidRPr="00BD574A">
        <w:tab/>
        <w:t>(b)</w:t>
      </w:r>
      <w:r w:rsidRPr="00BD574A">
        <w:tab/>
        <w:t>otherwise—the lower income threshold is to be rounded up to the nearest whole dollar.</w:t>
      </w:r>
    </w:p>
    <w:p w:rsidR="0080222D" w:rsidRPr="00BD574A" w:rsidRDefault="0080222D" w:rsidP="0080222D">
      <w:pPr>
        <w:pStyle w:val="subsection"/>
      </w:pPr>
      <w:r w:rsidRPr="00BD574A">
        <w:lastRenderedPageBreak/>
        <w:tab/>
        <w:t>(5)</w:t>
      </w:r>
      <w:r w:rsidRPr="00BD574A">
        <w:tab/>
        <w:t xml:space="preserve">The </w:t>
      </w:r>
      <w:r w:rsidRPr="00BD574A">
        <w:rPr>
          <w:b/>
          <w:i/>
        </w:rPr>
        <w:t>indexation factor</w:t>
      </w:r>
      <w:r w:rsidRPr="00BD574A">
        <w:t xml:space="preserve"> for an income year is the number calculated, to 3 decimal places, using the formula:</w:t>
      </w:r>
    </w:p>
    <w:p w:rsidR="0080222D" w:rsidRPr="00BD574A" w:rsidRDefault="00F136B1" w:rsidP="00F136B1">
      <w:pPr>
        <w:pStyle w:val="subsection"/>
        <w:spacing w:before="120" w:after="120"/>
      </w:pPr>
      <w:r w:rsidRPr="00BD574A">
        <w:tab/>
      </w:r>
      <w:r w:rsidRPr="00BD574A">
        <w:tab/>
      </w:r>
      <w:r w:rsidR="008225A7" w:rsidRPr="00BD574A">
        <w:rPr>
          <w:noProof/>
        </w:rPr>
        <w:drawing>
          <wp:inline distT="0" distB="0" distL="0" distR="0" wp14:anchorId="07B099F6" wp14:editId="1D0F2313">
            <wp:extent cx="2592070" cy="5645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92070" cy="564515"/>
                    </a:xfrm>
                    <a:prstGeom prst="rect">
                      <a:avLst/>
                    </a:prstGeom>
                    <a:noFill/>
                    <a:ln>
                      <a:noFill/>
                    </a:ln>
                  </pic:spPr>
                </pic:pic>
              </a:graphicData>
            </a:graphic>
          </wp:inline>
        </w:drawing>
      </w:r>
    </w:p>
    <w:p w:rsidR="0080222D" w:rsidRPr="00BD574A" w:rsidRDefault="0080222D" w:rsidP="0080222D">
      <w:pPr>
        <w:pStyle w:val="subsection2"/>
      </w:pPr>
      <w:r w:rsidRPr="00BD574A">
        <w:t>where:</w:t>
      </w:r>
    </w:p>
    <w:p w:rsidR="0080222D" w:rsidRPr="00BD574A" w:rsidRDefault="0080222D" w:rsidP="0080222D">
      <w:pPr>
        <w:pStyle w:val="Definition"/>
      </w:pPr>
      <w:r w:rsidRPr="00BD574A">
        <w:rPr>
          <w:b/>
          <w:i/>
        </w:rPr>
        <w:t>current year</w:t>
      </w:r>
      <w:r w:rsidRPr="00BD574A">
        <w:t xml:space="preserve"> means the period of 12 months ending on </w:t>
      </w:r>
      <w:r w:rsidR="00DE0F4A" w:rsidRPr="00BD574A">
        <w:t>31</w:t>
      </w:r>
      <w:r w:rsidR="00BD574A">
        <w:t> </w:t>
      </w:r>
      <w:r w:rsidR="00DE0F4A" w:rsidRPr="00BD574A">
        <w:t>December</w:t>
      </w:r>
      <w:r w:rsidRPr="00BD574A">
        <w:t xml:space="preserve"> immediately before the income year for which the lower income threshold is being calculated.</w:t>
      </w:r>
    </w:p>
    <w:p w:rsidR="0080222D" w:rsidRPr="00BD574A" w:rsidRDefault="0080222D" w:rsidP="0080222D">
      <w:pPr>
        <w:pStyle w:val="Definition"/>
      </w:pPr>
      <w:r w:rsidRPr="00BD574A">
        <w:rPr>
          <w:b/>
          <w:i/>
        </w:rPr>
        <w:t>index number</w:t>
      </w:r>
      <w:r w:rsidRPr="00BD574A">
        <w:t>, for a quarter, means the estimate of full</w:t>
      </w:r>
      <w:r w:rsidR="00BD574A">
        <w:noBreakHyphen/>
      </w:r>
      <w:r w:rsidRPr="00BD574A">
        <w:t>time adult average weekly ordinary time earnings for the middle month of the quarter published by the Australian Statistician.</w:t>
      </w:r>
    </w:p>
    <w:p w:rsidR="0080222D" w:rsidRPr="00BD574A" w:rsidRDefault="0080222D" w:rsidP="0080222D">
      <w:pPr>
        <w:pStyle w:val="Definition"/>
      </w:pPr>
      <w:r w:rsidRPr="00BD574A">
        <w:rPr>
          <w:b/>
          <w:i/>
        </w:rPr>
        <w:t>previous year</w:t>
      </w:r>
      <w:r w:rsidRPr="00BD574A">
        <w:t xml:space="preserve"> means the period of 12 months immediately before the current year.</w:t>
      </w:r>
    </w:p>
    <w:p w:rsidR="00B07A5E" w:rsidRPr="00BD574A" w:rsidRDefault="00B07A5E" w:rsidP="00B07A5E">
      <w:pPr>
        <w:pStyle w:val="subsection"/>
      </w:pPr>
      <w:r w:rsidRPr="00BD574A">
        <w:tab/>
        <w:t>(5A)</w:t>
      </w:r>
      <w:r w:rsidRPr="00BD574A">
        <w:tab/>
        <w:t xml:space="preserve">Despite </w:t>
      </w:r>
      <w:r w:rsidR="00BD574A">
        <w:t>subsection (</w:t>
      </w:r>
      <w:r w:rsidRPr="00BD574A">
        <w:t xml:space="preserve">5), the </w:t>
      </w:r>
      <w:r w:rsidRPr="00BD574A">
        <w:rPr>
          <w:b/>
          <w:i/>
        </w:rPr>
        <w:t>indexation factor</w:t>
      </w:r>
      <w:r w:rsidRPr="00BD574A">
        <w:t xml:space="preserve"> for the 2010</w:t>
      </w:r>
      <w:r w:rsidR="00BD574A">
        <w:noBreakHyphen/>
      </w:r>
      <w:r w:rsidR="0034589A" w:rsidRPr="00BD574A">
        <w:t>11</w:t>
      </w:r>
      <w:r w:rsidR="00941670" w:rsidRPr="00BD574A">
        <w:t>, 2011</w:t>
      </w:r>
      <w:r w:rsidR="00BD574A">
        <w:noBreakHyphen/>
      </w:r>
      <w:r w:rsidR="00941670" w:rsidRPr="00BD574A">
        <w:t>12 and 2012</w:t>
      </w:r>
      <w:r w:rsidR="00BD574A">
        <w:noBreakHyphen/>
      </w:r>
      <w:r w:rsidR="00941670" w:rsidRPr="00BD574A">
        <w:t>13</w:t>
      </w:r>
      <w:r w:rsidRPr="00BD574A">
        <w:t xml:space="preserve"> income years is 1.</w:t>
      </w:r>
    </w:p>
    <w:p w:rsidR="0080222D" w:rsidRPr="00BD574A" w:rsidRDefault="0080222D" w:rsidP="0080222D">
      <w:pPr>
        <w:pStyle w:val="subsection"/>
      </w:pPr>
      <w:r w:rsidRPr="00BD574A">
        <w:tab/>
        <w:t>(6)</w:t>
      </w:r>
      <w:r w:rsidRPr="00BD574A">
        <w:tab/>
        <w:t xml:space="preserve">If the number calculated under </w:t>
      </w:r>
      <w:r w:rsidR="00BD574A">
        <w:t>subsection (</w:t>
      </w:r>
      <w:r w:rsidRPr="00BD574A">
        <w:t>5) for a financial year would, if it were worked out to 4 decimal places, end with a number greater than 4, the number so calculated is increased by 0.001.</w:t>
      </w:r>
    </w:p>
    <w:p w:rsidR="0080222D" w:rsidRPr="00BD574A" w:rsidRDefault="0080222D" w:rsidP="00322BA4">
      <w:pPr>
        <w:pStyle w:val="subsection"/>
        <w:keepNext/>
        <w:keepLines/>
      </w:pPr>
      <w:r w:rsidRPr="00BD574A">
        <w:tab/>
        <w:t>(7)</w:t>
      </w:r>
      <w:r w:rsidRPr="00BD574A">
        <w:tab/>
        <w:t>If at any time, whether before or after the commencement of this Act, the Australian Statistician has published or publishes an index number for a quarter in substitution for an index number previously published for the quarter, the publication of the later index number is to be disregarded.</w:t>
      </w:r>
    </w:p>
    <w:p w:rsidR="0080222D" w:rsidRPr="00BD574A" w:rsidRDefault="0080222D" w:rsidP="0080222D">
      <w:pPr>
        <w:pStyle w:val="subsection"/>
      </w:pPr>
      <w:r w:rsidRPr="00BD574A">
        <w:tab/>
        <w:t>(8)</w:t>
      </w:r>
      <w:r w:rsidRPr="00BD574A">
        <w:tab/>
        <w:t>The Commissioner must publish before, or as soon as practicable after, the start of the 2007</w:t>
      </w:r>
      <w:r w:rsidR="00BD574A">
        <w:noBreakHyphen/>
      </w:r>
      <w:r w:rsidRPr="00BD574A">
        <w:t>08 income year, and before the start of each later income year, the lower income threshold and the higher income threshold for the income year.</w:t>
      </w:r>
    </w:p>
    <w:p w:rsidR="0080222D" w:rsidRPr="00BD574A" w:rsidRDefault="0080222D" w:rsidP="0080222D">
      <w:pPr>
        <w:pStyle w:val="ActHead5"/>
      </w:pPr>
      <w:bookmarkStart w:id="16" w:name="_Toc487718106"/>
      <w:r w:rsidRPr="00BD574A">
        <w:rPr>
          <w:rStyle w:val="CharSectno"/>
        </w:rPr>
        <w:lastRenderedPageBreak/>
        <w:t>11</w:t>
      </w:r>
      <w:r w:rsidRPr="00BD574A">
        <w:t xml:space="preserve">  Minimum Government co</w:t>
      </w:r>
      <w:r w:rsidR="00BD574A">
        <w:noBreakHyphen/>
      </w:r>
      <w:r w:rsidRPr="00BD574A">
        <w:t>contribution</w:t>
      </w:r>
      <w:bookmarkEnd w:id="16"/>
    </w:p>
    <w:p w:rsidR="0080222D" w:rsidRPr="00BD574A" w:rsidRDefault="0080222D" w:rsidP="0080222D">
      <w:pPr>
        <w:pStyle w:val="subsection"/>
      </w:pPr>
      <w:r w:rsidRPr="00BD574A">
        <w:tab/>
      </w:r>
      <w:r w:rsidRPr="00BD574A">
        <w:tab/>
        <w:t>If the amount of the Government co</w:t>
      </w:r>
      <w:r w:rsidR="00BD574A">
        <w:noBreakHyphen/>
      </w:r>
      <w:r w:rsidRPr="00BD574A">
        <w:t>contribution in respect of a person for an income year, as calculated under sections</w:t>
      </w:r>
      <w:r w:rsidR="00BD574A">
        <w:t> </w:t>
      </w:r>
      <w:r w:rsidRPr="00BD574A">
        <w:t>9 and 10 would be less than $20, the amount of the co</w:t>
      </w:r>
      <w:r w:rsidR="00BD574A">
        <w:noBreakHyphen/>
      </w:r>
      <w:r w:rsidRPr="00BD574A">
        <w:t>contribution is to be increased to $20.</w:t>
      </w:r>
    </w:p>
    <w:p w:rsidR="0080222D" w:rsidRPr="00BD574A" w:rsidRDefault="0080222D" w:rsidP="0080222D">
      <w:pPr>
        <w:pStyle w:val="ActHead5"/>
      </w:pPr>
      <w:bookmarkStart w:id="17" w:name="_Toc487718107"/>
      <w:r w:rsidRPr="00BD574A">
        <w:rPr>
          <w:rStyle w:val="CharSectno"/>
        </w:rPr>
        <w:t>12</w:t>
      </w:r>
      <w:r w:rsidRPr="00BD574A">
        <w:t xml:space="preserve">  Government co</w:t>
      </w:r>
      <w:r w:rsidR="00BD574A">
        <w:noBreakHyphen/>
      </w:r>
      <w:r w:rsidRPr="00BD574A">
        <w:t>contribution increased by interest amount if paid late in certain circumstances</w:t>
      </w:r>
      <w:bookmarkEnd w:id="17"/>
    </w:p>
    <w:p w:rsidR="0080222D" w:rsidRPr="00BD574A" w:rsidRDefault="0080222D" w:rsidP="0080222D">
      <w:pPr>
        <w:pStyle w:val="subsection"/>
        <w:rPr>
          <w:snapToGrid w:val="0"/>
        </w:rPr>
      </w:pPr>
      <w:r w:rsidRPr="00BD574A">
        <w:rPr>
          <w:snapToGrid w:val="0"/>
        </w:rPr>
        <w:tab/>
        <w:t>(1)</w:t>
      </w:r>
      <w:r w:rsidRPr="00BD574A">
        <w:rPr>
          <w:snapToGrid w:val="0"/>
        </w:rPr>
        <w:tab/>
        <w:t>The amount of the Government co</w:t>
      </w:r>
      <w:r w:rsidR="00BD574A">
        <w:rPr>
          <w:snapToGrid w:val="0"/>
        </w:rPr>
        <w:noBreakHyphen/>
      </w:r>
      <w:r w:rsidRPr="00BD574A">
        <w:rPr>
          <w:snapToGrid w:val="0"/>
        </w:rPr>
        <w:t xml:space="preserve">contribution in respect of a person for an income year is increased by the amount of interest worked out under </w:t>
      </w:r>
      <w:r w:rsidR="00BD574A">
        <w:rPr>
          <w:snapToGrid w:val="0"/>
        </w:rPr>
        <w:t>subsection (</w:t>
      </w:r>
      <w:r w:rsidRPr="00BD574A">
        <w:rPr>
          <w:snapToGrid w:val="0"/>
        </w:rPr>
        <w:t>2) if the Commissioner pays none of the Government co</w:t>
      </w:r>
      <w:r w:rsidR="00BD574A">
        <w:rPr>
          <w:snapToGrid w:val="0"/>
        </w:rPr>
        <w:noBreakHyphen/>
      </w:r>
      <w:r w:rsidRPr="00BD574A">
        <w:rPr>
          <w:snapToGrid w:val="0"/>
        </w:rPr>
        <w:t>contribution on or before the payment date for the co</w:t>
      </w:r>
      <w:r w:rsidR="00BD574A">
        <w:rPr>
          <w:snapToGrid w:val="0"/>
        </w:rPr>
        <w:noBreakHyphen/>
      </w:r>
      <w:r w:rsidRPr="00BD574A">
        <w:rPr>
          <w:snapToGrid w:val="0"/>
        </w:rPr>
        <w:t>contribution.</w:t>
      </w:r>
    </w:p>
    <w:p w:rsidR="0080222D" w:rsidRPr="00BD574A" w:rsidRDefault="0080222D" w:rsidP="0080222D">
      <w:pPr>
        <w:pStyle w:val="subsection"/>
      </w:pPr>
      <w:r w:rsidRPr="00BD574A">
        <w:tab/>
        <w:t>(2)</w:t>
      </w:r>
      <w:r w:rsidRPr="00BD574A">
        <w:tab/>
        <w:t>The interest is to be calculated:</w:t>
      </w:r>
    </w:p>
    <w:p w:rsidR="0080222D" w:rsidRPr="00BD574A" w:rsidRDefault="0080222D" w:rsidP="0080222D">
      <w:pPr>
        <w:pStyle w:val="paragraph"/>
        <w:rPr>
          <w:snapToGrid w:val="0"/>
        </w:rPr>
      </w:pPr>
      <w:r w:rsidRPr="00BD574A">
        <w:rPr>
          <w:snapToGrid w:val="0"/>
        </w:rPr>
        <w:tab/>
        <w:t>(a)</w:t>
      </w:r>
      <w:r w:rsidRPr="00BD574A">
        <w:rPr>
          <w:snapToGrid w:val="0"/>
        </w:rPr>
        <w:tab/>
        <w:t>on the amount of the Government co</w:t>
      </w:r>
      <w:r w:rsidR="00BD574A">
        <w:rPr>
          <w:snapToGrid w:val="0"/>
        </w:rPr>
        <w:noBreakHyphen/>
      </w:r>
      <w:r w:rsidRPr="00BD574A">
        <w:rPr>
          <w:snapToGrid w:val="0"/>
        </w:rPr>
        <w:t>contribution; and</w:t>
      </w:r>
    </w:p>
    <w:p w:rsidR="0080222D" w:rsidRPr="00BD574A" w:rsidRDefault="0080222D" w:rsidP="0080222D">
      <w:pPr>
        <w:pStyle w:val="paragraph"/>
        <w:rPr>
          <w:snapToGrid w:val="0"/>
        </w:rPr>
      </w:pPr>
      <w:r w:rsidRPr="00BD574A">
        <w:rPr>
          <w:snapToGrid w:val="0"/>
        </w:rPr>
        <w:tab/>
        <w:t>(b)</w:t>
      </w:r>
      <w:r w:rsidRPr="00BD574A">
        <w:rPr>
          <w:snapToGrid w:val="0"/>
        </w:rPr>
        <w:tab/>
        <w:t>for the period from the payment date for the Government co</w:t>
      </w:r>
      <w:r w:rsidR="00BD574A">
        <w:rPr>
          <w:snapToGrid w:val="0"/>
        </w:rPr>
        <w:noBreakHyphen/>
      </w:r>
      <w:r w:rsidRPr="00BD574A">
        <w:rPr>
          <w:snapToGrid w:val="0"/>
        </w:rPr>
        <w:t>contribution until the day on which the Commissioner first pays an amount in satisfaction of the Government co</w:t>
      </w:r>
      <w:r w:rsidR="00BD574A">
        <w:rPr>
          <w:snapToGrid w:val="0"/>
        </w:rPr>
        <w:noBreakHyphen/>
      </w:r>
      <w:r w:rsidRPr="00BD574A">
        <w:rPr>
          <w:snapToGrid w:val="0"/>
        </w:rPr>
        <w:t>contribution; and</w:t>
      </w:r>
    </w:p>
    <w:p w:rsidR="0080222D" w:rsidRPr="00BD574A" w:rsidRDefault="0080222D" w:rsidP="0080222D">
      <w:pPr>
        <w:pStyle w:val="paragraph"/>
      </w:pPr>
      <w:r w:rsidRPr="00BD574A">
        <w:tab/>
        <w:t>(c)</w:t>
      </w:r>
      <w:r w:rsidRPr="00BD574A">
        <w:tab/>
        <w:t>on a daily basis; and</w:t>
      </w:r>
    </w:p>
    <w:p w:rsidR="0080222D" w:rsidRPr="00BD574A" w:rsidRDefault="0080222D" w:rsidP="0080222D">
      <w:pPr>
        <w:pStyle w:val="paragraph"/>
      </w:pPr>
      <w:r w:rsidRPr="00BD574A">
        <w:tab/>
        <w:t>(d)</w:t>
      </w:r>
      <w:r w:rsidRPr="00BD574A">
        <w:tab/>
        <w:t>at the base interest rate for the day on which the interest is calculated.</w:t>
      </w:r>
    </w:p>
    <w:p w:rsidR="000E166C" w:rsidRPr="00BD574A" w:rsidRDefault="000E166C" w:rsidP="000E166C">
      <w:pPr>
        <w:pStyle w:val="ActHead5"/>
      </w:pPr>
      <w:bookmarkStart w:id="18" w:name="_Toc487718108"/>
      <w:r w:rsidRPr="00BD574A">
        <w:rPr>
          <w:rStyle w:val="CharSectno"/>
        </w:rPr>
        <w:t>12A</w:t>
      </w:r>
      <w:r w:rsidRPr="00BD574A">
        <w:t xml:space="preserve">  Amount of the Government co</w:t>
      </w:r>
      <w:r w:rsidR="00BD574A">
        <w:noBreakHyphen/>
      </w:r>
      <w:r w:rsidRPr="00BD574A">
        <w:t>contribution for 2005</w:t>
      </w:r>
      <w:r w:rsidR="00BD574A">
        <w:noBreakHyphen/>
      </w:r>
      <w:r w:rsidRPr="00BD574A">
        <w:t>06 income year</w:t>
      </w:r>
      <w:bookmarkEnd w:id="18"/>
    </w:p>
    <w:p w:rsidR="000E166C" w:rsidRPr="00BD574A" w:rsidRDefault="000E166C" w:rsidP="000E166C">
      <w:pPr>
        <w:pStyle w:val="subsection"/>
      </w:pPr>
      <w:r w:rsidRPr="00BD574A">
        <w:tab/>
        <w:t>(1)</w:t>
      </w:r>
      <w:r w:rsidRPr="00BD574A">
        <w:tab/>
        <w:t>This section applies for the purposes of working out the amount of the Government co</w:t>
      </w:r>
      <w:r w:rsidR="00BD574A">
        <w:noBreakHyphen/>
      </w:r>
      <w:r w:rsidRPr="00BD574A">
        <w:t>contribution in respect of a person for the 2005</w:t>
      </w:r>
      <w:r w:rsidR="00BD574A">
        <w:noBreakHyphen/>
      </w:r>
      <w:r w:rsidRPr="00BD574A">
        <w:t>06 income year.</w:t>
      </w:r>
    </w:p>
    <w:p w:rsidR="000E166C" w:rsidRPr="00BD574A" w:rsidRDefault="000E166C" w:rsidP="000E166C">
      <w:pPr>
        <w:pStyle w:val="subsection"/>
      </w:pPr>
      <w:r w:rsidRPr="00BD574A">
        <w:tab/>
        <w:t>(2)</w:t>
      </w:r>
      <w:r w:rsidRPr="00BD574A">
        <w:tab/>
        <w:t>Despite sections</w:t>
      </w:r>
      <w:r w:rsidR="00BD574A">
        <w:t> </w:t>
      </w:r>
      <w:r w:rsidRPr="00BD574A">
        <w:t>9, 10, 10A and 11, that amount is double the amount worked out under those sections in respect of the person for the 2005</w:t>
      </w:r>
      <w:r w:rsidR="00BD574A">
        <w:noBreakHyphen/>
      </w:r>
      <w:r w:rsidRPr="00BD574A">
        <w:t>06 income year.</w:t>
      </w:r>
    </w:p>
    <w:p w:rsidR="000E166C" w:rsidRPr="00BD574A" w:rsidRDefault="000E166C" w:rsidP="000E166C">
      <w:pPr>
        <w:pStyle w:val="subsection"/>
      </w:pPr>
      <w:r w:rsidRPr="00BD574A">
        <w:lastRenderedPageBreak/>
        <w:tab/>
        <w:t>(3)</w:t>
      </w:r>
      <w:r w:rsidRPr="00BD574A">
        <w:tab/>
      </w:r>
      <w:r w:rsidR="00BD574A">
        <w:t>Subsection (</w:t>
      </w:r>
      <w:r w:rsidRPr="00BD574A">
        <w:t>2) has effect subject to sections</w:t>
      </w:r>
      <w:r w:rsidR="00BD574A">
        <w:t> </w:t>
      </w:r>
      <w:r w:rsidRPr="00BD574A">
        <w:t>12, 21, 22 and 23.</w:t>
      </w:r>
    </w:p>
    <w:p w:rsidR="000E166C" w:rsidRPr="00BD574A" w:rsidRDefault="000E166C" w:rsidP="0079625D">
      <w:pPr>
        <w:pStyle w:val="subsection"/>
        <w:keepNext/>
        <w:keepLines/>
      </w:pPr>
      <w:r w:rsidRPr="00BD574A">
        <w:tab/>
        <w:t>(4)</w:t>
      </w:r>
      <w:r w:rsidRPr="00BD574A">
        <w:tab/>
        <w:t>For the purposes of working out an amount of interest under section</w:t>
      </w:r>
      <w:r w:rsidR="00BD574A">
        <w:t> </w:t>
      </w:r>
      <w:r w:rsidRPr="00BD574A">
        <w:t>12, 21 or 22 in relation to the Government co</w:t>
      </w:r>
      <w:r w:rsidR="00BD574A">
        <w:noBreakHyphen/>
      </w:r>
      <w:r w:rsidRPr="00BD574A">
        <w:t>contribution in respect of a person for the 2005</w:t>
      </w:r>
      <w:r w:rsidR="00BD574A">
        <w:noBreakHyphen/>
      </w:r>
      <w:r w:rsidRPr="00BD574A">
        <w:t>06 income year:</w:t>
      </w:r>
    </w:p>
    <w:p w:rsidR="000E166C" w:rsidRPr="00BD574A" w:rsidRDefault="000E166C" w:rsidP="000E166C">
      <w:pPr>
        <w:pStyle w:val="paragraph"/>
      </w:pPr>
      <w:r w:rsidRPr="00BD574A">
        <w:tab/>
        <w:t>(a)</w:t>
      </w:r>
      <w:r w:rsidRPr="00BD574A">
        <w:tab/>
        <w:t xml:space="preserve">disregard </w:t>
      </w:r>
      <w:r w:rsidR="00BD574A">
        <w:t>subsection (</w:t>
      </w:r>
      <w:r w:rsidRPr="00BD574A">
        <w:t>2); and</w:t>
      </w:r>
    </w:p>
    <w:p w:rsidR="000E166C" w:rsidRPr="00BD574A" w:rsidRDefault="000E166C" w:rsidP="000E166C">
      <w:pPr>
        <w:pStyle w:val="paragraph"/>
      </w:pPr>
      <w:r w:rsidRPr="00BD574A">
        <w:tab/>
        <w:t>(b)</w:t>
      </w:r>
      <w:r w:rsidRPr="00BD574A">
        <w:tab/>
        <w:t xml:space="preserve">treat an amount paid by the Commissioner as not including any amount paid by the Commissioner because of </w:t>
      </w:r>
      <w:r w:rsidR="00BD574A">
        <w:t>subsection (</w:t>
      </w:r>
      <w:r w:rsidRPr="00BD574A">
        <w:t>2).</w:t>
      </w:r>
    </w:p>
    <w:p w:rsidR="00AD0EEF" w:rsidRPr="00BD574A" w:rsidRDefault="00AD0EEF" w:rsidP="008F1A1F">
      <w:pPr>
        <w:pStyle w:val="ActHead2"/>
        <w:pageBreakBefore/>
      </w:pPr>
      <w:bookmarkStart w:id="19" w:name="_Toc487718109"/>
      <w:r w:rsidRPr="00BD574A">
        <w:rPr>
          <w:rStyle w:val="CharPartNo"/>
        </w:rPr>
        <w:lastRenderedPageBreak/>
        <w:t>Part</w:t>
      </w:r>
      <w:r w:rsidR="00BD574A" w:rsidRPr="00BD574A">
        <w:rPr>
          <w:rStyle w:val="CharPartNo"/>
        </w:rPr>
        <w:t> </w:t>
      </w:r>
      <w:r w:rsidRPr="00BD574A">
        <w:rPr>
          <w:rStyle w:val="CharPartNo"/>
        </w:rPr>
        <w:t>2A</w:t>
      </w:r>
      <w:r w:rsidRPr="00BD574A">
        <w:t>—</w:t>
      </w:r>
      <w:r w:rsidRPr="00BD574A">
        <w:rPr>
          <w:rStyle w:val="CharPartText"/>
        </w:rPr>
        <w:t>Low income superannuation tax offset</w:t>
      </w:r>
      <w:bookmarkEnd w:id="19"/>
    </w:p>
    <w:p w:rsidR="00AD0EEF" w:rsidRPr="00BD574A" w:rsidRDefault="00AD0EEF" w:rsidP="00AD0EEF">
      <w:pPr>
        <w:pStyle w:val="Header"/>
      </w:pPr>
      <w:r w:rsidRPr="00BD574A">
        <w:rPr>
          <w:rStyle w:val="CharDivNo"/>
        </w:rPr>
        <w:t xml:space="preserve"> </w:t>
      </w:r>
      <w:r w:rsidRPr="00BD574A">
        <w:rPr>
          <w:rStyle w:val="CharDivText"/>
        </w:rPr>
        <w:t xml:space="preserve"> </w:t>
      </w:r>
    </w:p>
    <w:p w:rsidR="00AD0EEF" w:rsidRPr="00BD574A" w:rsidRDefault="00AD0EEF" w:rsidP="00AD0EEF">
      <w:pPr>
        <w:pStyle w:val="ActHead5"/>
      </w:pPr>
      <w:bookmarkStart w:id="20" w:name="_Toc487718110"/>
      <w:r w:rsidRPr="00BD574A">
        <w:rPr>
          <w:rStyle w:val="CharSectno"/>
        </w:rPr>
        <w:t>12B</w:t>
      </w:r>
      <w:r w:rsidRPr="00BD574A">
        <w:t xml:space="preserve">  Reference to Government co</w:t>
      </w:r>
      <w:r w:rsidR="00BD574A">
        <w:noBreakHyphen/>
      </w:r>
      <w:r w:rsidRPr="00BD574A">
        <w:t>contribution includes reference to low income superannuation tax offset</w:t>
      </w:r>
      <w:bookmarkEnd w:id="20"/>
    </w:p>
    <w:p w:rsidR="00AD0EEF" w:rsidRPr="00BD574A" w:rsidRDefault="00AD0EEF" w:rsidP="00AD0EEF">
      <w:pPr>
        <w:pStyle w:val="subsection"/>
      </w:pPr>
      <w:r w:rsidRPr="00BD574A">
        <w:tab/>
        <w:t>(1)</w:t>
      </w:r>
      <w:r w:rsidRPr="00BD574A">
        <w:tab/>
        <w:t>A law of the Commonwealth applies in relation to a low income superannuation tax offset in the same way as it applies in relation to a Government co</w:t>
      </w:r>
      <w:r w:rsidR="00BD574A">
        <w:noBreakHyphen/>
      </w:r>
      <w:r w:rsidRPr="00BD574A">
        <w:t>contribution.</w:t>
      </w:r>
    </w:p>
    <w:p w:rsidR="00AD0EEF" w:rsidRPr="00BD574A" w:rsidRDefault="00AD0EEF" w:rsidP="00AD0EEF">
      <w:pPr>
        <w:pStyle w:val="subsection"/>
      </w:pPr>
      <w:r w:rsidRPr="00BD574A">
        <w:tab/>
        <w:t>(2)</w:t>
      </w:r>
      <w:r w:rsidRPr="00BD574A">
        <w:tab/>
      </w:r>
      <w:r w:rsidR="00BD574A">
        <w:t>Subsection (</w:t>
      </w:r>
      <w:r w:rsidRPr="00BD574A">
        <w:t>1) does not apply to:</w:t>
      </w:r>
    </w:p>
    <w:p w:rsidR="00AD0EEF" w:rsidRPr="00BD574A" w:rsidRDefault="00AD0EEF" w:rsidP="00AD0EEF">
      <w:pPr>
        <w:pStyle w:val="paragraph"/>
      </w:pPr>
      <w:r w:rsidRPr="00BD574A">
        <w:tab/>
        <w:t>(a)</w:t>
      </w:r>
      <w:r w:rsidRPr="00BD574A">
        <w:tab/>
        <w:t>the following provisions:</w:t>
      </w:r>
    </w:p>
    <w:p w:rsidR="00AD0EEF" w:rsidRPr="00BD574A" w:rsidRDefault="00AD0EEF" w:rsidP="00AD0EEF">
      <w:pPr>
        <w:pStyle w:val="paragraphsub"/>
      </w:pPr>
      <w:r w:rsidRPr="00BD574A">
        <w:tab/>
        <w:t>(i)</w:t>
      </w:r>
      <w:r w:rsidRPr="00BD574A">
        <w:tab/>
        <w:t>Part</w:t>
      </w:r>
      <w:r w:rsidR="00BD574A">
        <w:t> </w:t>
      </w:r>
      <w:r w:rsidRPr="00BD574A">
        <w:t>2 of this Act (other than section</w:t>
      </w:r>
      <w:r w:rsidR="00BD574A">
        <w:t> </w:t>
      </w:r>
      <w:r w:rsidRPr="00BD574A">
        <w:t>12);</w:t>
      </w:r>
    </w:p>
    <w:p w:rsidR="00AD0EEF" w:rsidRPr="00BD574A" w:rsidRDefault="00AD0EEF" w:rsidP="00AD0EEF">
      <w:pPr>
        <w:pStyle w:val="paragraphsub"/>
      </w:pPr>
      <w:r w:rsidRPr="00BD574A">
        <w:tab/>
        <w:t>(ii)</w:t>
      </w:r>
      <w:r w:rsidRPr="00BD574A">
        <w:tab/>
        <w:t>this Part;</w:t>
      </w:r>
    </w:p>
    <w:p w:rsidR="00AD0EEF" w:rsidRPr="00BD574A" w:rsidRDefault="00AD0EEF" w:rsidP="00AD0EEF">
      <w:pPr>
        <w:pStyle w:val="paragraphsub"/>
      </w:pPr>
      <w:r w:rsidRPr="00BD574A">
        <w:tab/>
        <w:t>(iii)</w:t>
      </w:r>
      <w:r w:rsidRPr="00BD574A">
        <w:tab/>
        <w:t>section</w:t>
      </w:r>
      <w:r w:rsidR="00BD574A">
        <w:t> </w:t>
      </w:r>
      <w:r w:rsidRPr="00BD574A">
        <w:t>23 of this Act;</w:t>
      </w:r>
    </w:p>
    <w:p w:rsidR="00AD0EEF" w:rsidRPr="00BD574A" w:rsidRDefault="00AD0EEF" w:rsidP="00AD0EEF">
      <w:pPr>
        <w:pStyle w:val="paragraphsub"/>
      </w:pPr>
      <w:r w:rsidRPr="00BD574A">
        <w:tab/>
        <w:t>(iv)</w:t>
      </w:r>
      <w:r w:rsidRPr="00BD574A">
        <w:tab/>
        <w:t>section</w:t>
      </w:r>
      <w:r w:rsidR="00BD574A">
        <w:t> </w:t>
      </w:r>
      <w:r w:rsidRPr="00BD574A">
        <w:t>54 of this Act; and</w:t>
      </w:r>
    </w:p>
    <w:p w:rsidR="00AD0EEF" w:rsidRPr="00BD574A" w:rsidRDefault="00AD0EEF" w:rsidP="00AD0EEF">
      <w:pPr>
        <w:pStyle w:val="paragraph"/>
      </w:pPr>
      <w:r w:rsidRPr="00BD574A">
        <w:tab/>
        <w:t>(b)</w:t>
      </w:r>
      <w:r w:rsidRPr="00BD574A">
        <w:tab/>
        <w:t xml:space="preserve">any other law of the Commonwealth, to the extent that the other law relates to a provision mentioned in </w:t>
      </w:r>
      <w:r w:rsidR="00BD574A">
        <w:t>paragraph (</w:t>
      </w:r>
      <w:r w:rsidRPr="00BD574A">
        <w:t>a) of this subsection.</w:t>
      </w:r>
    </w:p>
    <w:p w:rsidR="00AD0EEF" w:rsidRPr="00BD574A" w:rsidRDefault="00AD0EEF" w:rsidP="00AD0EEF">
      <w:pPr>
        <w:pStyle w:val="subsection"/>
      </w:pPr>
      <w:r w:rsidRPr="00BD574A">
        <w:tab/>
        <w:t>(3)</w:t>
      </w:r>
      <w:r w:rsidRPr="00BD574A">
        <w:tab/>
        <w:t>Paragraph 14(1)(a) (Commissioner to have regard to income tax return) does not apply in deciding whether to make a determination under section</w:t>
      </w:r>
      <w:r w:rsidR="00BD574A">
        <w:t> </w:t>
      </w:r>
      <w:r w:rsidRPr="00BD574A">
        <w:t>13 that a low income superannuation tax offset is payable under subsection</w:t>
      </w:r>
      <w:r w:rsidR="00BD574A">
        <w:t> </w:t>
      </w:r>
      <w:r w:rsidRPr="00BD574A">
        <w:t>12C(2) in respect of a person for an income year.</w:t>
      </w:r>
    </w:p>
    <w:p w:rsidR="00AD0EEF" w:rsidRPr="00BD574A" w:rsidRDefault="00AD0EEF" w:rsidP="00AD0EEF">
      <w:pPr>
        <w:pStyle w:val="subsection"/>
      </w:pPr>
      <w:r w:rsidRPr="00BD574A">
        <w:tab/>
        <w:t>(4)</w:t>
      </w:r>
      <w:r w:rsidRPr="00BD574A">
        <w:tab/>
        <w:t>Subsections</w:t>
      </w:r>
      <w:r w:rsidR="00BD574A">
        <w:t> </w:t>
      </w:r>
      <w:r w:rsidRPr="00BD574A">
        <w:t>24(3) and (4) have an operation in respect of low income superannuation tax offsets that is separate to their operation in respect of Government co</w:t>
      </w:r>
      <w:r w:rsidR="00BD574A">
        <w:noBreakHyphen/>
      </w:r>
      <w:r w:rsidRPr="00BD574A">
        <w:t>contributions.</w:t>
      </w:r>
    </w:p>
    <w:p w:rsidR="00AD0EEF" w:rsidRPr="00BD574A" w:rsidRDefault="00AD0EEF" w:rsidP="00AD0EEF">
      <w:pPr>
        <w:pStyle w:val="ActHead5"/>
      </w:pPr>
      <w:bookmarkStart w:id="21" w:name="_Toc487718111"/>
      <w:r w:rsidRPr="00BD574A">
        <w:rPr>
          <w:rStyle w:val="CharSectno"/>
        </w:rPr>
        <w:t>12C</w:t>
      </w:r>
      <w:r w:rsidRPr="00BD574A">
        <w:t xml:space="preserve">  Person entitled to low income superannuation tax offset</w:t>
      </w:r>
      <w:bookmarkEnd w:id="21"/>
    </w:p>
    <w:p w:rsidR="00AD0EEF" w:rsidRPr="00BD574A" w:rsidRDefault="00AD0EEF" w:rsidP="00AD0EEF">
      <w:pPr>
        <w:pStyle w:val="subsection"/>
      </w:pPr>
      <w:r w:rsidRPr="00BD574A">
        <w:tab/>
        <w:t>(1)</w:t>
      </w:r>
      <w:r w:rsidRPr="00BD574A">
        <w:tab/>
        <w:t>A low income superannuation tax offset is payable under this subsection in respect of a person for an income year of the person if:</w:t>
      </w:r>
    </w:p>
    <w:p w:rsidR="00AD0EEF" w:rsidRPr="00BD574A" w:rsidRDefault="00AD0EEF" w:rsidP="00AD0EEF">
      <w:pPr>
        <w:pStyle w:val="paragraph"/>
      </w:pPr>
      <w:r w:rsidRPr="00BD574A">
        <w:lastRenderedPageBreak/>
        <w:tab/>
        <w:t>(a)</w:t>
      </w:r>
      <w:r w:rsidRPr="00BD574A">
        <w:tab/>
        <w:t>the person’s concessional contributions for the financial year that corresponds to the income year are for a financial year starting on or after 1</w:t>
      </w:r>
      <w:r w:rsidR="00BD574A">
        <w:t> </w:t>
      </w:r>
      <w:r w:rsidRPr="00BD574A">
        <w:t>July 2017; and</w:t>
      </w:r>
    </w:p>
    <w:p w:rsidR="00AD0EEF" w:rsidRPr="00BD574A" w:rsidRDefault="00AD0EEF" w:rsidP="00AD0EEF">
      <w:pPr>
        <w:pStyle w:val="paragraph"/>
      </w:pPr>
      <w:r w:rsidRPr="00BD574A">
        <w:tab/>
        <w:t>(b)</w:t>
      </w:r>
      <w:r w:rsidRPr="00BD574A">
        <w:tab/>
        <w:t>the person’s adjusted taxable income for the income year (worked out in accordance with Schedule</w:t>
      </w:r>
      <w:r w:rsidR="00BD574A">
        <w:t> </w:t>
      </w:r>
      <w:r w:rsidRPr="00BD574A">
        <w:t xml:space="preserve">3 to the </w:t>
      </w:r>
      <w:r w:rsidRPr="00BD574A">
        <w:rPr>
          <w:i/>
        </w:rPr>
        <w:t xml:space="preserve">A New Tax System (Family Assistance) Act 1999 </w:t>
      </w:r>
      <w:r w:rsidRPr="00BD574A">
        <w:t>(disregarding clauses</w:t>
      </w:r>
      <w:r w:rsidR="00BD574A">
        <w:t> </w:t>
      </w:r>
      <w:r w:rsidRPr="00BD574A">
        <w:t>3 and 3A of that Schedule)) does not exceed $37,000; and</w:t>
      </w:r>
    </w:p>
    <w:p w:rsidR="00AD0EEF" w:rsidRPr="00BD574A" w:rsidRDefault="00AD0EEF" w:rsidP="00AD0EEF">
      <w:pPr>
        <w:pStyle w:val="paragraph"/>
      </w:pPr>
      <w:r w:rsidRPr="00BD574A">
        <w:tab/>
        <w:t>(c)</w:t>
      </w:r>
      <w:r w:rsidRPr="00BD574A">
        <w:tab/>
        <w:t>the requirement in paragraph</w:t>
      </w:r>
      <w:r w:rsidR="00BD574A">
        <w:t> </w:t>
      </w:r>
      <w:r w:rsidRPr="00BD574A">
        <w:t>6(1)(b) is satisfied in respect of the person in relation to the income year; and</w:t>
      </w:r>
    </w:p>
    <w:p w:rsidR="00AD0EEF" w:rsidRPr="00BD574A" w:rsidRDefault="00AD0EEF" w:rsidP="00AD0EEF">
      <w:pPr>
        <w:pStyle w:val="paragraph"/>
      </w:pPr>
      <w:r w:rsidRPr="00BD574A">
        <w:tab/>
        <w:t>(d)</w:t>
      </w:r>
      <w:r w:rsidRPr="00BD574A">
        <w:tab/>
        <w:t>the requirement in paragraph</w:t>
      </w:r>
      <w:r w:rsidR="00BD574A">
        <w:t> </w:t>
      </w:r>
      <w:r w:rsidRPr="00BD574A">
        <w:t>6(1)(f) is satisfied in respect of the person in relation to the income year.</w:t>
      </w:r>
    </w:p>
    <w:p w:rsidR="00AD0EEF" w:rsidRPr="00BD574A" w:rsidRDefault="00AD0EEF" w:rsidP="00AD0EEF">
      <w:pPr>
        <w:pStyle w:val="subsection"/>
      </w:pPr>
      <w:r w:rsidRPr="00BD574A">
        <w:tab/>
        <w:t>(2)</w:t>
      </w:r>
      <w:r w:rsidRPr="00BD574A">
        <w:tab/>
        <w:t>A low income superannuation tax offset is payable under this subsection in respect of a person for an income year of the person if:</w:t>
      </w:r>
    </w:p>
    <w:p w:rsidR="00AD0EEF" w:rsidRPr="00BD574A" w:rsidRDefault="00AD0EEF" w:rsidP="00AD0EEF">
      <w:pPr>
        <w:pStyle w:val="paragraph"/>
      </w:pPr>
      <w:r w:rsidRPr="00BD574A">
        <w:tab/>
        <w:t>(a)</w:t>
      </w:r>
      <w:r w:rsidRPr="00BD574A">
        <w:tab/>
        <w:t>the person’s concessional contributions for the financial year that corresponds to the income year are for a financial year starting on or after 1</w:t>
      </w:r>
      <w:r w:rsidR="00BD574A">
        <w:t> </w:t>
      </w:r>
      <w:r w:rsidRPr="00BD574A">
        <w:t>July 2017; and</w:t>
      </w:r>
    </w:p>
    <w:p w:rsidR="00AD0EEF" w:rsidRPr="00BD574A" w:rsidRDefault="00AD0EEF" w:rsidP="00AD0EEF">
      <w:pPr>
        <w:pStyle w:val="paragraph"/>
      </w:pPr>
      <w:r w:rsidRPr="00BD574A">
        <w:tab/>
        <w:t>(b)</w:t>
      </w:r>
      <w:r w:rsidRPr="00BD574A">
        <w:tab/>
        <w:t>12 months after the end of the income year, the Commissioner reasonably believes there is insufficient information to decide whether to make a determination under section</w:t>
      </w:r>
      <w:r w:rsidR="00BD574A">
        <w:t> </w:t>
      </w:r>
      <w:r w:rsidRPr="00BD574A">
        <w:t xml:space="preserve">13 that a low income superannuation tax offset is payable under </w:t>
      </w:r>
      <w:r w:rsidR="00BD574A">
        <w:t>subsection (</w:t>
      </w:r>
      <w:r w:rsidRPr="00BD574A">
        <w:t>1) in respect of the person for the income year; and</w:t>
      </w:r>
    </w:p>
    <w:p w:rsidR="00AD0EEF" w:rsidRPr="00BD574A" w:rsidRDefault="00AD0EEF" w:rsidP="00AD0EEF">
      <w:pPr>
        <w:pStyle w:val="paragraph"/>
      </w:pPr>
      <w:r w:rsidRPr="00BD574A">
        <w:tab/>
        <w:t>(c)</w:t>
      </w:r>
      <w:r w:rsidRPr="00BD574A">
        <w:tab/>
        <w:t>the Commissioner estimates that:</w:t>
      </w:r>
    </w:p>
    <w:p w:rsidR="00AD0EEF" w:rsidRPr="00BD574A" w:rsidRDefault="00AD0EEF" w:rsidP="00AD0EEF">
      <w:pPr>
        <w:pStyle w:val="paragraphsub"/>
      </w:pPr>
      <w:r w:rsidRPr="00BD574A">
        <w:tab/>
        <w:t>(i)</w:t>
      </w:r>
      <w:r w:rsidRPr="00BD574A">
        <w:tab/>
        <w:t>the person’s adjusted taxable income for the income year (worked out in accordance with Schedule</w:t>
      </w:r>
      <w:r w:rsidR="00BD574A">
        <w:t> </w:t>
      </w:r>
      <w:r w:rsidRPr="00BD574A">
        <w:t xml:space="preserve">3 to the </w:t>
      </w:r>
      <w:r w:rsidRPr="00BD574A">
        <w:rPr>
          <w:i/>
        </w:rPr>
        <w:t>A New Tax System (Family Assistance) Act 1999</w:t>
      </w:r>
      <w:r w:rsidRPr="00BD574A">
        <w:t xml:space="preserve"> (disregarding clauses</w:t>
      </w:r>
      <w:r w:rsidR="00BD574A">
        <w:t> </w:t>
      </w:r>
      <w:r w:rsidRPr="00BD574A">
        <w:t>3 and 3A of that Schedule)) does not exceed $37,000; and</w:t>
      </w:r>
    </w:p>
    <w:p w:rsidR="00AD0EEF" w:rsidRPr="00BD574A" w:rsidRDefault="00AD0EEF" w:rsidP="00AD0EEF">
      <w:pPr>
        <w:pStyle w:val="paragraphsub"/>
      </w:pPr>
      <w:r w:rsidRPr="00BD574A">
        <w:tab/>
        <w:t>(ii)</w:t>
      </w:r>
      <w:r w:rsidRPr="00BD574A">
        <w:tab/>
        <w:t>10% or more of the person’s total income for the income year (disregarding subsections</w:t>
      </w:r>
      <w:r w:rsidR="00BD574A">
        <w:t> </w:t>
      </w:r>
      <w:r w:rsidRPr="00BD574A">
        <w:t>8(2) and (3)) is attributable to the person engaging in activities covered under subsection</w:t>
      </w:r>
      <w:r w:rsidR="00BD574A">
        <w:t> </w:t>
      </w:r>
      <w:r w:rsidRPr="00BD574A">
        <w:t>6(2); and</w:t>
      </w:r>
    </w:p>
    <w:p w:rsidR="00AD0EEF" w:rsidRPr="00BD574A" w:rsidRDefault="00AD0EEF" w:rsidP="00AD0EEF">
      <w:pPr>
        <w:pStyle w:val="paragraph"/>
      </w:pPr>
      <w:r w:rsidRPr="00BD574A">
        <w:tab/>
        <w:t>(d)</w:t>
      </w:r>
      <w:r w:rsidRPr="00BD574A">
        <w:tab/>
        <w:t>the requirement in paragraph</w:t>
      </w:r>
      <w:r w:rsidR="00BD574A">
        <w:t> </w:t>
      </w:r>
      <w:r w:rsidRPr="00BD574A">
        <w:t>6(1)(f) is satisfied in respect of the person in relation to the income year.</w:t>
      </w:r>
    </w:p>
    <w:p w:rsidR="00AD0EEF" w:rsidRPr="00BD574A" w:rsidRDefault="00AD0EEF" w:rsidP="00AD0EEF">
      <w:pPr>
        <w:pStyle w:val="subsection"/>
      </w:pPr>
      <w:r w:rsidRPr="00BD574A">
        <w:lastRenderedPageBreak/>
        <w:tab/>
        <w:t>(3)</w:t>
      </w:r>
      <w:r w:rsidRPr="00BD574A">
        <w:tab/>
        <w:t xml:space="preserve">For the purposes of </w:t>
      </w:r>
      <w:r w:rsidR="00BD574A">
        <w:t>paragraph (</w:t>
      </w:r>
      <w:r w:rsidRPr="00BD574A">
        <w:t>1)(c), disregard the words “in which the person makes the contribution” in paragraph</w:t>
      </w:r>
      <w:r w:rsidR="00BD574A">
        <w:t> </w:t>
      </w:r>
      <w:r w:rsidRPr="00BD574A">
        <w:t>6(2)(a).</w:t>
      </w:r>
    </w:p>
    <w:p w:rsidR="00AD0EEF" w:rsidRPr="00BD574A" w:rsidRDefault="00AD0EEF" w:rsidP="00AD0EEF">
      <w:pPr>
        <w:pStyle w:val="subsection"/>
      </w:pPr>
      <w:r w:rsidRPr="00BD574A">
        <w:tab/>
        <w:t>(4)</w:t>
      </w:r>
      <w:r w:rsidRPr="00BD574A">
        <w:tab/>
        <w:t xml:space="preserve">For the purposes of </w:t>
      </w:r>
      <w:r w:rsidR="00BD574A">
        <w:t>subparagraph (</w:t>
      </w:r>
      <w:r w:rsidRPr="00BD574A">
        <w:t>2)(c)(i), treat the person as having total deductions of $300 for the income year unless the Commissioner has information to the contrary.</w:t>
      </w:r>
    </w:p>
    <w:p w:rsidR="00AD0EEF" w:rsidRPr="00BD574A" w:rsidRDefault="00AD0EEF" w:rsidP="00AD0EEF">
      <w:pPr>
        <w:pStyle w:val="subsection"/>
      </w:pPr>
      <w:r w:rsidRPr="00BD574A">
        <w:tab/>
        <w:t>(5)</w:t>
      </w:r>
      <w:r w:rsidRPr="00BD574A">
        <w:tab/>
        <w:t xml:space="preserve">For the purposes of </w:t>
      </w:r>
      <w:r w:rsidR="00BD574A">
        <w:t>subparagraph (</w:t>
      </w:r>
      <w:r w:rsidRPr="00BD574A">
        <w:t>2)(c)(ii), disregard the words “in the income year in which the person makes the contribution” in paragraph</w:t>
      </w:r>
      <w:r w:rsidR="00BD574A">
        <w:t> </w:t>
      </w:r>
      <w:r w:rsidRPr="00BD574A">
        <w:t>6(2)(a).</w:t>
      </w:r>
    </w:p>
    <w:p w:rsidR="00AD0EEF" w:rsidRPr="00BD574A" w:rsidRDefault="00AD0EEF" w:rsidP="00AD0EEF">
      <w:pPr>
        <w:pStyle w:val="ActHead5"/>
      </w:pPr>
      <w:bookmarkStart w:id="22" w:name="_Toc487718112"/>
      <w:r w:rsidRPr="00BD574A">
        <w:rPr>
          <w:rStyle w:val="CharSectno"/>
        </w:rPr>
        <w:t>12E</w:t>
      </w:r>
      <w:r w:rsidRPr="00BD574A">
        <w:t xml:space="preserve">  Amount of low income superannuation tax offset</w:t>
      </w:r>
      <w:bookmarkEnd w:id="22"/>
    </w:p>
    <w:p w:rsidR="00AD0EEF" w:rsidRPr="00BD574A" w:rsidRDefault="00AD0EEF" w:rsidP="00AD0EEF">
      <w:pPr>
        <w:pStyle w:val="subsection"/>
      </w:pPr>
      <w:r w:rsidRPr="00BD574A">
        <w:tab/>
        <w:t>(1)</w:t>
      </w:r>
      <w:r w:rsidRPr="00BD574A">
        <w:tab/>
        <w:t>This section applies if a low income superannuation tax offset is payable under subsection</w:t>
      </w:r>
      <w:r w:rsidR="00BD574A">
        <w:t> </w:t>
      </w:r>
      <w:r w:rsidRPr="00BD574A">
        <w:t>12C(1) or (2) in respect of a person for an income year.</w:t>
      </w:r>
    </w:p>
    <w:p w:rsidR="00AD0EEF" w:rsidRPr="00BD574A" w:rsidRDefault="00AD0EEF" w:rsidP="00AD0EEF">
      <w:pPr>
        <w:pStyle w:val="subsection"/>
      </w:pPr>
      <w:r w:rsidRPr="00BD574A">
        <w:tab/>
        <w:t>(2)</w:t>
      </w:r>
      <w:r w:rsidRPr="00BD574A">
        <w:tab/>
        <w:t>The amount of the person’s low income superannuation tax offset for the income year is:</w:t>
      </w:r>
    </w:p>
    <w:p w:rsidR="00AD0EEF" w:rsidRPr="00BD574A" w:rsidRDefault="00AD0EEF" w:rsidP="00AD0EEF">
      <w:pPr>
        <w:pStyle w:val="paragraph"/>
      </w:pPr>
      <w:r w:rsidRPr="00BD574A">
        <w:tab/>
        <w:t>(a)</w:t>
      </w:r>
      <w:r w:rsidRPr="00BD574A">
        <w:tab/>
        <w:t xml:space="preserve">unless </w:t>
      </w:r>
      <w:r w:rsidR="00BD574A">
        <w:t>paragraph (</w:t>
      </w:r>
      <w:r w:rsidRPr="00BD574A">
        <w:t>b) or (c) applies—15% of the total of the person’s concessional contributions for the financial year that corresponds to the income year; or</w:t>
      </w:r>
    </w:p>
    <w:p w:rsidR="00AD0EEF" w:rsidRPr="00BD574A" w:rsidRDefault="00AD0EEF" w:rsidP="00AD0EEF">
      <w:pPr>
        <w:pStyle w:val="paragraph"/>
      </w:pPr>
      <w:r w:rsidRPr="00BD574A">
        <w:tab/>
        <w:t>(b)</w:t>
      </w:r>
      <w:r w:rsidRPr="00BD574A">
        <w:tab/>
        <w:t xml:space="preserve">if the amount worked out under </w:t>
      </w:r>
      <w:r w:rsidR="00BD574A">
        <w:t>paragraph (</w:t>
      </w:r>
      <w:r w:rsidRPr="00BD574A">
        <w:t>a) exceeds $500—$500; or</w:t>
      </w:r>
    </w:p>
    <w:p w:rsidR="00AD0EEF" w:rsidRPr="00BD574A" w:rsidRDefault="00AD0EEF" w:rsidP="00AD0EEF">
      <w:pPr>
        <w:pStyle w:val="paragraph"/>
      </w:pPr>
      <w:r w:rsidRPr="00BD574A">
        <w:tab/>
        <w:t>(c)</w:t>
      </w:r>
      <w:r w:rsidRPr="00BD574A">
        <w:tab/>
        <w:t xml:space="preserve">if the amount worked out under </w:t>
      </w:r>
      <w:r w:rsidR="00BD574A">
        <w:t>paragraph (</w:t>
      </w:r>
      <w:r w:rsidRPr="00BD574A">
        <w:t>a) is less than $10—$10.</w:t>
      </w:r>
    </w:p>
    <w:p w:rsidR="00AD0EEF" w:rsidRPr="00BD574A" w:rsidRDefault="00AD0EEF" w:rsidP="00AD0EEF">
      <w:pPr>
        <w:pStyle w:val="subsection"/>
      </w:pPr>
      <w:r w:rsidRPr="00BD574A">
        <w:tab/>
        <w:t>(3)</w:t>
      </w:r>
      <w:r w:rsidRPr="00BD574A">
        <w:tab/>
        <w:t xml:space="preserve">For the purposes of </w:t>
      </w:r>
      <w:r w:rsidR="00BD574A">
        <w:t>paragraph (</w:t>
      </w:r>
      <w:r w:rsidRPr="00BD574A">
        <w:t>2)(a), disregard:</w:t>
      </w:r>
    </w:p>
    <w:p w:rsidR="00AD0EEF" w:rsidRPr="00BD574A" w:rsidRDefault="00AD0EEF" w:rsidP="00AD0EEF">
      <w:pPr>
        <w:pStyle w:val="paragraph"/>
      </w:pPr>
      <w:r w:rsidRPr="00BD574A">
        <w:tab/>
        <w:t>(a)</w:t>
      </w:r>
      <w:r w:rsidRPr="00BD574A">
        <w:tab/>
        <w:t>contributions or amounts covered by paragraph</w:t>
      </w:r>
      <w:r w:rsidR="00BD574A">
        <w:t> </w:t>
      </w:r>
      <w:r w:rsidRPr="00BD574A">
        <w:t>291</w:t>
      </w:r>
      <w:r w:rsidR="00BD574A">
        <w:noBreakHyphen/>
      </w:r>
      <w:r w:rsidRPr="00BD574A">
        <w:t>370(1)(a) of the</w:t>
      </w:r>
      <w:r w:rsidRPr="00BD574A">
        <w:rPr>
          <w:i/>
        </w:rPr>
        <w:t xml:space="preserve"> Income Tax Assessment Act 1997</w:t>
      </w:r>
      <w:r w:rsidRPr="00BD574A">
        <w:t xml:space="preserve"> (about contributions or amounts in relation to constitutionally protected funds); and</w:t>
      </w:r>
    </w:p>
    <w:p w:rsidR="00AD0EEF" w:rsidRPr="00BD574A" w:rsidRDefault="00AD0EEF" w:rsidP="00AD0EEF">
      <w:pPr>
        <w:pStyle w:val="paragraph"/>
      </w:pPr>
      <w:r w:rsidRPr="00BD574A">
        <w:tab/>
        <w:t>(b)</w:t>
      </w:r>
      <w:r w:rsidRPr="00BD574A">
        <w:tab/>
        <w:t>any other amounts covered by paragraph</w:t>
      </w:r>
      <w:r w:rsidR="00BD574A">
        <w:t> </w:t>
      </w:r>
      <w:r w:rsidRPr="00BD574A">
        <w:t>291</w:t>
      </w:r>
      <w:r w:rsidR="00BD574A">
        <w:noBreakHyphen/>
      </w:r>
      <w:r w:rsidRPr="00BD574A">
        <w:t>165(1)(c) of that Act.</w:t>
      </w:r>
    </w:p>
    <w:p w:rsidR="00AD0EEF" w:rsidRPr="00BD574A" w:rsidRDefault="00AD0EEF" w:rsidP="00AD0EEF">
      <w:pPr>
        <w:pStyle w:val="subsection"/>
      </w:pPr>
      <w:r w:rsidRPr="00BD574A">
        <w:tab/>
        <w:t>(4)</w:t>
      </w:r>
      <w:r w:rsidRPr="00BD574A">
        <w:tab/>
        <w:t>If, apart from this subsection:</w:t>
      </w:r>
    </w:p>
    <w:p w:rsidR="00AD0EEF" w:rsidRPr="00BD574A" w:rsidRDefault="00AD0EEF" w:rsidP="00AD0EEF">
      <w:pPr>
        <w:pStyle w:val="paragraph"/>
      </w:pPr>
      <w:r w:rsidRPr="00BD574A">
        <w:lastRenderedPageBreak/>
        <w:tab/>
        <w:t>(a)</w:t>
      </w:r>
      <w:r w:rsidRPr="00BD574A">
        <w:tab/>
        <w:t>there would be an underpaid amount as mentioned in section</w:t>
      </w:r>
      <w:r w:rsidR="00BD574A">
        <w:t> </w:t>
      </w:r>
      <w:r w:rsidRPr="00BD574A">
        <w:t>19 in respect of the person’s low income superannuation tax offset for the income year; and</w:t>
      </w:r>
    </w:p>
    <w:p w:rsidR="00AD0EEF" w:rsidRPr="00BD574A" w:rsidRDefault="00AD0EEF" w:rsidP="00AD0EEF">
      <w:pPr>
        <w:pStyle w:val="paragraph"/>
      </w:pPr>
      <w:r w:rsidRPr="00BD574A">
        <w:tab/>
        <w:t>(b)</w:t>
      </w:r>
      <w:r w:rsidRPr="00BD574A">
        <w:tab/>
        <w:t>the underpaid amount would be less than $10;</w:t>
      </w:r>
    </w:p>
    <w:p w:rsidR="00AD0EEF" w:rsidRPr="00BD574A" w:rsidRDefault="00AD0EEF" w:rsidP="00AD0EEF">
      <w:pPr>
        <w:pStyle w:val="subsection2"/>
      </w:pPr>
      <w:r w:rsidRPr="00BD574A">
        <w:t>decrease the amount of that low income superannuation tax offset by that underpaid amount.</w:t>
      </w:r>
    </w:p>
    <w:p w:rsidR="00AD0EEF" w:rsidRPr="00BD574A" w:rsidRDefault="00AD0EEF" w:rsidP="00AD0EEF">
      <w:pPr>
        <w:pStyle w:val="subsection"/>
      </w:pPr>
      <w:r w:rsidRPr="00BD574A">
        <w:tab/>
        <w:t>(5)</w:t>
      </w:r>
      <w:r w:rsidRPr="00BD574A">
        <w:tab/>
        <w:t>If, apart from this subsection:</w:t>
      </w:r>
    </w:p>
    <w:p w:rsidR="00AD0EEF" w:rsidRPr="00BD574A" w:rsidRDefault="00AD0EEF" w:rsidP="00AD0EEF">
      <w:pPr>
        <w:pStyle w:val="paragraph"/>
      </w:pPr>
      <w:r w:rsidRPr="00BD574A">
        <w:tab/>
        <w:t>(a)</w:t>
      </w:r>
      <w:r w:rsidRPr="00BD574A">
        <w:tab/>
        <w:t>there would be an amount overpaid as mentioned in section</w:t>
      </w:r>
      <w:r w:rsidR="00BD574A">
        <w:t> </w:t>
      </w:r>
      <w:r w:rsidRPr="00BD574A">
        <w:t>24 in respect of the person’s low income superannuation tax offset for the income year; and</w:t>
      </w:r>
    </w:p>
    <w:p w:rsidR="00AD0EEF" w:rsidRPr="00BD574A" w:rsidRDefault="00AD0EEF" w:rsidP="00AD0EEF">
      <w:pPr>
        <w:pStyle w:val="paragraph"/>
      </w:pPr>
      <w:r w:rsidRPr="00BD574A">
        <w:tab/>
        <w:t>(b)</w:t>
      </w:r>
      <w:r w:rsidRPr="00BD574A">
        <w:tab/>
        <w:t>the amount overpaid would be less than $10;</w:t>
      </w:r>
    </w:p>
    <w:p w:rsidR="00AD0EEF" w:rsidRPr="00BD574A" w:rsidRDefault="00AD0EEF" w:rsidP="00AD0EEF">
      <w:pPr>
        <w:pStyle w:val="subsection2"/>
      </w:pPr>
      <w:r w:rsidRPr="00BD574A">
        <w:t>increase the amount of that low income superannuation tax offset by that amount overpaid.</w:t>
      </w:r>
    </w:p>
    <w:p w:rsidR="00AD0EEF" w:rsidRPr="00BD574A" w:rsidRDefault="00AD0EEF" w:rsidP="00AD0EEF">
      <w:pPr>
        <w:pStyle w:val="ActHead5"/>
      </w:pPr>
      <w:bookmarkStart w:id="23" w:name="_Toc487718113"/>
      <w:r w:rsidRPr="00BD574A">
        <w:rPr>
          <w:rStyle w:val="CharSectno"/>
        </w:rPr>
        <w:t>12F</w:t>
      </w:r>
      <w:r w:rsidRPr="00BD574A">
        <w:t xml:space="preserve">  Consequences if estimates no longer accurate</w:t>
      </w:r>
      <w:bookmarkEnd w:id="23"/>
    </w:p>
    <w:p w:rsidR="00AD0EEF" w:rsidRPr="00BD574A" w:rsidRDefault="00AD0EEF" w:rsidP="00AD0EEF">
      <w:pPr>
        <w:pStyle w:val="subsection"/>
      </w:pPr>
      <w:r w:rsidRPr="00BD574A">
        <w:tab/>
        <w:t>(1)</w:t>
      </w:r>
      <w:r w:rsidRPr="00BD574A">
        <w:tab/>
        <w:t>Treat a low income superannuation tax offset as never having been payable under subsection</w:t>
      </w:r>
      <w:r w:rsidR="00BD574A">
        <w:t> </w:t>
      </w:r>
      <w:r w:rsidRPr="00BD574A">
        <w:t>12C(2) in respect of a person for an income year if:</w:t>
      </w:r>
    </w:p>
    <w:p w:rsidR="00AD0EEF" w:rsidRPr="00BD574A" w:rsidRDefault="00AD0EEF" w:rsidP="00AD0EEF">
      <w:pPr>
        <w:pStyle w:val="paragraph"/>
      </w:pPr>
      <w:r w:rsidRPr="00BD574A">
        <w:tab/>
        <w:t>(a)</w:t>
      </w:r>
      <w:r w:rsidRPr="00BD574A">
        <w:tab/>
        <w:t>the Commissioner obtains information after making the determination under section</w:t>
      </w:r>
      <w:r w:rsidR="00BD574A">
        <w:t> </w:t>
      </w:r>
      <w:r w:rsidRPr="00BD574A">
        <w:t>13 that the tax offset was so payable; and</w:t>
      </w:r>
    </w:p>
    <w:p w:rsidR="00AD0EEF" w:rsidRPr="00BD574A" w:rsidRDefault="00AD0EEF" w:rsidP="00AD0EEF">
      <w:pPr>
        <w:pStyle w:val="paragraph"/>
      </w:pPr>
      <w:r w:rsidRPr="00BD574A">
        <w:tab/>
        <w:t>(b)</w:t>
      </w:r>
      <w:r w:rsidRPr="00BD574A">
        <w:tab/>
        <w:t>the Commissioner decides that, had the Commissioner obtained that information before making the determination, the Commissioner would not have made the determination.</w:t>
      </w:r>
    </w:p>
    <w:p w:rsidR="00AD0EEF" w:rsidRPr="00BD574A" w:rsidRDefault="00AD0EEF" w:rsidP="00AD0EEF">
      <w:pPr>
        <w:pStyle w:val="notetext"/>
      </w:pPr>
      <w:r w:rsidRPr="00BD574A">
        <w:t>Note:</w:t>
      </w:r>
      <w:r w:rsidRPr="00BD574A">
        <w:tab/>
        <w:t>The tax offset will be recoverable under section</w:t>
      </w:r>
      <w:r w:rsidR="00BD574A">
        <w:t> </w:t>
      </w:r>
      <w:r w:rsidRPr="00BD574A">
        <w:t>24.</w:t>
      </w:r>
    </w:p>
    <w:p w:rsidR="00AD0EEF" w:rsidRPr="00BD574A" w:rsidRDefault="00AD0EEF" w:rsidP="00AD0EEF">
      <w:pPr>
        <w:pStyle w:val="subsection"/>
      </w:pPr>
      <w:r w:rsidRPr="00BD574A">
        <w:tab/>
        <w:t>(2)</w:t>
      </w:r>
      <w:r w:rsidRPr="00BD574A">
        <w:tab/>
        <w:t xml:space="preserve">The Commissioner must give the person written notice of the Commissioner’s decision under </w:t>
      </w:r>
      <w:r w:rsidR="00BD574A">
        <w:t>paragraph (</w:t>
      </w:r>
      <w:r w:rsidRPr="00BD574A">
        <w:t>1)(b).</w:t>
      </w:r>
    </w:p>
    <w:p w:rsidR="00AD0EEF" w:rsidRPr="00BD574A" w:rsidRDefault="00AD0EEF" w:rsidP="00AD0EEF">
      <w:pPr>
        <w:pStyle w:val="ActHead5"/>
      </w:pPr>
      <w:bookmarkStart w:id="24" w:name="_Toc487718114"/>
      <w:r w:rsidRPr="00BD574A">
        <w:rPr>
          <w:rStyle w:val="CharSectno"/>
        </w:rPr>
        <w:t>12G</w:t>
      </w:r>
      <w:r w:rsidRPr="00BD574A">
        <w:t xml:space="preserve">  Reports on this Part</w:t>
      </w:r>
      <w:bookmarkEnd w:id="24"/>
    </w:p>
    <w:p w:rsidR="00AD0EEF" w:rsidRPr="00BD574A" w:rsidRDefault="00AD0EEF" w:rsidP="00AD0EEF">
      <w:pPr>
        <w:pStyle w:val="subsection"/>
      </w:pPr>
      <w:r w:rsidRPr="00BD574A">
        <w:tab/>
        <w:t>(1)</w:t>
      </w:r>
      <w:r w:rsidRPr="00BD574A">
        <w:tab/>
        <w:t xml:space="preserve">After the end of each quarter the Commissioner must give the Minister a report, for presentation to the Parliament, on the working of this Part during the quarter. The report must include, </w:t>
      </w:r>
      <w:r w:rsidRPr="00BD574A">
        <w:lastRenderedPageBreak/>
        <w:t>for the quarter to which the report relates, the prescribed details about beneficiaries of, and amounts of, low income superannuation tax offsets.</w:t>
      </w:r>
    </w:p>
    <w:p w:rsidR="00AD0EEF" w:rsidRPr="00BD574A" w:rsidRDefault="00AD0EEF" w:rsidP="00AD0EEF">
      <w:pPr>
        <w:pStyle w:val="subsection"/>
      </w:pPr>
      <w:r w:rsidRPr="00BD574A">
        <w:tab/>
        <w:t>(2)</w:t>
      </w:r>
      <w:r w:rsidRPr="00BD574A">
        <w:tab/>
        <w:t>After the end of each financial year the Commissioner must give the Minister a report, for presentation to the Parliament, that:</w:t>
      </w:r>
    </w:p>
    <w:p w:rsidR="00AD0EEF" w:rsidRPr="00BD574A" w:rsidRDefault="00AD0EEF" w:rsidP="00AD0EEF">
      <w:pPr>
        <w:pStyle w:val="paragraph"/>
      </w:pPr>
      <w:r w:rsidRPr="00BD574A">
        <w:tab/>
        <w:t>(a)</w:t>
      </w:r>
      <w:r w:rsidRPr="00BD574A">
        <w:tab/>
        <w:t>is on the working of this Part during the financial year; and</w:t>
      </w:r>
    </w:p>
    <w:p w:rsidR="00AD0EEF" w:rsidRPr="00BD574A" w:rsidRDefault="00AD0EEF" w:rsidP="00AD0EEF">
      <w:pPr>
        <w:pStyle w:val="paragraph"/>
      </w:pPr>
      <w:r w:rsidRPr="00BD574A">
        <w:tab/>
        <w:t>(b)</w:t>
      </w:r>
      <w:r w:rsidRPr="00BD574A">
        <w:tab/>
        <w:t>includes, for the financial year to which the report relates, the prescribed details about beneficiaries of, and amounts of, low income superannuation tax offsets.</w:t>
      </w:r>
    </w:p>
    <w:p w:rsidR="0080222D" w:rsidRPr="00BD574A" w:rsidRDefault="0080222D" w:rsidP="00215433">
      <w:pPr>
        <w:pStyle w:val="ActHead2"/>
        <w:pageBreakBefore/>
      </w:pPr>
      <w:bookmarkStart w:id="25" w:name="_Toc487718115"/>
      <w:r w:rsidRPr="00BD574A">
        <w:rPr>
          <w:rStyle w:val="CharPartNo"/>
        </w:rPr>
        <w:lastRenderedPageBreak/>
        <w:t>Part</w:t>
      </w:r>
      <w:r w:rsidR="00BD574A" w:rsidRPr="00BD574A">
        <w:rPr>
          <w:rStyle w:val="CharPartNo"/>
        </w:rPr>
        <w:t> </w:t>
      </w:r>
      <w:r w:rsidRPr="00BD574A">
        <w:rPr>
          <w:rStyle w:val="CharPartNo"/>
        </w:rPr>
        <w:t>3</w:t>
      </w:r>
      <w:r w:rsidRPr="00BD574A">
        <w:t>—</w:t>
      </w:r>
      <w:r w:rsidRPr="00BD574A">
        <w:rPr>
          <w:rStyle w:val="CharPartText"/>
        </w:rPr>
        <w:t>Determination that Government co</w:t>
      </w:r>
      <w:r w:rsidR="00BD574A" w:rsidRPr="00BD574A">
        <w:rPr>
          <w:rStyle w:val="CharPartText"/>
        </w:rPr>
        <w:noBreakHyphen/>
      </w:r>
      <w:r w:rsidRPr="00BD574A">
        <w:rPr>
          <w:rStyle w:val="CharPartText"/>
        </w:rPr>
        <w:t>contribution payable</w:t>
      </w:r>
      <w:bookmarkEnd w:id="25"/>
    </w:p>
    <w:p w:rsidR="0080222D" w:rsidRPr="00BD574A" w:rsidRDefault="00F136B1" w:rsidP="0080222D">
      <w:pPr>
        <w:pStyle w:val="Header"/>
      </w:pPr>
      <w:r w:rsidRPr="00BD574A">
        <w:rPr>
          <w:rStyle w:val="CharDivNo"/>
        </w:rPr>
        <w:t xml:space="preserve"> </w:t>
      </w:r>
      <w:r w:rsidRPr="00BD574A">
        <w:rPr>
          <w:rStyle w:val="CharDivText"/>
        </w:rPr>
        <w:t xml:space="preserve"> </w:t>
      </w:r>
    </w:p>
    <w:p w:rsidR="0080222D" w:rsidRPr="00BD574A" w:rsidRDefault="0080222D" w:rsidP="0080222D">
      <w:pPr>
        <w:pStyle w:val="ActHead5"/>
      </w:pPr>
      <w:bookmarkStart w:id="26" w:name="_Toc487718116"/>
      <w:r w:rsidRPr="00BD574A">
        <w:rPr>
          <w:rStyle w:val="CharSectno"/>
        </w:rPr>
        <w:t>13</w:t>
      </w:r>
      <w:r w:rsidRPr="00BD574A">
        <w:t xml:space="preserve">  Commissioner’s determination</w:t>
      </w:r>
      <w:bookmarkEnd w:id="26"/>
    </w:p>
    <w:p w:rsidR="0080222D" w:rsidRPr="00BD574A" w:rsidRDefault="0080222D" w:rsidP="0080222D">
      <w:pPr>
        <w:pStyle w:val="subsection"/>
      </w:pPr>
      <w:r w:rsidRPr="00BD574A">
        <w:tab/>
        <w:t>(1)</w:t>
      </w:r>
      <w:r w:rsidRPr="00BD574A">
        <w:tab/>
        <w:t>The Commissioner must determine that a Government co</w:t>
      </w:r>
      <w:r w:rsidR="00BD574A">
        <w:noBreakHyphen/>
      </w:r>
      <w:r w:rsidRPr="00BD574A">
        <w:t>contribution is payable in respect of a person for an income year if the Commissioner is satisfied that the co</w:t>
      </w:r>
      <w:r w:rsidR="00BD574A">
        <w:noBreakHyphen/>
      </w:r>
      <w:r w:rsidRPr="00BD574A">
        <w:t>contribution is payable in respect of the person for the income year.</w:t>
      </w:r>
    </w:p>
    <w:p w:rsidR="0080222D" w:rsidRPr="00BD574A" w:rsidRDefault="0080222D" w:rsidP="0080222D">
      <w:pPr>
        <w:pStyle w:val="subsection"/>
      </w:pPr>
      <w:r w:rsidRPr="00BD574A">
        <w:tab/>
        <w:t>(2)</w:t>
      </w:r>
      <w:r w:rsidRPr="00BD574A">
        <w:tab/>
        <w:t>The regulations may prescribe the time within which determinations under this section are to be made.</w:t>
      </w:r>
    </w:p>
    <w:p w:rsidR="0080222D" w:rsidRPr="00BD574A" w:rsidRDefault="0080222D" w:rsidP="0080222D">
      <w:pPr>
        <w:pStyle w:val="ActHead5"/>
      </w:pPr>
      <w:bookmarkStart w:id="27" w:name="_Toc487718117"/>
      <w:r w:rsidRPr="00BD574A">
        <w:rPr>
          <w:rStyle w:val="CharSectno"/>
        </w:rPr>
        <w:t>14</w:t>
      </w:r>
      <w:r w:rsidRPr="00BD574A">
        <w:t xml:space="preserve">  Matters Commissioner has regard to in making determination</w:t>
      </w:r>
      <w:bookmarkEnd w:id="27"/>
    </w:p>
    <w:p w:rsidR="0080222D" w:rsidRPr="00BD574A" w:rsidRDefault="0080222D" w:rsidP="0080222D">
      <w:pPr>
        <w:pStyle w:val="subsection"/>
      </w:pPr>
      <w:r w:rsidRPr="00BD574A">
        <w:tab/>
        <w:t>(1)</w:t>
      </w:r>
      <w:r w:rsidRPr="00BD574A">
        <w:tab/>
        <w:t>In deciding whether to make a determination under section</w:t>
      </w:r>
      <w:r w:rsidR="00BD574A">
        <w:t> </w:t>
      </w:r>
      <w:r w:rsidRPr="00BD574A">
        <w:t>13, the Commissioner must have regard to:</w:t>
      </w:r>
    </w:p>
    <w:p w:rsidR="0080222D" w:rsidRPr="00BD574A" w:rsidRDefault="0080222D" w:rsidP="0080222D">
      <w:pPr>
        <w:pStyle w:val="paragraph"/>
      </w:pPr>
      <w:r w:rsidRPr="00BD574A">
        <w:tab/>
        <w:t>(a)</w:t>
      </w:r>
      <w:r w:rsidRPr="00BD574A">
        <w:tab/>
        <w:t>the income tax return lodged for the person for the income year; and</w:t>
      </w:r>
    </w:p>
    <w:p w:rsidR="0080222D" w:rsidRPr="00BD574A" w:rsidRDefault="0080222D" w:rsidP="0080222D">
      <w:pPr>
        <w:pStyle w:val="paragraph"/>
      </w:pPr>
      <w:r w:rsidRPr="00BD574A">
        <w:tab/>
        <w:t>(b)</w:t>
      </w:r>
      <w:r w:rsidRPr="00BD574A">
        <w:tab/>
        <w:t>information about the contributions made to a complying superannuation fund, or an RSA, during the income year by, or in respect of, the person contained in:</w:t>
      </w:r>
    </w:p>
    <w:p w:rsidR="0080222D" w:rsidRPr="00BD574A" w:rsidRDefault="0080222D" w:rsidP="0080222D">
      <w:pPr>
        <w:pStyle w:val="paragraphsub"/>
      </w:pPr>
      <w:r w:rsidRPr="00BD574A">
        <w:tab/>
        <w:t>(i)</w:t>
      </w:r>
      <w:r w:rsidRPr="00BD574A">
        <w:tab/>
        <w:t xml:space="preserve">statements given to the Commissioner by superannuation providers under the </w:t>
      </w:r>
      <w:r w:rsidRPr="00BD574A">
        <w:rPr>
          <w:i/>
        </w:rPr>
        <w:t>Superannuation Contributions Tax (Assessment and Collection) Act 1997</w:t>
      </w:r>
      <w:r w:rsidRPr="00BD574A">
        <w:t>; and</w:t>
      </w:r>
    </w:p>
    <w:p w:rsidR="0080222D" w:rsidRPr="00BD574A" w:rsidRDefault="0080222D" w:rsidP="0080222D">
      <w:pPr>
        <w:pStyle w:val="paragraphsub"/>
      </w:pPr>
      <w:r w:rsidRPr="00BD574A">
        <w:tab/>
        <w:t>(ii)</w:t>
      </w:r>
      <w:r w:rsidRPr="00BD574A">
        <w:tab/>
        <w:t xml:space="preserve">statements given to the Commissioner by superannuation providers under the </w:t>
      </w:r>
      <w:r w:rsidRPr="00BD574A">
        <w:rPr>
          <w:i/>
        </w:rPr>
        <w:t>Superannuation Contributions Tax (Members of Constitutionally Protected Superannuation Funds) Assessment and Collection Act 1997</w:t>
      </w:r>
      <w:r w:rsidRPr="00BD574A">
        <w:t>; and</w:t>
      </w:r>
    </w:p>
    <w:p w:rsidR="004C0C71" w:rsidRPr="00BD574A" w:rsidRDefault="004C0C71" w:rsidP="004C0C71">
      <w:pPr>
        <w:pStyle w:val="paragraphsub"/>
      </w:pPr>
      <w:r w:rsidRPr="00BD574A">
        <w:tab/>
        <w:t>(iii)</w:t>
      </w:r>
      <w:r w:rsidRPr="00BD574A">
        <w:tab/>
        <w:t>statements given to the Commissioner under Division</w:t>
      </w:r>
      <w:r w:rsidR="00BD574A">
        <w:t> </w:t>
      </w:r>
      <w:r w:rsidRPr="00BD574A">
        <w:t>390 in Schedule</w:t>
      </w:r>
      <w:r w:rsidR="00BD574A">
        <w:t> </w:t>
      </w:r>
      <w:r w:rsidRPr="00BD574A">
        <w:t xml:space="preserve">1 to the </w:t>
      </w:r>
      <w:r w:rsidRPr="00BD574A">
        <w:rPr>
          <w:i/>
        </w:rPr>
        <w:t>Taxation Administration Act 1953</w:t>
      </w:r>
      <w:r w:rsidRPr="00BD574A">
        <w:t>; and</w:t>
      </w:r>
    </w:p>
    <w:p w:rsidR="0080222D" w:rsidRPr="00BD574A" w:rsidRDefault="0080222D" w:rsidP="0080222D">
      <w:pPr>
        <w:pStyle w:val="paragraph"/>
      </w:pPr>
      <w:r w:rsidRPr="00BD574A">
        <w:lastRenderedPageBreak/>
        <w:tab/>
        <w:t>(c)</w:t>
      </w:r>
      <w:r w:rsidRPr="00BD574A">
        <w:tab/>
        <w:t>information provided to the Commissioner in relation to the income year in response to</w:t>
      </w:r>
      <w:r w:rsidR="006E0548" w:rsidRPr="00BD574A">
        <w:t xml:space="preserve"> requirements by the Commissioner under paragraph</w:t>
      </w:r>
      <w:r w:rsidR="00BD574A">
        <w:t> </w:t>
      </w:r>
      <w:r w:rsidR="006E0548" w:rsidRPr="00BD574A">
        <w:t>353</w:t>
      </w:r>
      <w:r w:rsidR="00BD574A">
        <w:noBreakHyphen/>
      </w:r>
      <w:r w:rsidR="006E0548" w:rsidRPr="00BD574A">
        <w:t>10(1)(a) in Schedule</w:t>
      </w:r>
      <w:r w:rsidR="00BD574A">
        <w:t> </w:t>
      </w:r>
      <w:r w:rsidR="006E0548" w:rsidRPr="00BD574A">
        <w:t xml:space="preserve">1 to the </w:t>
      </w:r>
      <w:r w:rsidR="006E0548" w:rsidRPr="00BD574A">
        <w:rPr>
          <w:i/>
        </w:rPr>
        <w:t>Taxation Administration Act 1953</w:t>
      </w:r>
      <w:r w:rsidR="006E0548" w:rsidRPr="00BD574A">
        <w:t xml:space="preserve"> for the purpose of the administration or operation of this Act</w:t>
      </w:r>
      <w:r w:rsidR="00317D91" w:rsidRPr="00BD574A">
        <w:t>; and</w:t>
      </w:r>
    </w:p>
    <w:p w:rsidR="00317D91" w:rsidRPr="00BD574A" w:rsidRDefault="00317D91" w:rsidP="006E0548">
      <w:pPr>
        <w:pStyle w:val="paragraph"/>
      </w:pPr>
      <w:r w:rsidRPr="00BD574A">
        <w:tab/>
        <w:t>(d)</w:t>
      </w:r>
      <w:r w:rsidRPr="00BD574A">
        <w:tab/>
        <w:t>any other information that:</w:t>
      </w:r>
    </w:p>
    <w:p w:rsidR="00317D91" w:rsidRPr="00BD574A" w:rsidRDefault="00317D91" w:rsidP="00317D91">
      <w:pPr>
        <w:pStyle w:val="paragraphsub"/>
      </w:pPr>
      <w:r w:rsidRPr="00BD574A">
        <w:tab/>
        <w:t>(i)</w:t>
      </w:r>
      <w:r w:rsidRPr="00BD574A">
        <w:tab/>
        <w:t xml:space="preserve">is held or was obtained by the Commissioner under or for the purposes of a taxation law (within the meaning of the </w:t>
      </w:r>
      <w:r w:rsidRPr="00BD574A">
        <w:rPr>
          <w:i/>
        </w:rPr>
        <w:t>Income Tax Assessment Act 1997</w:t>
      </w:r>
      <w:r w:rsidRPr="00BD574A">
        <w:t>); and</w:t>
      </w:r>
    </w:p>
    <w:p w:rsidR="00317D91" w:rsidRPr="00BD574A" w:rsidRDefault="00317D91" w:rsidP="00317D91">
      <w:pPr>
        <w:pStyle w:val="paragraphsub"/>
      </w:pPr>
      <w:r w:rsidRPr="00BD574A">
        <w:tab/>
        <w:t>(ii)</w:t>
      </w:r>
      <w:r w:rsidRPr="00BD574A">
        <w:tab/>
        <w:t>the Commissioner considers is reasonably necessary to make the determination.</w:t>
      </w:r>
    </w:p>
    <w:p w:rsidR="0080222D" w:rsidRPr="00BD574A" w:rsidRDefault="0080222D" w:rsidP="00AC2B9B">
      <w:pPr>
        <w:pStyle w:val="subsection"/>
        <w:keepNext/>
      </w:pPr>
      <w:r w:rsidRPr="00BD574A">
        <w:tab/>
        <w:t>(2)</w:t>
      </w:r>
      <w:r w:rsidRPr="00BD574A">
        <w:tab/>
      </w:r>
      <w:r w:rsidR="00BD574A">
        <w:t>Paragraph (</w:t>
      </w:r>
      <w:r w:rsidRPr="00BD574A">
        <w:t>1)(b) does not apply if:</w:t>
      </w:r>
    </w:p>
    <w:p w:rsidR="0080222D" w:rsidRPr="00BD574A" w:rsidRDefault="0080222D" w:rsidP="0080222D">
      <w:pPr>
        <w:pStyle w:val="paragraph"/>
      </w:pPr>
      <w:r w:rsidRPr="00BD574A">
        <w:tab/>
        <w:t>(a)</w:t>
      </w:r>
      <w:r w:rsidRPr="00BD574A">
        <w:tab/>
        <w:t>the person dies during the income year; and</w:t>
      </w:r>
    </w:p>
    <w:p w:rsidR="0080222D" w:rsidRPr="00BD574A" w:rsidRDefault="0080222D" w:rsidP="0080222D">
      <w:pPr>
        <w:pStyle w:val="paragraph"/>
      </w:pPr>
      <w:r w:rsidRPr="00BD574A">
        <w:tab/>
        <w:t>(b)</w:t>
      </w:r>
      <w:r w:rsidRPr="00BD574A">
        <w:tab/>
        <w:t>the trustee of the person’s estate requests the Commissioner to make a determination before the statements referred to in that paragraph are given to the Commissioner.</w:t>
      </w:r>
    </w:p>
    <w:p w:rsidR="0080222D" w:rsidRPr="00BD574A" w:rsidRDefault="0080222D" w:rsidP="00215433">
      <w:pPr>
        <w:pStyle w:val="ActHead2"/>
        <w:pageBreakBefore/>
      </w:pPr>
      <w:bookmarkStart w:id="28" w:name="_Toc487718118"/>
      <w:r w:rsidRPr="00BD574A">
        <w:rPr>
          <w:rStyle w:val="CharPartNo"/>
        </w:rPr>
        <w:lastRenderedPageBreak/>
        <w:t>Part</w:t>
      </w:r>
      <w:r w:rsidR="00BD574A" w:rsidRPr="00BD574A">
        <w:rPr>
          <w:rStyle w:val="CharPartNo"/>
        </w:rPr>
        <w:t> </w:t>
      </w:r>
      <w:r w:rsidRPr="00BD574A">
        <w:rPr>
          <w:rStyle w:val="CharPartNo"/>
        </w:rPr>
        <w:t>4</w:t>
      </w:r>
      <w:r w:rsidRPr="00BD574A">
        <w:t>—</w:t>
      </w:r>
      <w:r w:rsidRPr="00BD574A">
        <w:rPr>
          <w:rStyle w:val="CharPartText"/>
        </w:rPr>
        <w:t>Payment of the Government co</w:t>
      </w:r>
      <w:r w:rsidR="00BD574A" w:rsidRPr="00BD574A">
        <w:rPr>
          <w:rStyle w:val="CharPartText"/>
        </w:rPr>
        <w:noBreakHyphen/>
      </w:r>
      <w:r w:rsidRPr="00BD574A">
        <w:rPr>
          <w:rStyle w:val="CharPartText"/>
        </w:rPr>
        <w:t>contribution</w:t>
      </w:r>
      <w:bookmarkEnd w:id="28"/>
    </w:p>
    <w:p w:rsidR="0080222D" w:rsidRPr="00BD574A" w:rsidRDefault="00F136B1" w:rsidP="0080222D">
      <w:pPr>
        <w:pStyle w:val="Header"/>
      </w:pPr>
      <w:r w:rsidRPr="00BD574A">
        <w:rPr>
          <w:rStyle w:val="CharDivNo"/>
        </w:rPr>
        <w:t xml:space="preserve"> </w:t>
      </w:r>
      <w:r w:rsidRPr="00BD574A">
        <w:rPr>
          <w:rStyle w:val="CharDivText"/>
        </w:rPr>
        <w:t xml:space="preserve"> </w:t>
      </w:r>
    </w:p>
    <w:p w:rsidR="0080222D" w:rsidRPr="00BD574A" w:rsidRDefault="0080222D" w:rsidP="0080222D">
      <w:pPr>
        <w:pStyle w:val="ActHead5"/>
      </w:pPr>
      <w:bookmarkStart w:id="29" w:name="_Toc487718119"/>
      <w:r w:rsidRPr="00BD574A">
        <w:rPr>
          <w:rStyle w:val="CharSectno"/>
        </w:rPr>
        <w:t>15</w:t>
      </w:r>
      <w:r w:rsidRPr="00BD574A">
        <w:t xml:space="preserve">  Commissioner to determine where the Government co</w:t>
      </w:r>
      <w:r w:rsidR="00BD574A">
        <w:noBreakHyphen/>
      </w:r>
      <w:r w:rsidRPr="00BD574A">
        <w:t>contribution payment is to be directed</w:t>
      </w:r>
      <w:bookmarkEnd w:id="29"/>
    </w:p>
    <w:p w:rsidR="0080222D" w:rsidRPr="00BD574A" w:rsidRDefault="0080222D" w:rsidP="0080222D">
      <w:pPr>
        <w:pStyle w:val="subsection"/>
      </w:pPr>
      <w:r w:rsidRPr="00BD574A">
        <w:tab/>
        <w:t>(1)</w:t>
      </w:r>
      <w:r w:rsidRPr="00BD574A">
        <w:tab/>
        <w:t>If the Commissioner makes a determination under section</w:t>
      </w:r>
      <w:r w:rsidR="00BD574A">
        <w:t> </w:t>
      </w:r>
      <w:r w:rsidRPr="00BD574A">
        <w:t>13 that a Government co</w:t>
      </w:r>
      <w:r w:rsidR="00BD574A">
        <w:noBreakHyphen/>
      </w:r>
      <w:r w:rsidRPr="00BD574A">
        <w:t>contribution is payable in respect of a person for an income year, the Commissioner must determine whether the co</w:t>
      </w:r>
      <w:r w:rsidR="00BD574A">
        <w:noBreakHyphen/>
      </w:r>
      <w:r w:rsidRPr="00BD574A">
        <w:t>contribution is to be paid:</w:t>
      </w:r>
    </w:p>
    <w:p w:rsidR="0080222D" w:rsidRPr="00BD574A" w:rsidRDefault="0080222D" w:rsidP="0080222D">
      <w:pPr>
        <w:pStyle w:val="paragraph"/>
      </w:pPr>
      <w:r w:rsidRPr="00BD574A">
        <w:tab/>
        <w:t>(a)</w:t>
      </w:r>
      <w:r w:rsidRPr="00BD574A">
        <w:tab/>
        <w:t>to the trustee of a complying superannuation fund for crediting to an account of the person within that fund; or</w:t>
      </w:r>
    </w:p>
    <w:p w:rsidR="0080222D" w:rsidRPr="00BD574A" w:rsidRDefault="0080222D" w:rsidP="0080222D">
      <w:pPr>
        <w:pStyle w:val="paragraph"/>
      </w:pPr>
      <w:r w:rsidRPr="00BD574A">
        <w:tab/>
        <w:t>(b)</w:t>
      </w:r>
      <w:r w:rsidRPr="00BD574A">
        <w:tab/>
        <w:t>to the provider of an RSA that the person holds for crediting to the RSA; or</w:t>
      </w:r>
    </w:p>
    <w:p w:rsidR="0080222D" w:rsidRPr="00BD574A" w:rsidRDefault="0080222D" w:rsidP="0080222D">
      <w:pPr>
        <w:pStyle w:val="paragraph"/>
      </w:pPr>
      <w:r w:rsidRPr="00BD574A">
        <w:tab/>
        <w:t>(c)</w:t>
      </w:r>
      <w:r w:rsidRPr="00BD574A">
        <w:tab/>
        <w:t>to the person; or</w:t>
      </w:r>
    </w:p>
    <w:p w:rsidR="0080222D" w:rsidRPr="00BD574A" w:rsidRDefault="0080222D" w:rsidP="0080222D">
      <w:pPr>
        <w:pStyle w:val="paragraph"/>
      </w:pPr>
      <w:r w:rsidRPr="00BD574A">
        <w:tab/>
        <w:t>(d)</w:t>
      </w:r>
      <w:r w:rsidRPr="00BD574A">
        <w:tab/>
        <w:t>to the person’s legal personal representative; or</w:t>
      </w:r>
    </w:p>
    <w:p w:rsidR="0080222D" w:rsidRPr="00BD574A" w:rsidRDefault="0080222D" w:rsidP="0080222D">
      <w:pPr>
        <w:pStyle w:val="paragraph"/>
      </w:pPr>
      <w:r w:rsidRPr="00BD574A">
        <w:tab/>
        <w:t>(e)</w:t>
      </w:r>
      <w:r w:rsidRPr="00BD574A">
        <w:tab/>
        <w:t>into an account of the person in the Superannuation Holding Accounts Special Account.</w:t>
      </w:r>
    </w:p>
    <w:p w:rsidR="0080222D" w:rsidRPr="00BD574A" w:rsidRDefault="0080222D" w:rsidP="0080222D">
      <w:pPr>
        <w:pStyle w:val="subsection"/>
      </w:pPr>
      <w:r w:rsidRPr="00BD574A">
        <w:tab/>
        <w:t>(2)</w:t>
      </w:r>
      <w:r w:rsidRPr="00BD574A">
        <w:tab/>
        <w:t xml:space="preserve">If the Commissioner makes a determination under </w:t>
      </w:r>
      <w:r w:rsidR="00BD574A">
        <w:t>paragraph (</w:t>
      </w:r>
      <w:r w:rsidRPr="00BD574A">
        <w:t>1)(a) or (b), the Commissioner must also determine which particular account the Government co</w:t>
      </w:r>
      <w:r w:rsidR="00BD574A">
        <w:noBreakHyphen/>
      </w:r>
      <w:r w:rsidRPr="00BD574A">
        <w:t>contribution is to be paid into.</w:t>
      </w:r>
    </w:p>
    <w:p w:rsidR="0080222D" w:rsidRPr="00BD574A" w:rsidRDefault="0080222D" w:rsidP="0080222D">
      <w:pPr>
        <w:pStyle w:val="subsection"/>
      </w:pPr>
      <w:r w:rsidRPr="00BD574A">
        <w:tab/>
        <w:t>(3)</w:t>
      </w:r>
      <w:r w:rsidRPr="00BD574A">
        <w:tab/>
        <w:t xml:space="preserve">The Commissioner must make determinations under </w:t>
      </w:r>
      <w:r w:rsidR="00BD574A">
        <w:t>subsections (</w:t>
      </w:r>
      <w:r w:rsidRPr="00BD574A">
        <w:t>1) and (2) in accordance with the regulations made for the purposes of this section.</w:t>
      </w:r>
    </w:p>
    <w:p w:rsidR="0080222D" w:rsidRPr="00BD574A" w:rsidRDefault="0080222D" w:rsidP="0080222D">
      <w:pPr>
        <w:pStyle w:val="subsection"/>
      </w:pPr>
      <w:r w:rsidRPr="00BD574A">
        <w:tab/>
        <w:t>(4)</w:t>
      </w:r>
      <w:r w:rsidRPr="00BD574A">
        <w:tab/>
        <w:t>The Commissioner may revoke a determination made under this section if the Commissioner is satisfied that:</w:t>
      </w:r>
    </w:p>
    <w:p w:rsidR="0080222D" w:rsidRPr="00BD574A" w:rsidRDefault="0080222D" w:rsidP="0080222D">
      <w:pPr>
        <w:pStyle w:val="paragraph"/>
      </w:pPr>
      <w:r w:rsidRPr="00BD574A">
        <w:tab/>
        <w:t>(a)</w:t>
      </w:r>
      <w:r w:rsidRPr="00BD574A">
        <w:tab/>
        <w:t>payment of the Government co</w:t>
      </w:r>
      <w:r w:rsidR="00BD574A">
        <w:noBreakHyphen/>
      </w:r>
      <w:r w:rsidRPr="00BD574A">
        <w:t>contribution cannot be effected in accordance with the determination; or</w:t>
      </w:r>
    </w:p>
    <w:p w:rsidR="0080222D" w:rsidRPr="00BD574A" w:rsidRDefault="0080222D" w:rsidP="0080222D">
      <w:pPr>
        <w:pStyle w:val="paragraph"/>
      </w:pPr>
      <w:r w:rsidRPr="00BD574A">
        <w:tab/>
        <w:t>(b)</w:t>
      </w:r>
      <w:r w:rsidRPr="00BD574A">
        <w:tab/>
        <w:t>it is otherwise appropriate in the circumstances to revoke the determination.</w:t>
      </w:r>
    </w:p>
    <w:p w:rsidR="0080222D" w:rsidRPr="00BD574A" w:rsidRDefault="0080222D" w:rsidP="0080222D">
      <w:pPr>
        <w:pStyle w:val="subsection"/>
      </w:pPr>
      <w:r w:rsidRPr="00BD574A">
        <w:lastRenderedPageBreak/>
        <w:tab/>
        <w:t>(5)</w:t>
      </w:r>
      <w:r w:rsidRPr="00BD574A">
        <w:tab/>
        <w:t>The regulations may prescribe the time within which determinations under this section are to be made.</w:t>
      </w:r>
    </w:p>
    <w:p w:rsidR="0080222D" w:rsidRPr="00BD574A" w:rsidRDefault="0080222D" w:rsidP="0080222D">
      <w:pPr>
        <w:pStyle w:val="ActHead5"/>
      </w:pPr>
      <w:bookmarkStart w:id="30" w:name="_Toc487718120"/>
      <w:r w:rsidRPr="00BD574A">
        <w:rPr>
          <w:rStyle w:val="CharSectno"/>
        </w:rPr>
        <w:t>16</w:t>
      </w:r>
      <w:r w:rsidRPr="00BD574A">
        <w:t xml:space="preserve">  Superannuation provider to return Government co</w:t>
      </w:r>
      <w:r w:rsidR="00BD574A">
        <w:noBreakHyphen/>
      </w:r>
      <w:r w:rsidRPr="00BD574A">
        <w:t>contribution that cannot be credited to account</w:t>
      </w:r>
      <w:bookmarkEnd w:id="30"/>
    </w:p>
    <w:p w:rsidR="0080222D" w:rsidRPr="00BD574A" w:rsidRDefault="0080222D" w:rsidP="0080222D">
      <w:pPr>
        <w:pStyle w:val="subsection"/>
      </w:pPr>
      <w:r w:rsidRPr="00BD574A">
        <w:tab/>
        <w:t>(1)</w:t>
      </w:r>
      <w:r w:rsidRPr="00BD574A">
        <w:tab/>
        <w:t>If:</w:t>
      </w:r>
    </w:p>
    <w:p w:rsidR="0080222D" w:rsidRPr="00BD574A" w:rsidRDefault="0080222D" w:rsidP="0080222D">
      <w:pPr>
        <w:pStyle w:val="paragraph"/>
      </w:pPr>
      <w:r w:rsidRPr="00BD574A">
        <w:tab/>
        <w:t>(a)</w:t>
      </w:r>
      <w:r w:rsidRPr="00BD574A">
        <w:tab/>
        <w:t>a Government co</w:t>
      </w:r>
      <w:r w:rsidR="00BD574A">
        <w:noBreakHyphen/>
      </w:r>
      <w:r w:rsidRPr="00BD574A">
        <w:t>contribution in respect of a person is paid:</w:t>
      </w:r>
    </w:p>
    <w:p w:rsidR="0080222D" w:rsidRPr="00BD574A" w:rsidRDefault="0080222D" w:rsidP="0080222D">
      <w:pPr>
        <w:pStyle w:val="paragraphsub"/>
      </w:pPr>
      <w:r w:rsidRPr="00BD574A">
        <w:tab/>
        <w:t>(i)</w:t>
      </w:r>
      <w:r w:rsidRPr="00BD574A">
        <w:tab/>
        <w:t>to the trustee of a complying superannuation fund for crediting to an account of the person within that fund; or</w:t>
      </w:r>
    </w:p>
    <w:p w:rsidR="0080222D" w:rsidRPr="00BD574A" w:rsidRDefault="0080222D" w:rsidP="0080222D">
      <w:pPr>
        <w:pStyle w:val="paragraphsub"/>
      </w:pPr>
      <w:r w:rsidRPr="00BD574A">
        <w:tab/>
        <w:t>(ii)</w:t>
      </w:r>
      <w:r w:rsidRPr="00BD574A">
        <w:tab/>
        <w:t>to the provider of an RSA that the person holds for crediting to the RSA; and</w:t>
      </w:r>
    </w:p>
    <w:p w:rsidR="0080222D" w:rsidRPr="00BD574A" w:rsidRDefault="0080222D" w:rsidP="0080222D">
      <w:pPr>
        <w:pStyle w:val="paragraph"/>
      </w:pPr>
      <w:r w:rsidRPr="00BD574A">
        <w:tab/>
        <w:t>(b)</w:t>
      </w:r>
      <w:r w:rsidRPr="00BD574A">
        <w:tab/>
        <w:t>the trustee or the provider has not credited the co</w:t>
      </w:r>
      <w:r w:rsidR="00BD574A">
        <w:noBreakHyphen/>
      </w:r>
      <w:r w:rsidRPr="00BD574A">
        <w:t>contribution to an account of that kind by the end of the 28th day after the day on which the co</w:t>
      </w:r>
      <w:r w:rsidR="00BD574A">
        <w:noBreakHyphen/>
      </w:r>
      <w:r w:rsidRPr="00BD574A">
        <w:t>contribution was paid to the trustee or the provider;</w:t>
      </w:r>
    </w:p>
    <w:p w:rsidR="0080222D" w:rsidRPr="00BD574A" w:rsidRDefault="0080222D" w:rsidP="0080222D">
      <w:pPr>
        <w:pStyle w:val="subsection2"/>
      </w:pPr>
      <w:r w:rsidRPr="00BD574A">
        <w:t>the trustee or the provider:</w:t>
      </w:r>
    </w:p>
    <w:p w:rsidR="0080222D" w:rsidRPr="00BD574A" w:rsidRDefault="0080222D" w:rsidP="0080222D">
      <w:pPr>
        <w:pStyle w:val="paragraph"/>
      </w:pPr>
      <w:r w:rsidRPr="00BD574A">
        <w:tab/>
        <w:t>(c)</w:t>
      </w:r>
      <w:r w:rsidRPr="00BD574A">
        <w:tab/>
        <w:t>is liable to repay the co</w:t>
      </w:r>
      <w:r w:rsidR="00BD574A">
        <w:noBreakHyphen/>
      </w:r>
      <w:r w:rsidRPr="00BD574A">
        <w:t>contribution to the Commonwealth; and</w:t>
      </w:r>
    </w:p>
    <w:p w:rsidR="0080222D" w:rsidRPr="00BD574A" w:rsidRDefault="0080222D" w:rsidP="0080222D">
      <w:pPr>
        <w:pStyle w:val="paragraph"/>
      </w:pPr>
      <w:r w:rsidRPr="00BD574A">
        <w:tab/>
        <w:t>(d)</w:t>
      </w:r>
      <w:r w:rsidRPr="00BD574A">
        <w:tab/>
        <w:t xml:space="preserve">must give the Commissioner </w:t>
      </w:r>
      <w:r w:rsidR="00B47D62" w:rsidRPr="00BD574A">
        <w:t xml:space="preserve">a statement, in the </w:t>
      </w:r>
      <w:r w:rsidR="00D76191" w:rsidRPr="00BD574A">
        <w:t>approved form,</w:t>
      </w:r>
      <w:r w:rsidRPr="00BD574A">
        <w:t xml:space="preserve"> in relation to the co</w:t>
      </w:r>
      <w:r w:rsidR="00BD574A">
        <w:noBreakHyphen/>
      </w:r>
      <w:r w:rsidRPr="00BD574A">
        <w:t>contribution at the time when the co</w:t>
      </w:r>
      <w:r w:rsidR="00BD574A">
        <w:noBreakHyphen/>
      </w:r>
      <w:r w:rsidRPr="00BD574A">
        <w:t>contribution is repaid.</w:t>
      </w:r>
    </w:p>
    <w:p w:rsidR="0080222D" w:rsidRPr="00BD574A" w:rsidRDefault="0080222D" w:rsidP="0080222D">
      <w:pPr>
        <w:pStyle w:val="notetext"/>
      </w:pPr>
      <w:r w:rsidRPr="00BD574A">
        <w:t>Note:</w:t>
      </w:r>
      <w:r w:rsidRPr="00BD574A">
        <w:tab/>
        <w:t>Section</w:t>
      </w:r>
      <w:r w:rsidR="00BD574A">
        <w:t> </w:t>
      </w:r>
      <w:r w:rsidRPr="00BD574A">
        <w:t>25 provides for the imposition of general interest charge if the co</w:t>
      </w:r>
      <w:r w:rsidR="00BD574A">
        <w:noBreakHyphen/>
      </w:r>
      <w:r w:rsidRPr="00BD574A">
        <w:t>contribution is not repaid within a certain period.</w:t>
      </w:r>
    </w:p>
    <w:p w:rsidR="0080222D" w:rsidRPr="00BD574A" w:rsidRDefault="0080222D" w:rsidP="0080222D">
      <w:pPr>
        <w:pStyle w:val="subsection"/>
      </w:pPr>
      <w:r w:rsidRPr="00BD574A">
        <w:tab/>
        <w:t>(2)</w:t>
      </w:r>
      <w:r w:rsidRPr="00BD574A">
        <w:tab/>
        <w:t xml:space="preserve">The Commissioner may recover from the trustee or provider the amount the trustee or provider is liable to repay under </w:t>
      </w:r>
      <w:r w:rsidR="00BD574A">
        <w:t>subsection (</w:t>
      </w:r>
      <w:r w:rsidRPr="00BD574A">
        <w:t>1) as a debt due to the Commonwealth.</w:t>
      </w:r>
    </w:p>
    <w:p w:rsidR="0080222D" w:rsidRPr="00BD574A" w:rsidRDefault="0080222D" w:rsidP="0080222D">
      <w:pPr>
        <w:pStyle w:val="subsection"/>
      </w:pPr>
      <w:r w:rsidRPr="00BD574A">
        <w:tab/>
        <w:t>(3)</w:t>
      </w:r>
      <w:r w:rsidRPr="00BD574A">
        <w:tab/>
        <w:t xml:space="preserve">The trustee or provider commits an offence if the trustee or provider fails to give the Commissioner </w:t>
      </w:r>
      <w:r w:rsidR="00D76191" w:rsidRPr="00BD574A">
        <w:t>a statement, in the approved form,</w:t>
      </w:r>
      <w:r w:rsidRPr="00BD574A">
        <w:t xml:space="preserve"> in relation to the co</w:t>
      </w:r>
      <w:r w:rsidR="00BD574A">
        <w:noBreakHyphen/>
      </w:r>
      <w:r w:rsidRPr="00BD574A">
        <w:t>contribution at the time when the co</w:t>
      </w:r>
      <w:r w:rsidR="00BD574A">
        <w:noBreakHyphen/>
      </w:r>
      <w:r w:rsidRPr="00BD574A">
        <w:t>contribution is repaid.</w:t>
      </w:r>
    </w:p>
    <w:p w:rsidR="0080222D" w:rsidRPr="00BD574A" w:rsidRDefault="0080222D" w:rsidP="0080222D">
      <w:pPr>
        <w:pStyle w:val="Penalty"/>
      </w:pPr>
      <w:r w:rsidRPr="00BD574A">
        <w:t>Penalty:</w:t>
      </w:r>
      <w:r w:rsidRPr="00BD574A">
        <w:tab/>
        <w:t>50 penalty units.</w:t>
      </w:r>
    </w:p>
    <w:p w:rsidR="0080222D" w:rsidRPr="00BD574A" w:rsidRDefault="0080222D" w:rsidP="0080222D">
      <w:pPr>
        <w:pStyle w:val="subsection"/>
      </w:pPr>
      <w:r w:rsidRPr="00BD574A">
        <w:tab/>
        <w:t>(4)</w:t>
      </w:r>
      <w:r w:rsidRPr="00BD574A">
        <w:tab/>
        <w:t xml:space="preserve">An offence against </w:t>
      </w:r>
      <w:r w:rsidR="00BD574A">
        <w:t>subsection (</w:t>
      </w:r>
      <w:r w:rsidRPr="00BD574A">
        <w:t>3) is an offence of strict liability.</w:t>
      </w:r>
    </w:p>
    <w:p w:rsidR="0080222D" w:rsidRPr="00BD574A" w:rsidRDefault="0080222D" w:rsidP="0080222D">
      <w:pPr>
        <w:pStyle w:val="ActHead5"/>
      </w:pPr>
      <w:bookmarkStart w:id="31" w:name="_Toc487718121"/>
      <w:r w:rsidRPr="00BD574A">
        <w:rPr>
          <w:rStyle w:val="CharSectno"/>
        </w:rPr>
        <w:lastRenderedPageBreak/>
        <w:t>17</w:t>
      </w:r>
      <w:r w:rsidRPr="00BD574A">
        <w:t xml:space="preserve">  Payment of Government co</w:t>
      </w:r>
      <w:r w:rsidR="00BD574A">
        <w:noBreakHyphen/>
      </w:r>
      <w:r w:rsidRPr="00BD574A">
        <w:t>contribution</w:t>
      </w:r>
      <w:bookmarkEnd w:id="31"/>
    </w:p>
    <w:p w:rsidR="0080222D" w:rsidRPr="00BD574A" w:rsidRDefault="0080222D" w:rsidP="0080222D">
      <w:pPr>
        <w:pStyle w:val="subsection"/>
      </w:pPr>
      <w:r w:rsidRPr="00BD574A">
        <w:tab/>
        <w:t>(1)</w:t>
      </w:r>
      <w:r w:rsidRPr="00BD574A">
        <w:tab/>
        <w:t>The Commissioner must, in accordance with determinations made under sections</w:t>
      </w:r>
      <w:r w:rsidR="00BD574A">
        <w:t> </w:t>
      </w:r>
      <w:r w:rsidRPr="00BD574A">
        <w:t>13 and 15, pay the Government co</w:t>
      </w:r>
      <w:r w:rsidR="00BD574A">
        <w:noBreakHyphen/>
      </w:r>
      <w:r w:rsidRPr="00BD574A">
        <w:t>contribution payable in respect of a person for an income year on or before the payment date for the Government co</w:t>
      </w:r>
      <w:r w:rsidR="00BD574A">
        <w:noBreakHyphen/>
      </w:r>
      <w:r w:rsidRPr="00BD574A">
        <w:t>contribution.</w:t>
      </w:r>
    </w:p>
    <w:p w:rsidR="0080222D" w:rsidRPr="00BD574A" w:rsidRDefault="0080222D" w:rsidP="0080222D">
      <w:pPr>
        <w:pStyle w:val="subsection"/>
      </w:pPr>
      <w:r w:rsidRPr="00BD574A">
        <w:tab/>
        <w:t>(2)</w:t>
      </w:r>
      <w:r w:rsidRPr="00BD574A">
        <w:tab/>
        <w:t>The payment date for a Government co</w:t>
      </w:r>
      <w:r w:rsidR="00BD574A">
        <w:noBreakHyphen/>
      </w:r>
      <w:r w:rsidRPr="00BD574A">
        <w:t>contribution is to be worked out in accordance with the regulations.</w:t>
      </w:r>
    </w:p>
    <w:p w:rsidR="0080222D" w:rsidRPr="00BD574A" w:rsidRDefault="0080222D" w:rsidP="0080222D">
      <w:pPr>
        <w:pStyle w:val="subsection"/>
      </w:pPr>
      <w:r w:rsidRPr="00BD574A">
        <w:tab/>
        <w:t>(3)</w:t>
      </w:r>
      <w:r w:rsidRPr="00BD574A">
        <w:tab/>
        <w:t>The regulations may provide that, in the circumstances specified in the regulations, the payment date for a Government co</w:t>
      </w:r>
      <w:r w:rsidR="00BD574A">
        <w:noBreakHyphen/>
      </w:r>
      <w:r w:rsidRPr="00BD574A">
        <w:t>contribution is to be a day that occurs before the determinations under sections</w:t>
      </w:r>
      <w:r w:rsidR="00BD574A">
        <w:t> </w:t>
      </w:r>
      <w:r w:rsidRPr="00BD574A">
        <w:t>13 and 15 are made in relation to the Government co</w:t>
      </w:r>
      <w:r w:rsidR="00BD574A">
        <w:noBreakHyphen/>
      </w:r>
      <w:r w:rsidRPr="00BD574A">
        <w:t>contribution.</w:t>
      </w:r>
    </w:p>
    <w:p w:rsidR="0080222D" w:rsidRPr="00BD574A" w:rsidRDefault="0080222D" w:rsidP="0080222D">
      <w:pPr>
        <w:pStyle w:val="ActHead5"/>
        <w:rPr>
          <w:snapToGrid w:val="0"/>
        </w:rPr>
      </w:pPr>
      <w:bookmarkStart w:id="32" w:name="_Toc487718122"/>
      <w:r w:rsidRPr="00BD574A">
        <w:rPr>
          <w:rStyle w:val="CharSectno"/>
        </w:rPr>
        <w:t>18</w:t>
      </w:r>
      <w:r w:rsidRPr="00BD574A">
        <w:rPr>
          <w:snapToGrid w:val="0"/>
        </w:rPr>
        <w:t xml:space="preserve">  Commissioner to give information if co</w:t>
      </w:r>
      <w:r w:rsidR="00BD574A">
        <w:rPr>
          <w:snapToGrid w:val="0"/>
        </w:rPr>
        <w:noBreakHyphen/>
      </w:r>
      <w:r w:rsidRPr="00BD574A">
        <w:rPr>
          <w:snapToGrid w:val="0"/>
        </w:rPr>
        <w:t>contribution paid</w:t>
      </w:r>
      <w:bookmarkEnd w:id="32"/>
    </w:p>
    <w:p w:rsidR="0080222D" w:rsidRPr="00BD574A" w:rsidRDefault="0080222D" w:rsidP="0080222D">
      <w:pPr>
        <w:pStyle w:val="subsection"/>
      </w:pPr>
      <w:r w:rsidRPr="00BD574A">
        <w:tab/>
        <w:t>(1)</w:t>
      </w:r>
      <w:r w:rsidRPr="00BD574A">
        <w:tab/>
        <w:t>If the Commissioner pays a Government co</w:t>
      </w:r>
      <w:r w:rsidR="00BD574A">
        <w:noBreakHyphen/>
      </w:r>
      <w:r w:rsidRPr="00BD574A">
        <w:t>contribution in respect of a person to:</w:t>
      </w:r>
    </w:p>
    <w:p w:rsidR="0080222D" w:rsidRPr="00BD574A" w:rsidRDefault="0080222D" w:rsidP="0080222D">
      <w:pPr>
        <w:pStyle w:val="paragraph"/>
      </w:pPr>
      <w:r w:rsidRPr="00BD574A">
        <w:tab/>
        <w:t>(a)</w:t>
      </w:r>
      <w:r w:rsidRPr="00BD574A">
        <w:tab/>
        <w:t>the person; or</w:t>
      </w:r>
    </w:p>
    <w:p w:rsidR="0080222D" w:rsidRPr="00BD574A" w:rsidRDefault="0080222D" w:rsidP="0080222D">
      <w:pPr>
        <w:pStyle w:val="paragraph"/>
      </w:pPr>
      <w:r w:rsidRPr="00BD574A">
        <w:tab/>
        <w:t>(b)</w:t>
      </w:r>
      <w:r w:rsidRPr="00BD574A">
        <w:tab/>
        <w:t>the person’s legal personal representative;</w:t>
      </w:r>
    </w:p>
    <w:p w:rsidR="0080222D" w:rsidRPr="00BD574A" w:rsidRDefault="0080222D" w:rsidP="0080222D">
      <w:pPr>
        <w:pStyle w:val="subsection2"/>
      </w:pPr>
      <w:r w:rsidRPr="00BD574A">
        <w:t>the Commissioner must give the person or the representative the prescribed information in relation to the co</w:t>
      </w:r>
      <w:r w:rsidR="00BD574A">
        <w:noBreakHyphen/>
      </w:r>
      <w:r w:rsidRPr="00BD574A">
        <w:t>contribution at the time the co</w:t>
      </w:r>
      <w:r w:rsidR="00BD574A">
        <w:noBreakHyphen/>
      </w:r>
      <w:r w:rsidRPr="00BD574A">
        <w:t>contribution is paid.</w:t>
      </w:r>
    </w:p>
    <w:p w:rsidR="0080222D" w:rsidRPr="00BD574A" w:rsidRDefault="0080222D" w:rsidP="0080222D">
      <w:pPr>
        <w:pStyle w:val="notetext"/>
      </w:pPr>
      <w:r w:rsidRPr="00BD574A">
        <w:t>Note:</w:t>
      </w:r>
      <w:r w:rsidRPr="00BD574A">
        <w:tab/>
        <w:t>The person will be given the details of the contribution:</w:t>
      </w:r>
    </w:p>
    <w:p w:rsidR="0080222D" w:rsidRPr="00BD574A" w:rsidRDefault="0080222D" w:rsidP="0080222D">
      <w:pPr>
        <w:pStyle w:val="notepara"/>
      </w:pPr>
      <w:r w:rsidRPr="00BD574A">
        <w:t>(a)</w:t>
      </w:r>
      <w:r w:rsidRPr="00BD574A">
        <w:tab/>
        <w:t xml:space="preserve">by the superannuation provider under the </w:t>
      </w:r>
      <w:r w:rsidRPr="00BD574A">
        <w:rPr>
          <w:i/>
        </w:rPr>
        <w:t>Corporations Regulations</w:t>
      </w:r>
      <w:r w:rsidR="00BD574A">
        <w:rPr>
          <w:i/>
        </w:rPr>
        <w:t> </w:t>
      </w:r>
      <w:r w:rsidRPr="00BD574A">
        <w:rPr>
          <w:i/>
        </w:rPr>
        <w:t xml:space="preserve">2001 </w:t>
      </w:r>
      <w:r w:rsidRPr="00BD574A">
        <w:t>if the Government co</w:t>
      </w:r>
      <w:r w:rsidR="00BD574A">
        <w:noBreakHyphen/>
      </w:r>
      <w:r w:rsidRPr="00BD574A">
        <w:t>contribution is paid into a complying superannuation fund or an RSA account; and</w:t>
      </w:r>
    </w:p>
    <w:p w:rsidR="0080222D" w:rsidRPr="00BD574A" w:rsidRDefault="0080222D" w:rsidP="0080222D">
      <w:pPr>
        <w:pStyle w:val="notepara"/>
      </w:pPr>
      <w:r w:rsidRPr="00BD574A">
        <w:t>(b)</w:t>
      </w:r>
      <w:r w:rsidRPr="00BD574A">
        <w:tab/>
        <w:t xml:space="preserve">by the Commissioner under the </w:t>
      </w:r>
      <w:r w:rsidRPr="00BD574A">
        <w:rPr>
          <w:i/>
        </w:rPr>
        <w:t>Small Superannuation Accounts Act 1995</w:t>
      </w:r>
      <w:r w:rsidRPr="00BD574A">
        <w:t xml:space="preserve"> if the Government co</w:t>
      </w:r>
      <w:r w:rsidR="00BD574A">
        <w:noBreakHyphen/>
      </w:r>
      <w:r w:rsidRPr="00BD574A">
        <w:t>contribution is paid into an account in the Superannuation Holding Accounts Special Account.</w:t>
      </w:r>
    </w:p>
    <w:p w:rsidR="0080222D" w:rsidRPr="00BD574A" w:rsidRDefault="0080222D" w:rsidP="0080222D">
      <w:pPr>
        <w:pStyle w:val="subsection"/>
      </w:pPr>
      <w:r w:rsidRPr="00BD574A">
        <w:tab/>
        <w:t>(2)</w:t>
      </w:r>
      <w:r w:rsidRPr="00BD574A">
        <w:tab/>
        <w:t>If the Commissioner pays a Government co</w:t>
      </w:r>
      <w:r w:rsidR="00BD574A">
        <w:noBreakHyphen/>
      </w:r>
      <w:r w:rsidRPr="00BD574A">
        <w:t>contribution in respect of a person to:</w:t>
      </w:r>
    </w:p>
    <w:p w:rsidR="0080222D" w:rsidRPr="00BD574A" w:rsidRDefault="0080222D" w:rsidP="0080222D">
      <w:pPr>
        <w:pStyle w:val="paragraph"/>
      </w:pPr>
      <w:r w:rsidRPr="00BD574A">
        <w:tab/>
        <w:t>(a)</w:t>
      </w:r>
      <w:r w:rsidRPr="00BD574A">
        <w:tab/>
        <w:t>the trustee of a complying superannuation fund for crediting to an account of the person within that fund; or</w:t>
      </w:r>
    </w:p>
    <w:p w:rsidR="0080222D" w:rsidRPr="00BD574A" w:rsidRDefault="0080222D" w:rsidP="0080222D">
      <w:pPr>
        <w:pStyle w:val="paragraph"/>
      </w:pPr>
      <w:r w:rsidRPr="00BD574A">
        <w:lastRenderedPageBreak/>
        <w:tab/>
        <w:t>(b)</w:t>
      </w:r>
      <w:r w:rsidRPr="00BD574A">
        <w:tab/>
        <w:t>the provider of an RSA that the person holds for crediting to the RSA;</w:t>
      </w:r>
    </w:p>
    <w:p w:rsidR="0080222D" w:rsidRPr="00BD574A" w:rsidRDefault="0080222D" w:rsidP="0080222D">
      <w:pPr>
        <w:pStyle w:val="subsection2"/>
      </w:pPr>
      <w:r w:rsidRPr="00BD574A">
        <w:t>the Commissioner must give the trustee or provider the prescribed information in relation to the co</w:t>
      </w:r>
      <w:r w:rsidR="00BD574A">
        <w:noBreakHyphen/>
      </w:r>
      <w:r w:rsidRPr="00BD574A">
        <w:t>contribution at the time the co</w:t>
      </w:r>
      <w:r w:rsidR="00BD574A">
        <w:noBreakHyphen/>
      </w:r>
      <w:r w:rsidRPr="00BD574A">
        <w:t>contribution is paid.</w:t>
      </w:r>
    </w:p>
    <w:p w:rsidR="0080222D" w:rsidRPr="00BD574A" w:rsidRDefault="0080222D" w:rsidP="00215433">
      <w:pPr>
        <w:pStyle w:val="ActHead2"/>
        <w:pageBreakBefore/>
      </w:pPr>
      <w:bookmarkStart w:id="33" w:name="_Toc487718123"/>
      <w:r w:rsidRPr="00BD574A">
        <w:rPr>
          <w:rStyle w:val="CharPartNo"/>
        </w:rPr>
        <w:lastRenderedPageBreak/>
        <w:t>Part</w:t>
      </w:r>
      <w:r w:rsidR="00BD574A" w:rsidRPr="00BD574A">
        <w:rPr>
          <w:rStyle w:val="CharPartNo"/>
        </w:rPr>
        <w:t> </w:t>
      </w:r>
      <w:r w:rsidRPr="00BD574A">
        <w:rPr>
          <w:rStyle w:val="CharPartNo"/>
        </w:rPr>
        <w:t>5</w:t>
      </w:r>
      <w:r w:rsidRPr="00BD574A">
        <w:t>—</w:t>
      </w:r>
      <w:r w:rsidRPr="00BD574A">
        <w:rPr>
          <w:rStyle w:val="CharPartText"/>
        </w:rPr>
        <w:t>Underpayments and overpayments</w:t>
      </w:r>
      <w:bookmarkEnd w:id="33"/>
    </w:p>
    <w:p w:rsidR="0080222D" w:rsidRPr="00BD574A" w:rsidRDefault="0080222D" w:rsidP="0080222D">
      <w:pPr>
        <w:pStyle w:val="ActHead3"/>
      </w:pPr>
      <w:bookmarkStart w:id="34" w:name="_Toc487718124"/>
      <w:r w:rsidRPr="00BD574A">
        <w:rPr>
          <w:rStyle w:val="CharDivNo"/>
        </w:rPr>
        <w:t>Division</w:t>
      </w:r>
      <w:r w:rsidR="00BD574A" w:rsidRPr="00BD574A">
        <w:rPr>
          <w:rStyle w:val="CharDivNo"/>
        </w:rPr>
        <w:t> </w:t>
      </w:r>
      <w:r w:rsidRPr="00BD574A">
        <w:rPr>
          <w:rStyle w:val="CharDivNo"/>
        </w:rPr>
        <w:t>1</w:t>
      </w:r>
      <w:r w:rsidRPr="00BD574A">
        <w:t>—</w:t>
      </w:r>
      <w:r w:rsidRPr="00BD574A">
        <w:rPr>
          <w:rStyle w:val="CharDivText"/>
        </w:rPr>
        <w:t>Underpayments</w:t>
      </w:r>
      <w:bookmarkEnd w:id="34"/>
    </w:p>
    <w:p w:rsidR="0080222D" w:rsidRPr="00BD574A" w:rsidRDefault="0080222D" w:rsidP="0080222D">
      <w:pPr>
        <w:pStyle w:val="ActHead5"/>
      </w:pPr>
      <w:bookmarkStart w:id="35" w:name="_Toc487718125"/>
      <w:r w:rsidRPr="00BD574A">
        <w:rPr>
          <w:rStyle w:val="CharSectno"/>
        </w:rPr>
        <w:t>19</w:t>
      </w:r>
      <w:r w:rsidRPr="00BD574A">
        <w:t xml:space="preserve">  Underpayment determinations</w:t>
      </w:r>
      <w:bookmarkEnd w:id="35"/>
    </w:p>
    <w:p w:rsidR="0080222D" w:rsidRPr="00BD574A" w:rsidRDefault="0080222D" w:rsidP="0080222D">
      <w:pPr>
        <w:pStyle w:val="subsection"/>
      </w:pPr>
      <w:r w:rsidRPr="00BD574A">
        <w:tab/>
        <w:t>(1)</w:t>
      </w:r>
      <w:r w:rsidRPr="00BD574A">
        <w:tab/>
        <w:t>This section applies if the Commissioner:</w:t>
      </w:r>
    </w:p>
    <w:p w:rsidR="0080222D" w:rsidRPr="00BD574A" w:rsidRDefault="0080222D" w:rsidP="0080222D">
      <w:pPr>
        <w:pStyle w:val="paragraph"/>
      </w:pPr>
      <w:r w:rsidRPr="00BD574A">
        <w:tab/>
        <w:t>(a)</w:t>
      </w:r>
      <w:r w:rsidRPr="00BD574A">
        <w:tab/>
        <w:t>pays an amount by way of Government co</w:t>
      </w:r>
      <w:r w:rsidR="00BD574A">
        <w:noBreakHyphen/>
      </w:r>
      <w:r w:rsidRPr="00BD574A">
        <w:t>contribution in respect of a person for an income year; and</w:t>
      </w:r>
    </w:p>
    <w:p w:rsidR="0080222D" w:rsidRPr="00BD574A" w:rsidRDefault="0080222D" w:rsidP="0080222D">
      <w:pPr>
        <w:pStyle w:val="paragraph"/>
      </w:pPr>
      <w:r w:rsidRPr="00BD574A">
        <w:tab/>
        <w:t>(b)</w:t>
      </w:r>
      <w:r w:rsidRPr="00BD574A">
        <w:tab/>
        <w:t>is satisfied that the amount paid is less than the correct amount of the co</w:t>
      </w:r>
      <w:r w:rsidR="00BD574A">
        <w:noBreakHyphen/>
      </w:r>
      <w:r w:rsidRPr="00BD574A">
        <w:t>contribution.</w:t>
      </w:r>
    </w:p>
    <w:p w:rsidR="0080222D" w:rsidRPr="00BD574A" w:rsidRDefault="0080222D" w:rsidP="0080222D">
      <w:pPr>
        <w:pStyle w:val="subsection"/>
      </w:pPr>
      <w:r w:rsidRPr="00BD574A">
        <w:tab/>
        <w:t>(2)</w:t>
      </w:r>
      <w:r w:rsidRPr="00BD574A">
        <w:tab/>
        <w:t xml:space="preserve">The amount by which the correct amount exceeds the amount paid is the </w:t>
      </w:r>
      <w:r w:rsidRPr="00BD574A">
        <w:rPr>
          <w:b/>
          <w:i/>
        </w:rPr>
        <w:t>underpaid amount.</w:t>
      </w:r>
    </w:p>
    <w:p w:rsidR="0080222D" w:rsidRPr="00BD574A" w:rsidRDefault="0080222D" w:rsidP="0080222D">
      <w:pPr>
        <w:pStyle w:val="subsection"/>
      </w:pPr>
      <w:r w:rsidRPr="00BD574A">
        <w:tab/>
        <w:t>(3)</w:t>
      </w:r>
      <w:r w:rsidRPr="00BD574A">
        <w:tab/>
        <w:t>The Commissioner must determine that the underpaid amount is to be paid in respect of the person for the income year.</w:t>
      </w:r>
    </w:p>
    <w:p w:rsidR="0080222D" w:rsidRPr="00BD574A" w:rsidRDefault="0080222D" w:rsidP="0080222D">
      <w:pPr>
        <w:pStyle w:val="subsection"/>
      </w:pPr>
      <w:r w:rsidRPr="00BD574A">
        <w:tab/>
        <w:t>(4)</w:t>
      </w:r>
      <w:r w:rsidRPr="00BD574A">
        <w:tab/>
        <w:t xml:space="preserve">If the Commissioner makes a determination under </w:t>
      </w:r>
      <w:r w:rsidR="00BD574A">
        <w:t>subsection (</w:t>
      </w:r>
      <w:r w:rsidRPr="00BD574A">
        <w:t>3), the Commissioner must determine whether the underpaid amount is to be paid:</w:t>
      </w:r>
    </w:p>
    <w:p w:rsidR="0080222D" w:rsidRPr="00BD574A" w:rsidRDefault="0080222D" w:rsidP="0080222D">
      <w:pPr>
        <w:pStyle w:val="paragraph"/>
      </w:pPr>
      <w:r w:rsidRPr="00BD574A">
        <w:tab/>
        <w:t>(a)</w:t>
      </w:r>
      <w:r w:rsidRPr="00BD574A">
        <w:tab/>
        <w:t>to the trustee of a complying superannuation fund for crediting to an account of the person within that fund; or</w:t>
      </w:r>
    </w:p>
    <w:p w:rsidR="0080222D" w:rsidRPr="00BD574A" w:rsidRDefault="0080222D" w:rsidP="0080222D">
      <w:pPr>
        <w:pStyle w:val="paragraph"/>
      </w:pPr>
      <w:r w:rsidRPr="00BD574A">
        <w:tab/>
        <w:t>(b)</w:t>
      </w:r>
      <w:r w:rsidRPr="00BD574A">
        <w:tab/>
        <w:t>to the provider of an RSA that the person holds for crediting to the RSA; or</w:t>
      </w:r>
    </w:p>
    <w:p w:rsidR="0080222D" w:rsidRPr="00BD574A" w:rsidRDefault="0080222D" w:rsidP="0080222D">
      <w:pPr>
        <w:pStyle w:val="paragraph"/>
      </w:pPr>
      <w:r w:rsidRPr="00BD574A">
        <w:tab/>
        <w:t>(c)</w:t>
      </w:r>
      <w:r w:rsidRPr="00BD574A">
        <w:tab/>
        <w:t>to the person; or</w:t>
      </w:r>
    </w:p>
    <w:p w:rsidR="0080222D" w:rsidRPr="00BD574A" w:rsidRDefault="0080222D" w:rsidP="0080222D">
      <w:pPr>
        <w:pStyle w:val="paragraph"/>
      </w:pPr>
      <w:r w:rsidRPr="00BD574A">
        <w:tab/>
        <w:t>(d)</w:t>
      </w:r>
      <w:r w:rsidRPr="00BD574A">
        <w:tab/>
        <w:t>to the person’s legal personal representative; or</w:t>
      </w:r>
    </w:p>
    <w:p w:rsidR="0080222D" w:rsidRPr="00BD574A" w:rsidRDefault="0080222D" w:rsidP="0080222D">
      <w:pPr>
        <w:pStyle w:val="paragraph"/>
      </w:pPr>
      <w:r w:rsidRPr="00BD574A">
        <w:tab/>
        <w:t>(e)</w:t>
      </w:r>
      <w:r w:rsidRPr="00BD574A">
        <w:tab/>
        <w:t>into an account of the person in the Superannuation Holding Accounts Special Account.</w:t>
      </w:r>
    </w:p>
    <w:p w:rsidR="0080222D" w:rsidRPr="00BD574A" w:rsidRDefault="0080222D" w:rsidP="0080222D">
      <w:pPr>
        <w:pStyle w:val="subsection"/>
      </w:pPr>
      <w:r w:rsidRPr="00BD574A">
        <w:tab/>
        <w:t>(5)</w:t>
      </w:r>
      <w:r w:rsidRPr="00BD574A">
        <w:tab/>
        <w:t xml:space="preserve">If the Commissioner makes a determination under </w:t>
      </w:r>
      <w:r w:rsidR="00BD574A">
        <w:t>paragraph (</w:t>
      </w:r>
      <w:r w:rsidRPr="00BD574A">
        <w:t>4)(a) or (b), the Commissioner must also determine which particular account the underpaid amount is to be paid into.</w:t>
      </w:r>
    </w:p>
    <w:p w:rsidR="0080222D" w:rsidRPr="00BD574A" w:rsidRDefault="0080222D" w:rsidP="0080222D">
      <w:pPr>
        <w:pStyle w:val="subsection"/>
      </w:pPr>
      <w:r w:rsidRPr="00BD574A">
        <w:lastRenderedPageBreak/>
        <w:tab/>
        <w:t>(6)</w:t>
      </w:r>
      <w:r w:rsidRPr="00BD574A">
        <w:tab/>
        <w:t xml:space="preserve">The Commissioner must make determinations under </w:t>
      </w:r>
      <w:r w:rsidR="00BD574A">
        <w:t>subsections (</w:t>
      </w:r>
      <w:r w:rsidRPr="00BD574A">
        <w:t>4) and (5) in accordance with the regulations made for the purposes of this section.</w:t>
      </w:r>
    </w:p>
    <w:p w:rsidR="0080222D" w:rsidRPr="00BD574A" w:rsidRDefault="0080222D" w:rsidP="0079625D">
      <w:pPr>
        <w:pStyle w:val="subsection"/>
        <w:keepNext/>
        <w:keepLines/>
      </w:pPr>
      <w:r w:rsidRPr="00BD574A">
        <w:tab/>
        <w:t>(7)</w:t>
      </w:r>
      <w:r w:rsidRPr="00BD574A">
        <w:tab/>
        <w:t>The Commissioner may revoke a determination made under this section if the Commissioner is satisfied that:</w:t>
      </w:r>
    </w:p>
    <w:p w:rsidR="0080222D" w:rsidRPr="00BD574A" w:rsidRDefault="0080222D" w:rsidP="0080222D">
      <w:pPr>
        <w:pStyle w:val="paragraph"/>
      </w:pPr>
      <w:r w:rsidRPr="00BD574A">
        <w:tab/>
        <w:t>(a)</w:t>
      </w:r>
      <w:r w:rsidRPr="00BD574A">
        <w:tab/>
        <w:t>payment of the underpaid amount cannot be effected in accordance with the determination; or</w:t>
      </w:r>
    </w:p>
    <w:p w:rsidR="0080222D" w:rsidRPr="00BD574A" w:rsidRDefault="0080222D" w:rsidP="0080222D">
      <w:pPr>
        <w:pStyle w:val="paragraph"/>
      </w:pPr>
      <w:r w:rsidRPr="00BD574A">
        <w:tab/>
        <w:t>(b)</w:t>
      </w:r>
      <w:r w:rsidRPr="00BD574A">
        <w:tab/>
        <w:t>it is otherwise appropriate in the circumstances to revoke the determination.</w:t>
      </w:r>
    </w:p>
    <w:p w:rsidR="0080222D" w:rsidRPr="00BD574A" w:rsidRDefault="0080222D" w:rsidP="0080222D">
      <w:pPr>
        <w:pStyle w:val="subsection"/>
      </w:pPr>
      <w:r w:rsidRPr="00BD574A">
        <w:tab/>
        <w:t>(8)</w:t>
      </w:r>
      <w:r w:rsidRPr="00BD574A">
        <w:tab/>
        <w:t>The regulations may prescribe the time within which determinations under this section are to be made.</w:t>
      </w:r>
    </w:p>
    <w:p w:rsidR="0080222D" w:rsidRPr="00BD574A" w:rsidRDefault="0080222D" w:rsidP="0080222D">
      <w:pPr>
        <w:pStyle w:val="subsection"/>
      </w:pPr>
      <w:r w:rsidRPr="00BD574A">
        <w:tab/>
        <w:t>(9)</w:t>
      </w:r>
      <w:r w:rsidRPr="00BD574A">
        <w:tab/>
        <w:t>The Commissioner must, in accordance with the determinations made under this section, pay the underpaid amount on or before the payment date for the underpaid amount.</w:t>
      </w:r>
    </w:p>
    <w:p w:rsidR="0080222D" w:rsidRPr="00BD574A" w:rsidRDefault="0080222D" w:rsidP="0080222D">
      <w:pPr>
        <w:pStyle w:val="ActHead5"/>
      </w:pPr>
      <w:bookmarkStart w:id="36" w:name="_Toc487718126"/>
      <w:r w:rsidRPr="00BD574A">
        <w:rPr>
          <w:rStyle w:val="CharSectno"/>
        </w:rPr>
        <w:t>20</w:t>
      </w:r>
      <w:r w:rsidRPr="00BD574A">
        <w:t xml:space="preserve">  Superannuation provider to return underpaid amount that cannot be credited to account</w:t>
      </w:r>
      <w:bookmarkEnd w:id="36"/>
    </w:p>
    <w:p w:rsidR="0080222D" w:rsidRPr="00BD574A" w:rsidRDefault="0080222D" w:rsidP="0080222D">
      <w:pPr>
        <w:pStyle w:val="subsection"/>
      </w:pPr>
      <w:r w:rsidRPr="00BD574A">
        <w:tab/>
        <w:t>(1)</w:t>
      </w:r>
      <w:r w:rsidRPr="00BD574A">
        <w:tab/>
        <w:t>If:</w:t>
      </w:r>
    </w:p>
    <w:p w:rsidR="0080222D" w:rsidRPr="00BD574A" w:rsidRDefault="0080222D" w:rsidP="0080222D">
      <w:pPr>
        <w:pStyle w:val="paragraph"/>
      </w:pPr>
      <w:r w:rsidRPr="00BD574A">
        <w:tab/>
        <w:t>(a)</w:t>
      </w:r>
      <w:r w:rsidRPr="00BD574A">
        <w:tab/>
        <w:t>the underpaid amount in respect of a person is paid:</w:t>
      </w:r>
    </w:p>
    <w:p w:rsidR="0080222D" w:rsidRPr="00BD574A" w:rsidRDefault="0080222D" w:rsidP="0080222D">
      <w:pPr>
        <w:pStyle w:val="paragraphsub"/>
      </w:pPr>
      <w:r w:rsidRPr="00BD574A">
        <w:tab/>
        <w:t>(i)</w:t>
      </w:r>
      <w:r w:rsidRPr="00BD574A">
        <w:tab/>
        <w:t>to the trustee of a complying superannuation fund for crediting to an account of the person within that fund; or</w:t>
      </w:r>
    </w:p>
    <w:p w:rsidR="0080222D" w:rsidRPr="00BD574A" w:rsidRDefault="0080222D" w:rsidP="0080222D">
      <w:pPr>
        <w:pStyle w:val="paragraphsub"/>
      </w:pPr>
      <w:r w:rsidRPr="00BD574A">
        <w:tab/>
        <w:t>(ii)</w:t>
      </w:r>
      <w:r w:rsidRPr="00BD574A">
        <w:tab/>
        <w:t>to the provider of an RSA that the person holds for crediting to the RSA; and</w:t>
      </w:r>
    </w:p>
    <w:p w:rsidR="0080222D" w:rsidRPr="00BD574A" w:rsidRDefault="0080222D" w:rsidP="0080222D">
      <w:pPr>
        <w:pStyle w:val="paragraph"/>
      </w:pPr>
      <w:r w:rsidRPr="00BD574A">
        <w:tab/>
        <w:t>(b)</w:t>
      </w:r>
      <w:r w:rsidRPr="00BD574A">
        <w:tab/>
        <w:t>the trustee or the provider has not credited the underpaid amount to an account of that kind by the end of the 28th day after the day on which the co</w:t>
      </w:r>
      <w:r w:rsidR="00BD574A">
        <w:noBreakHyphen/>
      </w:r>
      <w:r w:rsidRPr="00BD574A">
        <w:t>contribution was paid to the trustee or the provider;</w:t>
      </w:r>
    </w:p>
    <w:p w:rsidR="0080222D" w:rsidRPr="00BD574A" w:rsidRDefault="0080222D" w:rsidP="0080222D">
      <w:pPr>
        <w:pStyle w:val="subsection2"/>
      </w:pPr>
      <w:r w:rsidRPr="00BD574A">
        <w:t>the trustee or the provider:</w:t>
      </w:r>
    </w:p>
    <w:p w:rsidR="0080222D" w:rsidRPr="00BD574A" w:rsidRDefault="0080222D" w:rsidP="0080222D">
      <w:pPr>
        <w:pStyle w:val="paragraph"/>
      </w:pPr>
      <w:r w:rsidRPr="00BD574A">
        <w:tab/>
        <w:t>(c)</w:t>
      </w:r>
      <w:r w:rsidRPr="00BD574A">
        <w:tab/>
        <w:t>is liable to repay the underpaid amount to the Commonwealth; and</w:t>
      </w:r>
    </w:p>
    <w:p w:rsidR="0080222D" w:rsidRPr="00BD574A" w:rsidRDefault="0080222D" w:rsidP="0080222D">
      <w:pPr>
        <w:pStyle w:val="paragraph"/>
      </w:pPr>
      <w:r w:rsidRPr="00BD574A">
        <w:lastRenderedPageBreak/>
        <w:tab/>
        <w:t>(d)</w:t>
      </w:r>
      <w:r w:rsidRPr="00BD574A">
        <w:tab/>
        <w:t xml:space="preserve">must give the Commissioner </w:t>
      </w:r>
      <w:r w:rsidR="00B47D62" w:rsidRPr="00BD574A">
        <w:t xml:space="preserve">a statement, in the </w:t>
      </w:r>
      <w:r w:rsidR="00323BB9" w:rsidRPr="00BD574A">
        <w:t>approved form,</w:t>
      </w:r>
      <w:r w:rsidRPr="00BD574A">
        <w:t xml:space="preserve"> in relation to the underpaid amount at the time when the underpaid amount is repaid.</w:t>
      </w:r>
    </w:p>
    <w:p w:rsidR="0080222D" w:rsidRPr="00BD574A" w:rsidRDefault="0080222D" w:rsidP="0080222D">
      <w:pPr>
        <w:pStyle w:val="notetext"/>
      </w:pPr>
      <w:r w:rsidRPr="00BD574A">
        <w:t>Note:</w:t>
      </w:r>
      <w:r w:rsidRPr="00BD574A">
        <w:tab/>
        <w:t>Section</w:t>
      </w:r>
      <w:r w:rsidR="00BD574A">
        <w:t> </w:t>
      </w:r>
      <w:r w:rsidRPr="00BD574A">
        <w:t>25 provides for the imposition of general interest charge if the underpaid amount is not repaid within a certain period.</w:t>
      </w:r>
    </w:p>
    <w:p w:rsidR="0080222D" w:rsidRPr="00BD574A" w:rsidRDefault="0080222D" w:rsidP="0080222D">
      <w:pPr>
        <w:pStyle w:val="subsection"/>
      </w:pPr>
      <w:r w:rsidRPr="00BD574A">
        <w:tab/>
        <w:t>(2)</w:t>
      </w:r>
      <w:r w:rsidRPr="00BD574A">
        <w:tab/>
        <w:t xml:space="preserve">The Commissioner may recover from the trustee or provider the amount the trustee or provider is liable to repay under </w:t>
      </w:r>
      <w:r w:rsidR="00BD574A">
        <w:t>subsection (</w:t>
      </w:r>
      <w:r w:rsidRPr="00BD574A">
        <w:t>1) as a debt due to the Commonwealth.</w:t>
      </w:r>
    </w:p>
    <w:p w:rsidR="0080222D" w:rsidRPr="00BD574A" w:rsidRDefault="0080222D" w:rsidP="0080222D">
      <w:pPr>
        <w:pStyle w:val="subsection"/>
      </w:pPr>
      <w:r w:rsidRPr="00BD574A">
        <w:tab/>
        <w:t>(3)</w:t>
      </w:r>
      <w:r w:rsidRPr="00BD574A">
        <w:tab/>
        <w:t xml:space="preserve">The trustee or provider commits an offence if the trustee or provider fails to give the Commissioner </w:t>
      </w:r>
      <w:r w:rsidR="00323BB9" w:rsidRPr="00BD574A">
        <w:t>a statement, in the approved form,</w:t>
      </w:r>
      <w:r w:rsidRPr="00BD574A">
        <w:t xml:space="preserve"> in relation to the underpaid amount at the time when the underpaid amount is repaid.</w:t>
      </w:r>
    </w:p>
    <w:p w:rsidR="0080222D" w:rsidRPr="00BD574A" w:rsidRDefault="0080222D" w:rsidP="0080222D">
      <w:pPr>
        <w:pStyle w:val="Penalty"/>
      </w:pPr>
      <w:r w:rsidRPr="00BD574A">
        <w:t>Penalty:</w:t>
      </w:r>
      <w:r w:rsidRPr="00BD574A">
        <w:tab/>
        <w:t>50 penalty units.</w:t>
      </w:r>
    </w:p>
    <w:p w:rsidR="0080222D" w:rsidRPr="00BD574A" w:rsidRDefault="0080222D" w:rsidP="0080222D">
      <w:pPr>
        <w:pStyle w:val="subsection"/>
      </w:pPr>
      <w:r w:rsidRPr="00BD574A">
        <w:tab/>
        <w:t>(4)</w:t>
      </w:r>
      <w:r w:rsidRPr="00BD574A">
        <w:tab/>
        <w:t xml:space="preserve">An offence against </w:t>
      </w:r>
      <w:r w:rsidR="00BD574A">
        <w:t>subsection (</w:t>
      </w:r>
      <w:r w:rsidRPr="00BD574A">
        <w:t>3) is an offence of strict liability.</w:t>
      </w:r>
    </w:p>
    <w:p w:rsidR="0080222D" w:rsidRPr="00BD574A" w:rsidRDefault="0080222D" w:rsidP="0080222D">
      <w:pPr>
        <w:pStyle w:val="ActHead5"/>
      </w:pPr>
      <w:bookmarkStart w:id="37" w:name="_Toc487718127"/>
      <w:r w:rsidRPr="00BD574A">
        <w:rPr>
          <w:rStyle w:val="CharSectno"/>
        </w:rPr>
        <w:t>21</w:t>
      </w:r>
      <w:r w:rsidRPr="00BD574A">
        <w:t xml:space="preserve">  Government co</w:t>
      </w:r>
      <w:r w:rsidR="00BD574A">
        <w:noBreakHyphen/>
      </w:r>
      <w:r w:rsidRPr="00BD574A">
        <w:t>contribution increased by interest amount if underpaid amount paid late in certain circumstances</w:t>
      </w:r>
      <w:bookmarkEnd w:id="37"/>
    </w:p>
    <w:p w:rsidR="0080222D" w:rsidRPr="00BD574A" w:rsidRDefault="0080222D" w:rsidP="0080222D">
      <w:pPr>
        <w:pStyle w:val="subsection"/>
      </w:pPr>
      <w:r w:rsidRPr="00BD574A">
        <w:tab/>
        <w:t>(1)</w:t>
      </w:r>
      <w:r w:rsidRPr="00BD574A">
        <w:tab/>
        <w:t>The amount of the Government co</w:t>
      </w:r>
      <w:r w:rsidR="00BD574A">
        <w:noBreakHyphen/>
      </w:r>
      <w:r w:rsidRPr="00BD574A">
        <w:t xml:space="preserve">contribution in respect of a person for an income year is increased by the amount of interest worked out under </w:t>
      </w:r>
      <w:r w:rsidR="00BD574A">
        <w:t>subsection (</w:t>
      </w:r>
      <w:r w:rsidRPr="00BD574A">
        <w:t>3) if the Commissioner does not pay the underpaid amount in full on or before the payment date for the underpaid amount.</w:t>
      </w:r>
    </w:p>
    <w:p w:rsidR="0080222D" w:rsidRPr="00BD574A" w:rsidRDefault="0080222D" w:rsidP="0080222D">
      <w:pPr>
        <w:pStyle w:val="subsection"/>
      </w:pPr>
      <w:r w:rsidRPr="00BD574A">
        <w:tab/>
        <w:t>(2)</w:t>
      </w:r>
      <w:r w:rsidRPr="00BD574A">
        <w:tab/>
        <w:t>The payment date for the underpaid amount is to be worked out in accordance with the regulations.</w:t>
      </w:r>
    </w:p>
    <w:p w:rsidR="0080222D" w:rsidRPr="00BD574A" w:rsidRDefault="0080222D" w:rsidP="0080222D">
      <w:pPr>
        <w:pStyle w:val="subsection"/>
      </w:pPr>
      <w:r w:rsidRPr="00BD574A">
        <w:tab/>
        <w:t>(3)</w:t>
      </w:r>
      <w:r w:rsidRPr="00BD574A">
        <w:tab/>
        <w:t>The interest is to be calculated:</w:t>
      </w:r>
    </w:p>
    <w:p w:rsidR="0080222D" w:rsidRPr="00BD574A" w:rsidRDefault="0080222D" w:rsidP="0080222D">
      <w:pPr>
        <w:pStyle w:val="paragraph"/>
      </w:pPr>
      <w:r w:rsidRPr="00BD574A">
        <w:tab/>
        <w:t>(a)</w:t>
      </w:r>
      <w:r w:rsidRPr="00BD574A">
        <w:tab/>
        <w:t>on the underpaid amount that remains unpaid on the payment date for the underpaid amount; and</w:t>
      </w:r>
    </w:p>
    <w:p w:rsidR="0080222D" w:rsidRPr="00BD574A" w:rsidRDefault="0080222D" w:rsidP="0080222D">
      <w:pPr>
        <w:pStyle w:val="paragraph"/>
      </w:pPr>
      <w:r w:rsidRPr="00BD574A">
        <w:tab/>
        <w:t>(b)</w:t>
      </w:r>
      <w:r w:rsidRPr="00BD574A">
        <w:tab/>
        <w:t xml:space="preserve">for the period from the payment date for the underpaid amount (see </w:t>
      </w:r>
      <w:r w:rsidR="00BD574A">
        <w:t>subsection (</w:t>
      </w:r>
      <w:r w:rsidRPr="00BD574A">
        <w:t>2)) until the day on which the underpaid amount is paid in full; and</w:t>
      </w:r>
    </w:p>
    <w:p w:rsidR="0080222D" w:rsidRPr="00BD574A" w:rsidRDefault="0080222D" w:rsidP="0080222D">
      <w:pPr>
        <w:pStyle w:val="paragraph"/>
      </w:pPr>
      <w:r w:rsidRPr="00BD574A">
        <w:tab/>
        <w:t>(c)</w:t>
      </w:r>
      <w:r w:rsidRPr="00BD574A">
        <w:tab/>
        <w:t>on a daily basis; and</w:t>
      </w:r>
    </w:p>
    <w:p w:rsidR="0080222D" w:rsidRPr="00BD574A" w:rsidRDefault="0080222D" w:rsidP="0080222D">
      <w:pPr>
        <w:pStyle w:val="paragraph"/>
      </w:pPr>
      <w:r w:rsidRPr="00BD574A">
        <w:lastRenderedPageBreak/>
        <w:tab/>
        <w:t>(d)</w:t>
      </w:r>
      <w:r w:rsidRPr="00BD574A">
        <w:tab/>
        <w:t>at the base interest rate for the day on which the interest is calculated.</w:t>
      </w:r>
    </w:p>
    <w:p w:rsidR="0080222D" w:rsidRPr="00BD574A" w:rsidRDefault="0080222D" w:rsidP="0080222D">
      <w:pPr>
        <w:pStyle w:val="ActHead5"/>
      </w:pPr>
      <w:bookmarkStart w:id="38" w:name="_Toc487718128"/>
      <w:r w:rsidRPr="00BD574A">
        <w:rPr>
          <w:rStyle w:val="CharSectno"/>
        </w:rPr>
        <w:t>22</w:t>
      </w:r>
      <w:r w:rsidRPr="00BD574A">
        <w:t xml:space="preserve">  Government co</w:t>
      </w:r>
      <w:r w:rsidR="00BD574A">
        <w:noBreakHyphen/>
      </w:r>
      <w:r w:rsidRPr="00BD574A">
        <w:t>contribution increased by interest amount if underpaid amount due to administrative error</w:t>
      </w:r>
      <w:bookmarkEnd w:id="38"/>
    </w:p>
    <w:p w:rsidR="0080222D" w:rsidRPr="00BD574A" w:rsidRDefault="0080222D" w:rsidP="0080222D">
      <w:pPr>
        <w:pStyle w:val="subsection"/>
      </w:pPr>
      <w:r w:rsidRPr="00BD574A">
        <w:tab/>
        <w:t>(1)</w:t>
      </w:r>
      <w:r w:rsidRPr="00BD574A">
        <w:tab/>
        <w:t>This section applies if:</w:t>
      </w:r>
    </w:p>
    <w:p w:rsidR="0080222D" w:rsidRPr="00BD574A" w:rsidRDefault="0080222D" w:rsidP="0080222D">
      <w:pPr>
        <w:pStyle w:val="paragraph"/>
      </w:pPr>
      <w:r w:rsidRPr="00BD574A">
        <w:tab/>
        <w:t>(a)</w:t>
      </w:r>
      <w:r w:rsidRPr="00BD574A">
        <w:tab/>
        <w:t>the Commissioner makes a determination under section</w:t>
      </w:r>
      <w:r w:rsidR="00BD574A">
        <w:t> </w:t>
      </w:r>
      <w:r w:rsidRPr="00BD574A">
        <w:t>19 that an underpaid amount is to be paid in respect of a person for an income year; and</w:t>
      </w:r>
    </w:p>
    <w:p w:rsidR="0080222D" w:rsidRPr="00BD574A" w:rsidRDefault="0080222D" w:rsidP="0079625D">
      <w:pPr>
        <w:pStyle w:val="paragraph"/>
        <w:keepNext/>
      </w:pPr>
      <w:r w:rsidRPr="00BD574A">
        <w:tab/>
        <w:t>(b)</w:t>
      </w:r>
      <w:r w:rsidRPr="00BD574A">
        <w:tab/>
        <w:t>the determination is made on the basis that a particular amount is the correct amount of the Government co</w:t>
      </w:r>
      <w:r w:rsidR="00BD574A">
        <w:noBreakHyphen/>
      </w:r>
      <w:r w:rsidRPr="00BD574A">
        <w:t>contribution payable in respect of the person for the income year; and</w:t>
      </w:r>
    </w:p>
    <w:p w:rsidR="0080222D" w:rsidRPr="00BD574A" w:rsidRDefault="0080222D" w:rsidP="0080222D">
      <w:pPr>
        <w:pStyle w:val="paragraph"/>
      </w:pPr>
      <w:r w:rsidRPr="00BD574A">
        <w:tab/>
        <w:t>(c)</w:t>
      </w:r>
      <w:r w:rsidRPr="00BD574A">
        <w:tab/>
        <w:t>the determination is necessary to correct an administrative error.</w:t>
      </w:r>
    </w:p>
    <w:p w:rsidR="0080222D" w:rsidRPr="00BD574A" w:rsidRDefault="0080222D" w:rsidP="0080222D">
      <w:pPr>
        <w:pStyle w:val="subsection"/>
      </w:pPr>
      <w:r w:rsidRPr="00BD574A">
        <w:tab/>
        <w:t>(2)</w:t>
      </w:r>
      <w:r w:rsidRPr="00BD574A">
        <w:tab/>
        <w:t xml:space="preserve">The </w:t>
      </w:r>
      <w:r w:rsidRPr="00BD574A">
        <w:rPr>
          <w:b/>
          <w:i/>
        </w:rPr>
        <w:t>payment shortfall</w:t>
      </w:r>
      <w:r w:rsidRPr="00BD574A">
        <w:t xml:space="preserve"> is the difference between:</w:t>
      </w:r>
    </w:p>
    <w:p w:rsidR="0080222D" w:rsidRPr="00BD574A" w:rsidRDefault="0080222D" w:rsidP="0080222D">
      <w:pPr>
        <w:pStyle w:val="paragraph"/>
      </w:pPr>
      <w:r w:rsidRPr="00BD574A">
        <w:tab/>
        <w:t>(a)</w:t>
      </w:r>
      <w:r w:rsidRPr="00BD574A">
        <w:tab/>
        <w:t xml:space="preserve">the amount referred to in </w:t>
      </w:r>
      <w:r w:rsidR="00BD574A">
        <w:t>paragraph (</w:t>
      </w:r>
      <w:r w:rsidRPr="00BD574A">
        <w:t>1)(b); and</w:t>
      </w:r>
    </w:p>
    <w:p w:rsidR="0080222D" w:rsidRPr="00BD574A" w:rsidRDefault="0080222D" w:rsidP="0080222D">
      <w:pPr>
        <w:pStyle w:val="paragraph"/>
      </w:pPr>
      <w:r w:rsidRPr="00BD574A">
        <w:tab/>
        <w:t>(b)</w:t>
      </w:r>
      <w:r w:rsidRPr="00BD574A">
        <w:tab/>
        <w:t>the sum of the amounts that have already been paid by way of Government co</w:t>
      </w:r>
      <w:r w:rsidR="00BD574A">
        <w:noBreakHyphen/>
      </w:r>
      <w:r w:rsidRPr="00BD574A">
        <w:t>contribution in respect of the person for the income year before the determination under section</w:t>
      </w:r>
      <w:r w:rsidR="00BD574A">
        <w:t> </w:t>
      </w:r>
      <w:r w:rsidRPr="00BD574A">
        <w:t>19 is made</w:t>
      </w:r>
      <w:r w:rsidRPr="00BD574A">
        <w:rPr>
          <w:b/>
          <w:i/>
        </w:rPr>
        <w:t>.</w:t>
      </w:r>
    </w:p>
    <w:p w:rsidR="0080222D" w:rsidRPr="00BD574A" w:rsidRDefault="0080222D" w:rsidP="0080222D">
      <w:pPr>
        <w:pStyle w:val="subsection"/>
      </w:pPr>
      <w:r w:rsidRPr="00BD574A">
        <w:tab/>
        <w:t>(3)</w:t>
      </w:r>
      <w:r w:rsidRPr="00BD574A">
        <w:tab/>
        <w:t>The amount of the Government co</w:t>
      </w:r>
      <w:r w:rsidR="00BD574A">
        <w:noBreakHyphen/>
      </w:r>
      <w:r w:rsidRPr="00BD574A">
        <w:t xml:space="preserve">contribution in respect of the person for the income year is increased by the amount of interest worked out under </w:t>
      </w:r>
      <w:r w:rsidR="00BD574A">
        <w:t>subsection (</w:t>
      </w:r>
      <w:r w:rsidRPr="00BD574A">
        <w:t>4).</w:t>
      </w:r>
    </w:p>
    <w:p w:rsidR="0080222D" w:rsidRPr="00BD574A" w:rsidRDefault="0080222D" w:rsidP="0080222D">
      <w:pPr>
        <w:pStyle w:val="subsection"/>
      </w:pPr>
      <w:r w:rsidRPr="00BD574A">
        <w:tab/>
        <w:t>(4)</w:t>
      </w:r>
      <w:r w:rsidRPr="00BD574A">
        <w:tab/>
        <w:t>The interest is to be calculated:</w:t>
      </w:r>
    </w:p>
    <w:p w:rsidR="0080222D" w:rsidRPr="00BD574A" w:rsidRDefault="0080222D" w:rsidP="0080222D">
      <w:pPr>
        <w:pStyle w:val="paragraph"/>
      </w:pPr>
      <w:r w:rsidRPr="00BD574A">
        <w:tab/>
        <w:t>(a)</w:t>
      </w:r>
      <w:r w:rsidRPr="00BD574A">
        <w:tab/>
        <w:t>on the amount of the payment shortfall; and</w:t>
      </w:r>
    </w:p>
    <w:p w:rsidR="0080222D" w:rsidRPr="00BD574A" w:rsidRDefault="0080222D" w:rsidP="0080222D">
      <w:pPr>
        <w:pStyle w:val="paragraph"/>
      </w:pPr>
      <w:r w:rsidRPr="00BD574A">
        <w:tab/>
        <w:t>(b)</w:t>
      </w:r>
      <w:r w:rsidRPr="00BD574A">
        <w:tab/>
        <w:t>for the period from the payment date for the Government co</w:t>
      </w:r>
      <w:r w:rsidR="00BD574A">
        <w:noBreakHyphen/>
      </w:r>
      <w:r w:rsidRPr="00BD574A">
        <w:t>contribution (see subsection</w:t>
      </w:r>
      <w:r w:rsidR="00BD574A">
        <w:t> </w:t>
      </w:r>
      <w:r w:rsidRPr="00BD574A">
        <w:t>17(2)) until the payment date for the underpaid amount (see subsection</w:t>
      </w:r>
      <w:r w:rsidR="00BD574A">
        <w:t> </w:t>
      </w:r>
      <w:r w:rsidRPr="00BD574A">
        <w:t>21(2)); and</w:t>
      </w:r>
    </w:p>
    <w:p w:rsidR="0080222D" w:rsidRPr="00BD574A" w:rsidRDefault="0080222D" w:rsidP="0080222D">
      <w:pPr>
        <w:pStyle w:val="paragraph"/>
      </w:pPr>
      <w:r w:rsidRPr="00BD574A">
        <w:tab/>
        <w:t>(c)</w:t>
      </w:r>
      <w:r w:rsidRPr="00BD574A">
        <w:tab/>
        <w:t>on a daily basis; and</w:t>
      </w:r>
    </w:p>
    <w:p w:rsidR="0080222D" w:rsidRPr="00BD574A" w:rsidRDefault="0080222D" w:rsidP="0080222D">
      <w:pPr>
        <w:pStyle w:val="paragraph"/>
      </w:pPr>
      <w:r w:rsidRPr="00BD574A">
        <w:tab/>
        <w:t>(d)</w:t>
      </w:r>
      <w:r w:rsidRPr="00BD574A">
        <w:tab/>
        <w:t>at the base interest rate for the day on which the interest is calculated.</w:t>
      </w:r>
    </w:p>
    <w:p w:rsidR="0080222D" w:rsidRPr="00BD574A" w:rsidRDefault="0080222D" w:rsidP="0080222D">
      <w:pPr>
        <w:pStyle w:val="subsection"/>
      </w:pPr>
      <w:r w:rsidRPr="00BD574A">
        <w:lastRenderedPageBreak/>
        <w:tab/>
        <w:t>(5)</w:t>
      </w:r>
      <w:r w:rsidRPr="00BD574A">
        <w:tab/>
        <w:t>The regulations:</w:t>
      </w:r>
    </w:p>
    <w:p w:rsidR="0080222D" w:rsidRPr="00BD574A" w:rsidRDefault="0080222D" w:rsidP="0080222D">
      <w:pPr>
        <w:pStyle w:val="paragraph"/>
      </w:pPr>
      <w:r w:rsidRPr="00BD574A">
        <w:tab/>
        <w:t>(a)</w:t>
      </w:r>
      <w:r w:rsidRPr="00BD574A">
        <w:tab/>
        <w:t>may provide that an error of a kind specified in the regulations is an administrative error for the purposes of this section; and</w:t>
      </w:r>
    </w:p>
    <w:p w:rsidR="0080222D" w:rsidRPr="00BD574A" w:rsidRDefault="0080222D" w:rsidP="0080222D">
      <w:pPr>
        <w:pStyle w:val="paragraph"/>
      </w:pPr>
      <w:r w:rsidRPr="00BD574A">
        <w:tab/>
        <w:t>(b)</w:t>
      </w:r>
      <w:r w:rsidRPr="00BD574A">
        <w:tab/>
        <w:t>may provide that an error of a kind specified in the regulations is not an administrative error for the purposes of this section.</w:t>
      </w:r>
    </w:p>
    <w:p w:rsidR="0080222D" w:rsidRPr="00BD574A" w:rsidRDefault="0080222D" w:rsidP="00DC0886">
      <w:pPr>
        <w:pStyle w:val="ActHead5"/>
      </w:pPr>
      <w:bookmarkStart w:id="39" w:name="_Toc487718129"/>
      <w:r w:rsidRPr="00BD574A">
        <w:rPr>
          <w:rStyle w:val="CharSectno"/>
        </w:rPr>
        <w:t>23</w:t>
      </w:r>
      <w:r w:rsidRPr="00BD574A">
        <w:t xml:space="preserve">  Small underpayments</w:t>
      </w:r>
      <w:bookmarkEnd w:id="39"/>
    </w:p>
    <w:p w:rsidR="0080222D" w:rsidRPr="00BD574A" w:rsidRDefault="0080222D" w:rsidP="00DC0886">
      <w:pPr>
        <w:pStyle w:val="subsection"/>
        <w:keepNext/>
        <w:keepLines/>
      </w:pPr>
      <w:r w:rsidRPr="00BD574A">
        <w:tab/>
      </w:r>
      <w:r w:rsidRPr="00BD574A">
        <w:tab/>
        <w:t>If:</w:t>
      </w:r>
    </w:p>
    <w:p w:rsidR="0080222D" w:rsidRPr="00BD574A" w:rsidRDefault="0080222D" w:rsidP="00DC0886">
      <w:pPr>
        <w:pStyle w:val="paragraph"/>
        <w:keepNext/>
        <w:keepLines/>
      </w:pPr>
      <w:r w:rsidRPr="00BD574A">
        <w:tab/>
        <w:t>(a)</w:t>
      </w:r>
      <w:r w:rsidRPr="00BD574A">
        <w:tab/>
        <w:t>the Commissioner makes a determination under section</w:t>
      </w:r>
      <w:r w:rsidR="00BD574A">
        <w:t> </w:t>
      </w:r>
      <w:r w:rsidRPr="00BD574A">
        <w:t>19 in relation to a Government co</w:t>
      </w:r>
      <w:r w:rsidR="00BD574A">
        <w:noBreakHyphen/>
      </w:r>
      <w:r w:rsidRPr="00BD574A">
        <w:t>contribution in respect of a person for an income year; and</w:t>
      </w:r>
    </w:p>
    <w:p w:rsidR="0080222D" w:rsidRPr="00BD574A" w:rsidRDefault="0080222D" w:rsidP="0080222D">
      <w:pPr>
        <w:pStyle w:val="paragraph"/>
      </w:pPr>
      <w:r w:rsidRPr="00BD574A">
        <w:tab/>
        <w:t>(b)</w:t>
      </w:r>
      <w:r w:rsidRPr="00BD574A">
        <w:tab/>
        <w:t>the underpaid amount is less than $5; and</w:t>
      </w:r>
    </w:p>
    <w:p w:rsidR="0080222D" w:rsidRPr="00BD574A" w:rsidRDefault="0080222D" w:rsidP="0080222D">
      <w:pPr>
        <w:pStyle w:val="paragraph"/>
      </w:pPr>
      <w:r w:rsidRPr="00BD574A">
        <w:tab/>
        <w:t>(c)</w:t>
      </w:r>
      <w:r w:rsidRPr="00BD574A">
        <w:tab/>
        <w:t>the underpaid amount is to be paid by cheque to:</w:t>
      </w:r>
    </w:p>
    <w:p w:rsidR="0080222D" w:rsidRPr="00BD574A" w:rsidRDefault="0080222D" w:rsidP="0080222D">
      <w:pPr>
        <w:pStyle w:val="paragraphsub"/>
      </w:pPr>
      <w:r w:rsidRPr="00BD574A">
        <w:tab/>
        <w:t>(i)</w:t>
      </w:r>
      <w:r w:rsidRPr="00BD574A">
        <w:tab/>
        <w:t>the person; or</w:t>
      </w:r>
    </w:p>
    <w:p w:rsidR="0080222D" w:rsidRPr="00BD574A" w:rsidRDefault="0080222D" w:rsidP="0080222D">
      <w:pPr>
        <w:pStyle w:val="paragraphsub"/>
      </w:pPr>
      <w:r w:rsidRPr="00BD574A">
        <w:tab/>
        <w:t>(ii)</w:t>
      </w:r>
      <w:r w:rsidRPr="00BD574A">
        <w:tab/>
        <w:t>the person’s legal personal representative;</w:t>
      </w:r>
    </w:p>
    <w:p w:rsidR="0080222D" w:rsidRPr="00BD574A" w:rsidRDefault="0080222D" w:rsidP="0080222D">
      <w:pPr>
        <w:pStyle w:val="subsection2"/>
      </w:pPr>
      <w:r w:rsidRPr="00BD574A">
        <w:t>the amount of the co</w:t>
      </w:r>
      <w:r w:rsidR="00BD574A">
        <w:noBreakHyphen/>
      </w:r>
      <w:r w:rsidRPr="00BD574A">
        <w:t>contribution is increased by the difference between $5 and the underpaid amount.</w:t>
      </w:r>
    </w:p>
    <w:p w:rsidR="0080222D" w:rsidRPr="00BD574A" w:rsidRDefault="0080222D" w:rsidP="00215433">
      <w:pPr>
        <w:pStyle w:val="ActHead3"/>
        <w:pageBreakBefore/>
      </w:pPr>
      <w:bookmarkStart w:id="40" w:name="_Toc487718130"/>
      <w:r w:rsidRPr="00BD574A">
        <w:rPr>
          <w:rStyle w:val="CharDivNo"/>
        </w:rPr>
        <w:lastRenderedPageBreak/>
        <w:t>Division</w:t>
      </w:r>
      <w:r w:rsidR="00BD574A" w:rsidRPr="00BD574A">
        <w:rPr>
          <w:rStyle w:val="CharDivNo"/>
        </w:rPr>
        <w:t> </w:t>
      </w:r>
      <w:r w:rsidRPr="00BD574A">
        <w:rPr>
          <w:rStyle w:val="CharDivNo"/>
        </w:rPr>
        <w:t>2</w:t>
      </w:r>
      <w:r w:rsidRPr="00BD574A">
        <w:t>—</w:t>
      </w:r>
      <w:r w:rsidRPr="00BD574A">
        <w:rPr>
          <w:rStyle w:val="CharDivText"/>
        </w:rPr>
        <w:t>Recovery of overpayments</w:t>
      </w:r>
      <w:bookmarkEnd w:id="40"/>
    </w:p>
    <w:p w:rsidR="0080222D" w:rsidRPr="00BD574A" w:rsidRDefault="0080222D" w:rsidP="0080222D">
      <w:pPr>
        <w:pStyle w:val="ActHead5"/>
      </w:pPr>
      <w:bookmarkStart w:id="41" w:name="_Toc487718131"/>
      <w:r w:rsidRPr="00BD574A">
        <w:rPr>
          <w:rStyle w:val="CharSectno"/>
        </w:rPr>
        <w:t>24</w:t>
      </w:r>
      <w:r w:rsidRPr="00BD574A">
        <w:t xml:space="preserve">  Recovery of overpayment of Government co</w:t>
      </w:r>
      <w:r w:rsidR="00BD574A">
        <w:noBreakHyphen/>
      </w:r>
      <w:r w:rsidRPr="00BD574A">
        <w:t>contribution in respect of a person</w:t>
      </w:r>
      <w:bookmarkEnd w:id="41"/>
    </w:p>
    <w:p w:rsidR="0080222D" w:rsidRPr="00BD574A" w:rsidRDefault="0080222D" w:rsidP="0080222D">
      <w:pPr>
        <w:pStyle w:val="subsection"/>
      </w:pPr>
      <w:r w:rsidRPr="00BD574A">
        <w:tab/>
        <w:t>(1)</w:t>
      </w:r>
      <w:r w:rsidRPr="00BD574A">
        <w:tab/>
        <w:t>This section applies if:</w:t>
      </w:r>
    </w:p>
    <w:p w:rsidR="0080222D" w:rsidRPr="00BD574A" w:rsidRDefault="0080222D" w:rsidP="0080222D">
      <w:pPr>
        <w:pStyle w:val="paragraph"/>
      </w:pPr>
      <w:r w:rsidRPr="00BD574A">
        <w:tab/>
        <w:t>(a)</w:t>
      </w:r>
      <w:r w:rsidRPr="00BD574A">
        <w:tab/>
        <w:t>the Commissioner pays an amount by way of Government co</w:t>
      </w:r>
      <w:r w:rsidR="00BD574A">
        <w:noBreakHyphen/>
      </w:r>
      <w:r w:rsidRPr="00BD574A">
        <w:t>contribution in respect of a person for an income year; and</w:t>
      </w:r>
    </w:p>
    <w:p w:rsidR="0080222D" w:rsidRPr="00BD574A" w:rsidRDefault="0080222D" w:rsidP="0080222D">
      <w:pPr>
        <w:pStyle w:val="paragraph"/>
      </w:pPr>
      <w:r w:rsidRPr="00BD574A">
        <w:tab/>
        <w:t>(b)</w:t>
      </w:r>
      <w:r w:rsidRPr="00BD574A">
        <w:tab/>
        <w:t>either:</w:t>
      </w:r>
    </w:p>
    <w:p w:rsidR="0080222D" w:rsidRPr="00BD574A" w:rsidRDefault="0080222D" w:rsidP="0080222D">
      <w:pPr>
        <w:pStyle w:val="paragraphsub"/>
      </w:pPr>
      <w:r w:rsidRPr="00BD574A">
        <w:tab/>
        <w:t>(i)</w:t>
      </w:r>
      <w:r w:rsidRPr="00BD574A">
        <w:tab/>
        <w:t>the co</w:t>
      </w:r>
      <w:r w:rsidR="00BD574A">
        <w:noBreakHyphen/>
      </w:r>
      <w:r w:rsidRPr="00BD574A">
        <w:t>contribution was not payable in respect of the person for the income year; or</w:t>
      </w:r>
    </w:p>
    <w:p w:rsidR="0080222D" w:rsidRPr="00BD574A" w:rsidRDefault="0080222D" w:rsidP="0080222D">
      <w:pPr>
        <w:pStyle w:val="paragraphsub"/>
      </w:pPr>
      <w:r w:rsidRPr="00BD574A">
        <w:tab/>
        <w:t>(ii)</w:t>
      </w:r>
      <w:r w:rsidRPr="00BD574A">
        <w:tab/>
        <w:t>the amount paid is more than the correct amount of the co</w:t>
      </w:r>
      <w:r w:rsidR="00BD574A">
        <w:noBreakHyphen/>
      </w:r>
      <w:r w:rsidRPr="00BD574A">
        <w:t>contribution.</w:t>
      </w:r>
    </w:p>
    <w:p w:rsidR="0080222D" w:rsidRPr="00BD574A" w:rsidRDefault="0080222D" w:rsidP="0080222D">
      <w:pPr>
        <w:pStyle w:val="subsection"/>
      </w:pPr>
      <w:r w:rsidRPr="00BD574A">
        <w:tab/>
        <w:t>(2)</w:t>
      </w:r>
      <w:r w:rsidRPr="00BD574A">
        <w:tab/>
        <w:t xml:space="preserve">The </w:t>
      </w:r>
      <w:r w:rsidRPr="00BD574A">
        <w:rPr>
          <w:b/>
          <w:i/>
        </w:rPr>
        <w:t>amount overpaid</w:t>
      </w:r>
      <w:r w:rsidRPr="00BD574A">
        <w:t xml:space="preserve"> is:</w:t>
      </w:r>
    </w:p>
    <w:p w:rsidR="0080222D" w:rsidRPr="00BD574A" w:rsidRDefault="0080222D" w:rsidP="0080222D">
      <w:pPr>
        <w:pStyle w:val="paragraph"/>
      </w:pPr>
      <w:r w:rsidRPr="00BD574A">
        <w:tab/>
        <w:t>(a)</w:t>
      </w:r>
      <w:r w:rsidRPr="00BD574A">
        <w:tab/>
        <w:t xml:space="preserve">the whole of the amount referred to in </w:t>
      </w:r>
      <w:r w:rsidR="00BD574A">
        <w:t>paragraph (</w:t>
      </w:r>
      <w:r w:rsidRPr="00BD574A">
        <w:t>1)(a) if the co</w:t>
      </w:r>
      <w:r w:rsidR="00BD574A">
        <w:noBreakHyphen/>
      </w:r>
      <w:r w:rsidRPr="00BD574A">
        <w:t>contribution was not payable in respect of the person for the income year; or</w:t>
      </w:r>
    </w:p>
    <w:p w:rsidR="0080222D" w:rsidRPr="00BD574A" w:rsidRDefault="0080222D" w:rsidP="0080222D">
      <w:pPr>
        <w:pStyle w:val="paragraph"/>
      </w:pPr>
      <w:r w:rsidRPr="00BD574A">
        <w:tab/>
        <w:t>(b)</w:t>
      </w:r>
      <w:r w:rsidRPr="00BD574A">
        <w:tab/>
        <w:t>the amount by which the amount paid exceeds the correct amount if the amount paid is more than the correct amount of the co</w:t>
      </w:r>
      <w:r w:rsidR="00BD574A">
        <w:noBreakHyphen/>
      </w:r>
      <w:r w:rsidRPr="00BD574A">
        <w:t>contribution.</w:t>
      </w:r>
    </w:p>
    <w:p w:rsidR="0080222D" w:rsidRPr="00BD574A" w:rsidRDefault="0080222D" w:rsidP="0080222D">
      <w:pPr>
        <w:pStyle w:val="subsection"/>
      </w:pPr>
      <w:r w:rsidRPr="00BD574A">
        <w:tab/>
        <w:t>(3)</w:t>
      </w:r>
      <w:r w:rsidRPr="00BD574A">
        <w:tab/>
        <w:t>The Commissioner may take action to recover the amount overpaid under one or more of the items in the following table but may only take action under an item if the conditions (if any) specified for that item are satisfied:</w:t>
      </w:r>
    </w:p>
    <w:p w:rsidR="0080222D" w:rsidRPr="00BD574A" w:rsidRDefault="0080222D" w:rsidP="00F136B1">
      <w:pPr>
        <w:pStyle w:val="Tabletext"/>
      </w:pPr>
    </w:p>
    <w:tbl>
      <w:tblPr>
        <w:tblW w:w="7088" w:type="dxa"/>
        <w:tblInd w:w="249"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9"/>
        <w:gridCol w:w="3189"/>
        <w:gridCol w:w="3190"/>
      </w:tblGrid>
      <w:tr w:rsidR="0080222D" w:rsidRPr="00BD574A" w:rsidTr="00F136B1">
        <w:trPr>
          <w:tblHeader/>
        </w:trPr>
        <w:tc>
          <w:tcPr>
            <w:tcW w:w="7088" w:type="dxa"/>
            <w:gridSpan w:val="3"/>
            <w:tcBorders>
              <w:top w:val="single" w:sz="12" w:space="0" w:color="auto"/>
              <w:bottom w:val="single" w:sz="6" w:space="0" w:color="auto"/>
            </w:tcBorders>
            <w:shd w:val="clear" w:color="auto" w:fill="auto"/>
          </w:tcPr>
          <w:p w:rsidR="0080222D" w:rsidRPr="00BD574A" w:rsidRDefault="0080222D" w:rsidP="00F136B1">
            <w:pPr>
              <w:pStyle w:val="TableHeading"/>
            </w:pPr>
            <w:r w:rsidRPr="00BD574A">
              <w:t>Methods for recovering amount overpaid</w:t>
            </w:r>
          </w:p>
        </w:tc>
      </w:tr>
      <w:tr w:rsidR="0080222D" w:rsidRPr="00BD574A" w:rsidTr="00A703E7">
        <w:trPr>
          <w:tblHeader/>
        </w:trPr>
        <w:tc>
          <w:tcPr>
            <w:tcW w:w="709" w:type="dxa"/>
            <w:tcBorders>
              <w:top w:val="single" w:sz="6" w:space="0" w:color="auto"/>
              <w:bottom w:val="single" w:sz="12" w:space="0" w:color="auto"/>
            </w:tcBorders>
            <w:shd w:val="clear" w:color="auto" w:fill="auto"/>
          </w:tcPr>
          <w:p w:rsidR="0080222D" w:rsidRPr="00BD574A" w:rsidRDefault="0080222D" w:rsidP="0080222D">
            <w:pPr>
              <w:pStyle w:val="Tabletext"/>
              <w:keepNext/>
              <w:rPr>
                <w:b/>
              </w:rPr>
            </w:pPr>
            <w:r w:rsidRPr="00BD574A">
              <w:rPr>
                <w:b/>
              </w:rPr>
              <w:t>Item</w:t>
            </w:r>
          </w:p>
        </w:tc>
        <w:tc>
          <w:tcPr>
            <w:tcW w:w="3189" w:type="dxa"/>
            <w:tcBorders>
              <w:top w:val="single" w:sz="6" w:space="0" w:color="auto"/>
              <w:bottom w:val="single" w:sz="12" w:space="0" w:color="auto"/>
            </w:tcBorders>
            <w:shd w:val="clear" w:color="auto" w:fill="auto"/>
          </w:tcPr>
          <w:p w:rsidR="0080222D" w:rsidRPr="00BD574A" w:rsidRDefault="0080222D" w:rsidP="0080222D">
            <w:pPr>
              <w:pStyle w:val="Tabletext"/>
              <w:keepNext/>
              <w:rPr>
                <w:b/>
              </w:rPr>
            </w:pPr>
            <w:r w:rsidRPr="00BD574A">
              <w:rPr>
                <w:b/>
              </w:rPr>
              <w:t>Action the Commissioner may take to recover amount overpaid</w:t>
            </w:r>
          </w:p>
        </w:tc>
        <w:tc>
          <w:tcPr>
            <w:tcW w:w="3190" w:type="dxa"/>
            <w:tcBorders>
              <w:top w:val="single" w:sz="6" w:space="0" w:color="auto"/>
              <w:bottom w:val="single" w:sz="12" w:space="0" w:color="auto"/>
            </w:tcBorders>
            <w:shd w:val="clear" w:color="auto" w:fill="auto"/>
          </w:tcPr>
          <w:p w:rsidR="0080222D" w:rsidRPr="00BD574A" w:rsidRDefault="0080222D" w:rsidP="0080222D">
            <w:pPr>
              <w:pStyle w:val="Tabletext"/>
              <w:keepNext/>
              <w:rPr>
                <w:b/>
              </w:rPr>
            </w:pPr>
            <w:r w:rsidRPr="00BD574A">
              <w:rPr>
                <w:b/>
              </w:rPr>
              <w:t>Conditions to be satisfied</w:t>
            </w:r>
          </w:p>
        </w:tc>
      </w:tr>
      <w:tr w:rsidR="0080222D" w:rsidRPr="00BD574A" w:rsidTr="00A703E7">
        <w:tc>
          <w:tcPr>
            <w:tcW w:w="709" w:type="dxa"/>
            <w:tcBorders>
              <w:top w:val="single" w:sz="12" w:space="0" w:color="auto"/>
              <w:bottom w:val="single" w:sz="4" w:space="0" w:color="auto"/>
            </w:tcBorders>
            <w:shd w:val="clear" w:color="auto" w:fill="auto"/>
          </w:tcPr>
          <w:p w:rsidR="0080222D" w:rsidRPr="00BD574A" w:rsidRDefault="0080222D" w:rsidP="0080222D">
            <w:pPr>
              <w:pStyle w:val="Tabletext"/>
            </w:pPr>
            <w:bookmarkStart w:id="42" w:name="CU_344476"/>
            <w:bookmarkEnd w:id="42"/>
            <w:r w:rsidRPr="00BD574A">
              <w:t>1</w:t>
            </w:r>
          </w:p>
        </w:tc>
        <w:tc>
          <w:tcPr>
            <w:tcW w:w="3189" w:type="dxa"/>
            <w:tcBorders>
              <w:top w:val="single" w:sz="12" w:space="0" w:color="auto"/>
              <w:bottom w:val="single" w:sz="4" w:space="0" w:color="auto"/>
            </w:tcBorders>
            <w:shd w:val="clear" w:color="auto" w:fill="auto"/>
          </w:tcPr>
          <w:p w:rsidR="0080222D" w:rsidRPr="00BD574A" w:rsidRDefault="0080222D" w:rsidP="0080222D">
            <w:pPr>
              <w:pStyle w:val="Tabletext"/>
            </w:pPr>
            <w:r w:rsidRPr="00BD574A">
              <w:t>The Commissioner may deduct the whole or a part of the amount overpaid from any Government co</w:t>
            </w:r>
            <w:r w:rsidR="00BD574A">
              <w:noBreakHyphen/>
            </w:r>
            <w:r w:rsidRPr="00BD574A">
              <w:t>contribution payable in respect of the person.</w:t>
            </w:r>
          </w:p>
        </w:tc>
        <w:tc>
          <w:tcPr>
            <w:tcW w:w="3190" w:type="dxa"/>
            <w:tcBorders>
              <w:top w:val="single" w:sz="12" w:space="0" w:color="auto"/>
              <w:bottom w:val="single" w:sz="4" w:space="0" w:color="auto"/>
            </w:tcBorders>
            <w:shd w:val="clear" w:color="auto" w:fill="auto"/>
          </w:tcPr>
          <w:p w:rsidR="0080222D" w:rsidRPr="00BD574A" w:rsidRDefault="0080222D" w:rsidP="0080222D">
            <w:pPr>
              <w:pStyle w:val="Tabletext"/>
              <w:rPr>
                <w:b/>
              </w:rPr>
            </w:pPr>
          </w:p>
        </w:tc>
      </w:tr>
      <w:tr w:rsidR="0080222D" w:rsidRPr="00BD574A" w:rsidTr="00A703E7">
        <w:trPr>
          <w:cantSplit/>
        </w:trPr>
        <w:tc>
          <w:tcPr>
            <w:tcW w:w="709" w:type="dxa"/>
            <w:tcBorders>
              <w:top w:val="single" w:sz="4" w:space="0" w:color="auto"/>
              <w:bottom w:val="single" w:sz="4" w:space="0" w:color="auto"/>
            </w:tcBorders>
            <w:shd w:val="clear" w:color="auto" w:fill="auto"/>
          </w:tcPr>
          <w:p w:rsidR="0080222D" w:rsidRPr="00BD574A" w:rsidRDefault="0080222D" w:rsidP="0080222D">
            <w:pPr>
              <w:pStyle w:val="Tabletext"/>
            </w:pPr>
            <w:r w:rsidRPr="00BD574A">
              <w:lastRenderedPageBreak/>
              <w:t>2</w:t>
            </w:r>
          </w:p>
        </w:tc>
        <w:tc>
          <w:tcPr>
            <w:tcW w:w="3189" w:type="dxa"/>
            <w:tcBorders>
              <w:top w:val="single" w:sz="4" w:space="0" w:color="auto"/>
              <w:bottom w:val="single" w:sz="4" w:space="0" w:color="auto"/>
            </w:tcBorders>
            <w:shd w:val="clear" w:color="auto" w:fill="auto"/>
          </w:tcPr>
          <w:p w:rsidR="0080222D" w:rsidRPr="00BD574A" w:rsidRDefault="0080222D" w:rsidP="0080222D">
            <w:pPr>
              <w:pStyle w:val="Tabletext"/>
            </w:pPr>
            <w:r w:rsidRPr="00BD574A">
              <w:t>The Commissioner may debit an account of the person in the Superannuation Holding Accounts Special Account with the whole or a part of the amount overpaid.</w:t>
            </w:r>
          </w:p>
        </w:tc>
        <w:tc>
          <w:tcPr>
            <w:tcW w:w="3190" w:type="dxa"/>
            <w:tcBorders>
              <w:top w:val="single" w:sz="4" w:space="0" w:color="auto"/>
              <w:bottom w:val="single" w:sz="4" w:space="0" w:color="auto"/>
            </w:tcBorders>
            <w:shd w:val="clear" w:color="auto" w:fill="auto"/>
          </w:tcPr>
          <w:p w:rsidR="0080222D" w:rsidRPr="00BD574A" w:rsidRDefault="0080222D" w:rsidP="0080222D">
            <w:pPr>
              <w:pStyle w:val="Tabletext"/>
            </w:pPr>
            <w:r w:rsidRPr="00BD574A">
              <w:t>The account must include one or more Government co</w:t>
            </w:r>
            <w:r w:rsidR="00BD574A">
              <w:noBreakHyphen/>
            </w:r>
            <w:r w:rsidRPr="00BD574A">
              <w:t>contributions in respect of the person.</w:t>
            </w:r>
          </w:p>
          <w:p w:rsidR="0080222D" w:rsidRPr="00BD574A" w:rsidRDefault="0080222D" w:rsidP="0080222D">
            <w:pPr>
              <w:pStyle w:val="Tabletext"/>
            </w:pPr>
            <w:r w:rsidRPr="00BD574A">
              <w:t>The amount debited must not exceed the amount of those Government co</w:t>
            </w:r>
            <w:r w:rsidR="00BD574A">
              <w:noBreakHyphen/>
            </w:r>
            <w:r w:rsidRPr="00BD574A">
              <w:t>contributions.</w:t>
            </w:r>
          </w:p>
        </w:tc>
      </w:tr>
      <w:tr w:rsidR="0080222D" w:rsidRPr="00BD574A" w:rsidTr="00F136B1">
        <w:tc>
          <w:tcPr>
            <w:tcW w:w="709" w:type="dxa"/>
            <w:tcBorders>
              <w:bottom w:val="single" w:sz="4" w:space="0" w:color="auto"/>
            </w:tcBorders>
            <w:shd w:val="clear" w:color="auto" w:fill="auto"/>
          </w:tcPr>
          <w:p w:rsidR="0080222D" w:rsidRPr="00BD574A" w:rsidRDefault="0080222D" w:rsidP="0080222D">
            <w:pPr>
              <w:pStyle w:val="Tabletext"/>
            </w:pPr>
            <w:bookmarkStart w:id="43" w:name="CU_544955"/>
            <w:bookmarkEnd w:id="43"/>
            <w:r w:rsidRPr="00BD574A">
              <w:t>3</w:t>
            </w:r>
          </w:p>
        </w:tc>
        <w:tc>
          <w:tcPr>
            <w:tcW w:w="3189" w:type="dxa"/>
            <w:tcBorders>
              <w:bottom w:val="single" w:sz="4" w:space="0" w:color="auto"/>
            </w:tcBorders>
            <w:shd w:val="clear" w:color="auto" w:fill="auto"/>
          </w:tcPr>
          <w:p w:rsidR="0080222D" w:rsidRPr="00BD574A" w:rsidRDefault="0080222D" w:rsidP="0080222D">
            <w:pPr>
              <w:pStyle w:val="Tabletext"/>
            </w:pPr>
            <w:r w:rsidRPr="00BD574A">
              <w:t>The Commissioner may recover the whole or a part of the amount overpaid from the person (or the person’s legal personal representative) as a debt due by the person (or the representative) to the Commonwealth.</w:t>
            </w:r>
          </w:p>
        </w:tc>
        <w:tc>
          <w:tcPr>
            <w:tcW w:w="3190" w:type="dxa"/>
            <w:tcBorders>
              <w:bottom w:val="single" w:sz="4" w:space="0" w:color="auto"/>
            </w:tcBorders>
            <w:shd w:val="clear" w:color="auto" w:fill="auto"/>
          </w:tcPr>
          <w:p w:rsidR="0080222D" w:rsidRPr="00BD574A" w:rsidRDefault="0080222D" w:rsidP="0080222D">
            <w:pPr>
              <w:pStyle w:val="Tabletext"/>
            </w:pPr>
            <w:r w:rsidRPr="00BD574A">
              <w:t>The Government co</w:t>
            </w:r>
            <w:r w:rsidR="00BD574A">
              <w:noBreakHyphen/>
            </w:r>
            <w:r w:rsidRPr="00BD574A">
              <w:t>contribution must have been paid by the Commissioner to the person (or the representative).</w:t>
            </w:r>
          </w:p>
          <w:p w:rsidR="0080222D" w:rsidRPr="00BD574A" w:rsidRDefault="0080222D" w:rsidP="0080222D">
            <w:pPr>
              <w:pStyle w:val="Tabletext"/>
            </w:pPr>
            <w:r w:rsidRPr="00BD574A">
              <w:t>The Commissioner must give the person (or the representative) written notice, as prescribed, of the proposed recovery (including the amount to be recovered).</w:t>
            </w:r>
          </w:p>
          <w:p w:rsidR="0080222D" w:rsidRPr="00BD574A" w:rsidRDefault="0080222D" w:rsidP="0080222D">
            <w:pPr>
              <w:pStyle w:val="Tabletext"/>
            </w:pPr>
            <w:r w:rsidRPr="00BD574A">
              <w:t>At least 28 days must have elapsed since the notice was given.</w:t>
            </w:r>
          </w:p>
          <w:p w:rsidR="0080222D" w:rsidRPr="00BD574A" w:rsidRDefault="0080222D" w:rsidP="0080222D">
            <w:pPr>
              <w:pStyle w:val="Tabletext"/>
            </w:pPr>
            <w:r w:rsidRPr="00BD574A">
              <w:t>The amount recovered must not exceed the amount specified in the notice.</w:t>
            </w:r>
          </w:p>
        </w:tc>
      </w:tr>
      <w:tr w:rsidR="0080222D" w:rsidRPr="00BD574A" w:rsidTr="004A48C9">
        <w:trPr>
          <w:cantSplit/>
        </w:trPr>
        <w:tc>
          <w:tcPr>
            <w:tcW w:w="709" w:type="dxa"/>
            <w:tcBorders>
              <w:bottom w:val="single" w:sz="12" w:space="0" w:color="auto"/>
            </w:tcBorders>
            <w:shd w:val="clear" w:color="auto" w:fill="auto"/>
          </w:tcPr>
          <w:p w:rsidR="0080222D" w:rsidRPr="00BD574A" w:rsidRDefault="0080222D" w:rsidP="0080222D">
            <w:pPr>
              <w:pStyle w:val="Tabletext"/>
            </w:pPr>
            <w:r w:rsidRPr="00BD574A">
              <w:lastRenderedPageBreak/>
              <w:t>4</w:t>
            </w:r>
          </w:p>
        </w:tc>
        <w:tc>
          <w:tcPr>
            <w:tcW w:w="3189" w:type="dxa"/>
            <w:tcBorders>
              <w:bottom w:val="single" w:sz="12" w:space="0" w:color="auto"/>
            </w:tcBorders>
            <w:shd w:val="clear" w:color="auto" w:fill="auto"/>
          </w:tcPr>
          <w:p w:rsidR="0080222D" w:rsidRPr="00BD574A" w:rsidRDefault="0080222D" w:rsidP="0080222D">
            <w:pPr>
              <w:pStyle w:val="Tabletext"/>
            </w:pPr>
            <w:r w:rsidRPr="00BD574A">
              <w:t>The Commissioner may recover the whole or a part of the amount overpaid from a superannuation provider to whom:</w:t>
            </w:r>
          </w:p>
          <w:p w:rsidR="0080222D" w:rsidRPr="00BD574A" w:rsidRDefault="0080222D" w:rsidP="0080222D">
            <w:pPr>
              <w:pStyle w:val="Tablea"/>
            </w:pPr>
            <w:r w:rsidRPr="00BD574A">
              <w:t>(a) the Commissioner paid the Government co</w:t>
            </w:r>
            <w:r w:rsidR="00BD574A">
              <w:noBreakHyphen/>
            </w:r>
            <w:r w:rsidRPr="00BD574A">
              <w:t>contribution; or</w:t>
            </w:r>
          </w:p>
          <w:p w:rsidR="0080222D" w:rsidRPr="00BD574A" w:rsidRDefault="0080222D" w:rsidP="0080222D">
            <w:pPr>
              <w:pStyle w:val="Tablea"/>
            </w:pPr>
            <w:r w:rsidRPr="00BD574A">
              <w:t>(b) another superannuation provider transferred the Government co</w:t>
            </w:r>
            <w:r w:rsidR="00BD574A">
              <w:noBreakHyphen/>
            </w:r>
            <w:r w:rsidRPr="00BD574A">
              <w:t>contribution;</w:t>
            </w:r>
          </w:p>
          <w:p w:rsidR="0080222D" w:rsidRPr="00BD574A" w:rsidRDefault="0080222D" w:rsidP="0080222D">
            <w:pPr>
              <w:pStyle w:val="Tabletext"/>
            </w:pPr>
            <w:r w:rsidRPr="00BD574A">
              <w:t>as a debt due by the superannuation provider to the Commonwealth.</w:t>
            </w:r>
          </w:p>
        </w:tc>
        <w:tc>
          <w:tcPr>
            <w:tcW w:w="3190" w:type="dxa"/>
            <w:tcBorders>
              <w:bottom w:val="single" w:sz="12" w:space="0" w:color="auto"/>
            </w:tcBorders>
            <w:shd w:val="clear" w:color="auto" w:fill="auto"/>
          </w:tcPr>
          <w:p w:rsidR="0080222D" w:rsidRPr="00BD574A" w:rsidRDefault="0080222D" w:rsidP="0080222D">
            <w:pPr>
              <w:pStyle w:val="Tabletext"/>
            </w:pPr>
            <w:r w:rsidRPr="00BD574A">
              <w:t>The superannuation provider must hold one or more Government co</w:t>
            </w:r>
            <w:r w:rsidR="00BD574A">
              <w:noBreakHyphen/>
            </w:r>
            <w:r w:rsidRPr="00BD574A">
              <w:t>contributions in respect of the person.</w:t>
            </w:r>
          </w:p>
          <w:p w:rsidR="0080222D" w:rsidRPr="00BD574A" w:rsidRDefault="0080222D" w:rsidP="0080222D">
            <w:pPr>
              <w:pStyle w:val="Tabletext"/>
            </w:pPr>
            <w:r w:rsidRPr="00BD574A">
              <w:t>The amount recovered must not exceed the amount of those Government co</w:t>
            </w:r>
            <w:r w:rsidR="00BD574A">
              <w:noBreakHyphen/>
            </w:r>
            <w:r w:rsidRPr="00BD574A">
              <w:t>contributions.</w:t>
            </w:r>
          </w:p>
          <w:p w:rsidR="0080222D" w:rsidRPr="00BD574A" w:rsidRDefault="0080222D" w:rsidP="0080222D">
            <w:pPr>
              <w:pStyle w:val="Tabletext"/>
            </w:pPr>
            <w:r w:rsidRPr="00BD574A">
              <w:t>The Commissioner must give the superannuation provider written notice, as prescribed, of the proposed recovery (including the amount to be recovered).</w:t>
            </w:r>
          </w:p>
          <w:p w:rsidR="0080222D" w:rsidRPr="00BD574A" w:rsidRDefault="0080222D" w:rsidP="0080222D">
            <w:pPr>
              <w:pStyle w:val="Tabletext"/>
            </w:pPr>
            <w:r w:rsidRPr="00BD574A">
              <w:t>At least 28 days must have elapsed since the notice was given.</w:t>
            </w:r>
          </w:p>
          <w:p w:rsidR="0080222D" w:rsidRPr="00BD574A" w:rsidRDefault="0080222D" w:rsidP="0080222D">
            <w:pPr>
              <w:pStyle w:val="Tabletext"/>
            </w:pPr>
            <w:r w:rsidRPr="00BD574A">
              <w:t>The amount recovered must not exceed the amount specified in the notice.</w:t>
            </w:r>
          </w:p>
        </w:tc>
      </w:tr>
    </w:tbl>
    <w:p w:rsidR="0080222D" w:rsidRPr="00BD574A" w:rsidRDefault="0080222D" w:rsidP="0080222D">
      <w:pPr>
        <w:pStyle w:val="notetext"/>
      </w:pPr>
      <w:r w:rsidRPr="00BD574A">
        <w:t>Note:</w:t>
      </w:r>
      <w:r w:rsidRPr="00BD574A">
        <w:tab/>
        <w:t>Section</w:t>
      </w:r>
      <w:r w:rsidR="00BD574A">
        <w:t> </w:t>
      </w:r>
      <w:r w:rsidRPr="00BD574A">
        <w:t>25 provides for the imposition of general interest charge if an amount that the person must pay under a notice given to the person under item</w:t>
      </w:r>
      <w:r w:rsidR="00BD574A">
        <w:t> </w:t>
      </w:r>
      <w:r w:rsidRPr="00BD574A">
        <w:t>3 or 4 of the above table is not repaid within a certain period.</w:t>
      </w:r>
    </w:p>
    <w:p w:rsidR="0080222D" w:rsidRPr="00BD574A" w:rsidRDefault="0080222D" w:rsidP="0080222D">
      <w:pPr>
        <w:pStyle w:val="subsection"/>
      </w:pPr>
      <w:r w:rsidRPr="00BD574A">
        <w:tab/>
        <w:t>(4)</w:t>
      </w:r>
      <w:r w:rsidRPr="00BD574A">
        <w:tab/>
        <w:t>If:</w:t>
      </w:r>
    </w:p>
    <w:p w:rsidR="0080222D" w:rsidRPr="00BD574A" w:rsidRDefault="0080222D" w:rsidP="0080222D">
      <w:pPr>
        <w:pStyle w:val="paragraph"/>
      </w:pPr>
      <w:r w:rsidRPr="00BD574A">
        <w:tab/>
        <w:t>(a)</w:t>
      </w:r>
      <w:r w:rsidRPr="00BD574A">
        <w:tab/>
        <w:t>the Commissioner gives a superannuation provider a notice under item</w:t>
      </w:r>
      <w:r w:rsidR="00BD574A">
        <w:t> </w:t>
      </w:r>
      <w:r w:rsidRPr="00BD574A">
        <w:t xml:space="preserve">4 of the table in </w:t>
      </w:r>
      <w:r w:rsidR="00BD574A">
        <w:t>subsection (</w:t>
      </w:r>
      <w:r w:rsidRPr="00BD574A">
        <w:t>3) in relation to an amount overpaid in respect of a person; and</w:t>
      </w:r>
    </w:p>
    <w:p w:rsidR="0080222D" w:rsidRPr="00BD574A" w:rsidRDefault="0080222D" w:rsidP="0080222D">
      <w:pPr>
        <w:pStyle w:val="paragraph"/>
      </w:pPr>
      <w:r w:rsidRPr="00BD574A">
        <w:tab/>
        <w:t>(b)</w:t>
      </w:r>
      <w:r w:rsidRPr="00BD574A">
        <w:tab/>
        <w:t>the provider holds one or more Government co</w:t>
      </w:r>
      <w:r w:rsidR="00BD574A">
        <w:noBreakHyphen/>
      </w:r>
      <w:r w:rsidRPr="00BD574A">
        <w:t>contributions in respect of the person at the time when the Commissioner gives the provider the notice;</w:t>
      </w:r>
    </w:p>
    <w:p w:rsidR="0080222D" w:rsidRPr="00BD574A" w:rsidRDefault="0080222D" w:rsidP="0080222D">
      <w:pPr>
        <w:pStyle w:val="subsection2"/>
      </w:pPr>
      <w:r w:rsidRPr="00BD574A">
        <w:t>the Commissioner may recover from the provider under that item whether or not the provider continues to hold the contribution or contributions after that time.</w:t>
      </w:r>
    </w:p>
    <w:p w:rsidR="0080222D" w:rsidRPr="00BD574A" w:rsidRDefault="0080222D" w:rsidP="0080222D">
      <w:pPr>
        <w:pStyle w:val="subsection"/>
      </w:pPr>
      <w:r w:rsidRPr="00BD574A">
        <w:lastRenderedPageBreak/>
        <w:tab/>
        <w:t>(5)</w:t>
      </w:r>
      <w:r w:rsidRPr="00BD574A">
        <w:tab/>
        <w:t>The Commissioner may revoke a notice given under item</w:t>
      </w:r>
      <w:r w:rsidR="00BD574A">
        <w:t> </w:t>
      </w:r>
      <w:r w:rsidRPr="00BD574A">
        <w:t xml:space="preserve">3 or 4 of the table in </w:t>
      </w:r>
      <w:r w:rsidR="00BD574A">
        <w:t>subsection (</w:t>
      </w:r>
      <w:r w:rsidRPr="00BD574A">
        <w:t>3) if the Commissioner is satisfied that it is appropriate in the circumstances to do so.</w:t>
      </w:r>
    </w:p>
    <w:p w:rsidR="0080222D" w:rsidRPr="00BD574A" w:rsidRDefault="0080222D" w:rsidP="0080222D">
      <w:pPr>
        <w:pStyle w:val="subsection"/>
      </w:pPr>
      <w:r w:rsidRPr="00BD574A">
        <w:tab/>
        <w:t>(6)</w:t>
      </w:r>
      <w:r w:rsidRPr="00BD574A">
        <w:tab/>
        <w:t xml:space="preserve">The total of the amounts deducted, debited or recovered under </w:t>
      </w:r>
      <w:r w:rsidR="00BD574A">
        <w:t>subsection (</w:t>
      </w:r>
      <w:r w:rsidRPr="00BD574A">
        <w:t>3) in relation to an overpayment must not exceed the amount overpaid.</w:t>
      </w:r>
    </w:p>
    <w:p w:rsidR="0080222D" w:rsidRPr="00BD574A" w:rsidRDefault="0080222D" w:rsidP="0080222D">
      <w:pPr>
        <w:pStyle w:val="subsection"/>
      </w:pPr>
      <w:r w:rsidRPr="00BD574A">
        <w:tab/>
        <w:t>(7)</w:t>
      </w:r>
      <w:r w:rsidRPr="00BD574A">
        <w:tab/>
        <w:t>If the Commissioner makes:</w:t>
      </w:r>
    </w:p>
    <w:p w:rsidR="0080222D" w:rsidRPr="00BD574A" w:rsidRDefault="0080222D" w:rsidP="0080222D">
      <w:pPr>
        <w:pStyle w:val="paragraph"/>
      </w:pPr>
      <w:r w:rsidRPr="00BD574A">
        <w:tab/>
        <w:t>(a)</w:t>
      </w:r>
      <w:r w:rsidRPr="00BD574A">
        <w:tab/>
        <w:t>a deduction under item</w:t>
      </w:r>
      <w:r w:rsidR="00BD574A">
        <w:t> </w:t>
      </w:r>
      <w:r w:rsidRPr="00BD574A">
        <w:t xml:space="preserve">1 of the table in </w:t>
      </w:r>
      <w:r w:rsidR="00BD574A">
        <w:t>subsection (</w:t>
      </w:r>
      <w:r w:rsidRPr="00BD574A">
        <w:t>3); or</w:t>
      </w:r>
    </w:p>
    <w:p w:rsidR="0080222D" w:rsidRPr="00BD574A" w:rsidRDefault="0080222D" w:rsidP="0080222D">
      <w:pPr>
        <w:pStyle w:val="paragraph"/>
      </w:pPr>
      <w:r w:rsidRPr="00BD574A">
        <w:tab/>
        <w:t>(b)</w:t>
      </w:r>
      <w:r w:rsidRPr="00BD574A">
        <w:tab/>
        <w:t>a debit under item</w:t>
      </w:r>
      <w:r w:rsidR="00BD574A">
        <w:t> </w:t>
      </w:r>
      <w:r w:rsidRPr="00BD574A">
        <w:t>2 of the table;</w:t>
      </w:r>
    </w:p>
    <w:p w:rsidR="0080222D" w:rsidRPr="00BD574A" w:rsidRDefault="0080222D" w:rsidP="0080222D">
      <w:pPr>
        <w:pStyle w:val="subsection2"/>
      </w:pPr>
      <w:r w:rsidRPr="00BD574A">
        <w:t>in relation to a Government co</w:t>
      </w:r>
      <w:r w:rsidR="00BD574A">
        <w:noBreakHyphen/>
      </w:r>
      <w:r w:rsidRPr="00BD574A">
        <w:t>contribution in respect of a person, the Commissioner must give the person the prescribed information in relation to the deduction or debit within 28 days after the deduction or debit is made.</w:t>
      </w:r>
    </w:p>
    <w:p w:rsidR="0080222D" w:rsidRPr="00BD574A" w:rsidRDefault="0080222D" w:rsidP="00215433">
      <w:pPr>
        <w:pStyle w:val="ActHead2"/>
        <w:pageBreakBefore/>
      </w:pPr>
      <w:bookmarkStart w:id="44" w:name="_Toc487718132"/>
      <w:r w:rsidRPr="00BD574A">
        <w:rPr>
          <w:rStyle w:val="CharPartNo"/>
        </w:rPr>
        <w:lastRenderedPageBreak/>
        <w:t>Part</w:t>
      </w:r>
      <w:r w:rsidR="00BD574A" w:rsidRPr="00BD574A">
        <w:rPr>
          <w:rStyle w:val="CharPartNo"/>
        </w:rPr>
        <w:t> </w:t>
      </w:r>
      <w:r w:rsidRPr="00BD574A">
        <w:rPr>
          <w:rStyle w:val="CharPartNo"/>
        </w:rPr>
        <w:t>5A</w:t>
      </w:r>
      <w:r w:rsidRPr="00BD574A">
        <w:t>—</w:t>
      </w:r>
      <w:r w:rsidRPr="00BD574A">
        <w:rPr>
          <w:rStyle w:val="CharPartText"/>
        </w:rPr>
        <w:t>General interest charge</w:t>
      </w:r>
      <w:bookmarkEnd w:id="44"/>
    </w:p>
    <w:p w:rsidR="0080222D" w:rsidRPr="00BD574A" w:rsidRDefault="00F136B1" w:rsidP="0080222D">
      <w:pPr>
        <w:pStyle w:val="Header"/>
      </w:pPr>
      <w:r w:rsidRPr="00BD574A">
        <w:rPr>
          <w:rStyle w:val="CharDivNo"/>
        </w:rPr>
        <w:t xml:space="preserve"> </w:t>
      </w:r>
      <w:r w:rsidRPr="00BD574A">
        <w:rPr>
          <w:rStyle w:val="CharDivText"/>
        </w:rPr>
        <w:t xml:space="preserve"> </w:t>
      </w:r>
    </w:p>
    <w:p w:rsidR="0080222D" w:rsidRPr="00BD574A" w:rsidRDefault="0080222D" w:rsidP="0080222D">
      <w:pPr>
        <w:pStyle w:val="ActHead5"/>
        <w:rPr>
          <w:snapToGrid w:val="0"/>
        </w:rPr>
      </w:pPr>
      <w:bookmarkStart w:id="45" w:name="_Toc487718133"/>
      <w:r w:rsidRPr="00BD574A">
        <w:rPr>
          <w:rStyle w:val="CharSectno"/>
        </w:rPr>
        <w:t>25</w:t>
      </w:r>
      <w:r w:rsidRPr="00BD574A">
        <w:rPr>
          <w:snapToGrid w:val="0"/>
        </w:rPr>
        <w:t xml:space="preserve">  When general interest charge payable</w:t>
      </w:r>
      <w:bookmarkEnd w:id="45"/>
    </w:p>
    <w:p w:rsidR="0080222D" w:rsidRPr="00BD574A" w:rsidRDefault="0080222D" w:rsidP="0080222D">
      <w:pPr>
        <w:pStyle w:val="subsection"/>
      </w:pPr>
      <w:r w:rsidRPr="00BD574A">
        <w:tab/>
        <w:t>(1A)</w:t>
      </w:r>
      <w:r w:rsidRPr="00BD574A">
        <w:tab/>
        <w:t>If:</w:t>
      </w:r>
    </w:p>
    <w:p w:rsidR="0080222D" w:rsidRPr="00BD574A" w:rsidRDefault="0080222D" w:rsidP="0080222D">
      <w:pPr>
        <w:pStyle w:val="paragraph"/>
      </w:pPr>
      <w:r w:rsidRPr="00BD574A">
        <w:tab/>
        <w:t>(a)</w:t>
      </w:r>
      <w:r w:rsidRPr="00BD574A">
        <w:tab/>
        <w:t>a person is liable under subsection</w:t>
      </w:r>
      <w:r w:rsidR="00BD574A">
        <w:t> </w:t>
      </w:r>
      <w:r w:rsidRPr="00BD574A">
        <w:t>16(1) or 20(1) to repay an amount; and</w:t>
      </w:r>
    </w:p>
    <w:p w:rsidR="0080222D" w:rsidRPr="00BD574A" w:rsidRDefault="0080222D" w:rsidP="0080222D">
      <w:pPr>
        <w:pStyle w:val="paragraph"/>
      </w:pPr>
      <w:r w:rsidRPr="00BD574A">
        <w:tab/>
        <w:t>(b)</w:t>
      </w:r>
      <w:r w:rsidRPr="00BD574A">
        <w:tab/>
        <w:t>the whole or a part of the amount remains unpaid after the time by which the amount is due to be paid;</w:t>
      </w:r>
    </w:p>
    <w:p w:rsidR="0080222D" w:rsidRPr="00BD574A" w:rsidRDefault="0080222D" w:rsidP="0080222D">
      <w:pPr>
        <w:pStyle w:val="subsection2"/>
      </w:pPr>
      <w:r w:rsidRPr="00BD574A">
        <w:t>the person is liable to pay general interest charge on the unpaid amount.</w:t>
      </w:r>
    </w:p>
    <w:p w:rsidR="0080222D" w:rsidRPr="00BD574A" w:rsidRDefault="0080222D" w:rsidP="0080222D">
      <w:pPr>
        <w:pStyle w:val="subsection"/>
      </w:pPr>
      <w:r w:rsidRPr="00BD574A">
        <w:tab/>
        <w:t>(1)</w:t>
      </w:r>
      <w:r w:rsidRPr="00BD574A">
        <w:tab/>
        <w:t>If:</w:t>
      </w:r>
    </w:p>
    <w:p w:rsidR="0080222D" w:rsidRPr="00BD574A" w:rsidRDefault="0080222D" w:rsidP="0080222D">
      <w:pPr>
        <w:pStyle w:val="paragraph"/>
      </w:pPr>
      <w:r w:rsidRPr="00BD574A">
        <w:tab/>
        <w:t>(a)</w:t>
      </w:r>
      <w:r w:rsidRPr="00BD574A">
        <w:tab/>
        <w:t>the Commissioner gives a person notice under item</w:t>
      </w:r>
      <w:r w:rsidR="00BD574A">
        <w:t> </w:t>
      </w:r>
      <w:r w:rsidRPr="00BD574A">
        <w:t>3 or 4 of the table in subsection</w:t>
      </w:r>
      <w:r w:rsidR="00BD574A">
        <w:t> </w:t>
      </w:r>
      <w:r w:rsidRPr="00BD574A">
        <w:t>24(3); and</w:t>
      </w:r>
    </w:p>
    <w:p w:rsidR="0080222D" w:rsidRPr="00BD574A" w:rsidRDefault="0080222D" w:rsidP="0080222D">
      <w:pPr>
        <w:pStyle w:val="paragraph"/>
      </w:pPr>
      <w:r w:rsidRPr="00BD574A">
        <w:tab/>
        <w:t>(b)</w:t>
      </w:r>
      <w:r w:rsidRPr="00BD574A">
        <w:tab/>
        <w:t>an amount that the person must pay under the notice remains unpaid after the time by which it is due to be paid;</w:t>
      </w:r>
    </w:p>
    <w:p w:rsidR="0080222D" w:rsidRPr="00BD574A" w:rsidRDefault="0080222D" w:rsidP="0080222D">
      <w:pPr>
        <w:pStyle w:val="subsection2"/>
      </w:pPr>
      <w:r w:rsidRPr="00BD574A">
        <w:t>the person is liable to pay general interest charge on the unpaid amount.</w:t>
      </w:r>
    </w:p>
    <w:p w:rsidR="0080222D" w:rsidRPr="00BD574A" w:rsidRDefault="0080222D" w:rsidP="0080222D">
      <w:pPr>
        <w:pStyle w:val="subsection"/>
      </w:pPr>
      <w:r w:rsidRPr="00BD574A">
        <w:tab/>
        <w:t>(2)</w:t>
      </w:r>
      <w:r w:rsidRPr="00BD574A">
        <w:tab/>
        <w:t>A person who is liable under this section to pay general interest charge on an unpaid amount is liable to pay the charge for each day in the period that:</w:t>
      </w:r>
    </w:p>
    <w:p w:rsidR="0080222D" w:rsidRPr="00BD574A" w:rsidRDefault="0080222D" w:rsidP="0080222D">
      <w:pPr>
        <w:pStyle w:val="paragraph"/>
      </w:pPr>
      <w:r w:rsidRPr="00BD574A">
        <w:tab/>
        <w:t>(a)</w:t>
      </w:r>
      <w:r w:rsidRPr="00BD574A">
        <w:tab/>
        <w:t>started at the beginning of the day by which the unpaid amount was due to be paid; and</w:t>
      </w:r>
    </w:p>
    <w:p w:rsidR="0080222D" w:rsidRPr="00BD574A" w:rsidRDefault="0080222D" w:rsidP="0080222D">
      <w:pPr>
        <w:pStyle w:val="paragraph"/>
      </w:pPr>
      <w:r w:rsidRPr="00BD574A">
        <w:tab/>
        <w:t>(b)</w:t>
      </w:r>
      <w:r w:rsidRPr="00BD574A">
        <w:tab/>
        <w:t>finishes at the end of the last day at the end of which any of the following remains unpaid:</w:t>
      </w:r>
    </w:p>
    <w:p w:rsidR="0080222D" w:rsidRPr="00BD574A" w:rsidRDefault="0080222D" w:rsidP="0080222D">
      <w:pPr>
        <w:pStyle w:val="paragraphsub"/>
      </w:pPr>
      <w:r w:rsidRPr="00BD574A">
        <w:tab/>
        <w:t>(i)</w:t>
      </w:r>
      <w:r w:rsidRPr="00BD574A">
        <w:tab/>
        <w:t>the unpaid amount;</w:t>
      </w:r>
    </w:p>
    <w:p w:rsidR="0080222D" w:rsidRPr="00BD574A" w:rsidRDefault="0080222D" w:rsidP="0080222D">
      <w:pPr>
        <w:pStyle w:val="paragraphsub"/>
      </w:pPr>
      <w:r w:rsidRPr="00BD574A">
        <w:tab/>
        <w:t>(ii)</w:t>
      </w:r>
      <w:r w:rsidRPr="00BD574A">
        <w:tab/>
        <w:t>general interest charge on any of the unpaid amount.</w:t>
      </w:r>
    </w:p>
    <w:p w:rsidR="0080222D" w:rsidRPr="00BD574A" w:rsidRDefault="0080222D" w:rsidP="0080222D">
      <w:pPr>
        <w:pStyle w:val="subsection"/>
      </w:pPr>
      <w:r w:rsidRPr="00BD574A">
        <w:tab/>
        <w:t>(3)</w:t>
      </w:r>
      <w:r w:rsidRPr="00BD574A">
        <w:tab/>
        <w:t>For the purposes of this section:</w:t>
      </w:r>
    </w:p>
    <w:p w:rsidR="0080222D" w:rsidRPr="00BD574A" w:rsidRDefault="0080222D" w:rsidP="0080222D">
      <w:pPr>
        <w:pStyle w:val="paragraph"/>
      </w:pPr>
      <w:r w:rsidRPr="00BD574A">
        <w:tab/>
        <w:t>(a)</w:t>
      </w:r>
      <w:r w:rsidRPr="00BD574A">
        <w:tab/>
        <w:t>an amount that a person becomes liable under subsection</w:t>
      </w:r>
      <w:r w:rsidR="00BD574A">
        <w:t> </w:t>
      </w:r>
      <w:r w:rsidRPr="00BD574A">
        <w:t xml:space="preserve">16(1) or 20(1) to repay is due to be paid 7 days </w:t>
      </w:r>
      <w:r w:rsidRPr="00BD574A">
        <w:lastRenderedPageBreak/>
        <w:t>after the day on which the person first becomes liable to repay the amount; and</w:t>
      </w:r>
    </w:p>
    <w:p w:rsidR="0080222D" w:rsidRPr="00BD574A" w:rsidRDefault="0080222D" w:rsidP="00DC0886">
      <w:pPr>
        <w:pStyle w:val="paragraph"/>
        <w:keepNext/>
        <w:keepLines/>
      </w:pPr>
      <w:r w:rsidRPr="00BD574A">
        <w:tab/>
        <w:t>(b)</w:t>
      </w:r>
      <w:r w:rsidRPr="00BD574A">
        <w:tab/>
        <w:t>an amount payable under a notice given under item</w:t>
      </w:r>
      <w:r w:rsidR="00BD574A">
        <w:t> </w:t>
      </w:r>
      <w:r w:rsidRPr="00BD574A">
        <w:t>3 or 4 of the table in subsection</w:t>
      </w:r>
      <w:r w:rsidR="00BD574A">
        <w:t> </w:t>
      </w:r>
      <w:r w:rsidRPr="00BD574A">
        <w:t>24(3) is due to be paid 28 days after the day on which the notice is given.</w:t>
      </w:r>
    </w:p>
    <w:p w:rsidR="0080222D" w:rsidRPr="00BD574A" w:rsidRDefault="0080222D" w:rsidP="0080222D">
      <w:pPr>
        <w:pStyle w:val="subsection"/>
      </w:pPr>
      <w:r w:rsidRPr="00BD574A">
        <w:tab/>
        <w:t>(4)</w:t>
      </w:r>
      <w:r w:rsidRPr="00BD574A">
        <w:tab/>
        <w:t>In this section:</w:t>
      </w:r>
    </w:p>
    <w:p w:rsidR="0080222D" w:rsidRPr="00BD574A" w:rsidRDefault="0080222D" w:rsidP="0080222D">
      <w:pPr>
        <w:pStyle w:val="Definition"/>
      </w:pPr>
      <w:r w:rsidRPr="00BD574A">
        <w:rPr>
          <w:b/>
          <w:i/>
        </w:rPr>
        <w:t xml:space="preserve">general interest charge </w:t>
      </w:r>
      <w:r w:rsidRPr="00BD574A">
        <w:t>means the charge worked out under Part</w:t>
      </w:r>
      <w:r w:rsidR="008B621D" w:rsidRPr="00BD574A">
        <w:t> </w:t>
      </w:r>
      <w:r w:rsidRPr="00BD574A">
        <w:t xml:space="preserve">IIA of the </w:t>
      </w:r>
      <w:r w:rsidRPr="00BD574A">
        <w:rPr>
          <w:i/>
        </w:rPr>
        <w:t>Taxation Administration Act 1953</w:t>
      </w:r>
      <w:r w:rsidRPr="00BD574A">
        <w:t>.</w:t>
      </w:r>
    </w:p>
    <w:p w:rsidR="00B811ED" w:rsidRPr="00BD574A" w:rsidRDefault="00B811ED" w:rsidP="003355AA">
      <w:pPr>
        <w:pStyle w:val="ActHead2"/>
        <w:pageBreakBefore/>
      </w:pPr>
      <w:bookmarkStart w:id="46" w:name="_Toc487718134"/>
      <w:r w:rsidRPr="00BD574A">
        <w:rPr>
          <w:rStyle w:val="CharPartNo"/>
        </w:rPr>
        <w:lastRenderedPageBreak/>
        <w:t>Part</w:t>
      </w:r>
      <w:r w:rsidR="00BD574A" w:rsidRPr="00BD574A">
        <w:rPr>
          <w:rStyle w:val="CharPartNo"/>
        </w:rPr>
        <w:t> </w:t>
      </w:r>
      <w:r w:rsidRPr="00BD574A">
        <w:rPr>
          <w:rStyle w:val="CharPartNo"/>
        </w:rPr>
        <w:t>6</w:t>
      </w:r>
      <w:r w:rsidRPr="00BD574A">
        <w:t>—</w:t>
      </w:r>
      <w:r w:rsidRPr="00BD574A">
        <w:rPr>
          <w:rStyle w:val="CharPartText"/>
        </w:rPr>
        <w:t>Enforcement</w:t>
      </w:r>
      <w:bookmarkEnd w:id="46"/>
    </w:p>
    <w:p w:rsidR="00B811ED" w:rsidRPr="00BD574A" w:rsidRDefault="00B811ED">
      <w:pPr>
        <w:pStyle w:val="ActHead3"/>
      </w:pPr>
      <w:bookmarkStart w:id="47" w:name="_Toc487718135"/>
      <w:r w:rsidRPr="00BD574A">
        <w:rPr>
          <w:rStyle w:val="CharDivNo"/>
        </w:rPr>
        <w:t>Division</w:t>
      </w:r>
      <w:r w:rsidR="00BD574A" w:rsidRPr="00BD574A">
        <w:rPr>
          <w:rStyle w:val="CharDivNo"/>
        </w:rPr>
        <w:t> </w:t>
      </w:r>
      <w:r w:rsidRPr="00BD574A">
        <w:rPr>
          <w:rStyle w:val="CharDivNo"/>
        </w:rPr>
        <w:t>1</w:t>
      </w:r>
      <w:r w:rsidRPr="00BD574A">
        <w:t>—</w:t>
      </w:r>
      <w:r w:rsidRPr="00BD574A">
        <w:rPr>
          <w:rStyle w:val="CharDivText"/>
        </w:rPr>
        <w:t>Record keeping obligations</w:t>
      </w:r>
      <w:bookmarkEnd w:id="47"/>
    </w:p>
    <w:p w:rsidR="0080222D" w:rsidRPr="00BD574A" w:rsidRDefault="0080222D" w:rsidP="0080222D">
      <w:pPr>
        <w:pStyle w:val="ActHead5"/>
      </w:pPr>
      <w:bookmarkStart w:id="48" w:name="_Toc487718136"/>
      <w:r w:rsidRPr="00BD574A">
        <w:rPr>
          <w:rStyle w:val="CharSectno"/>
        </w:rPr>
        <w:t>32</w:t>
      </w:r>
      <w:r w:rsidRPr="00BD574A">
        <w:t xml:space="preserve">  Records to be kept and retained by superannuation provider</w:t>
      </w:r>
      <w:bookmarkEnd w:id="48"/>
    </w:p>
    <w:p w:rsidR="0080222D" w:rsidRPr="00BD574A" w:rsidRDefault="0080222D" w:rsidP="0080222D">
      <w:pPr>
        <w:pStyle w:val="SubsectionHead"/>
      </w:pPr>
      <w:r w:rsidRPr="00BD574A">
        <w:t>Superannuation provider to keep records</w:t>
      </w:r>
    </w:p>
    <w:p w:rsidR="0080222D" w:rsidRPr="00BD574A" w:rsidRDefault="0080222D" w:rsidP="0080222D">
      <w:pPr>
        <w:pStyle w:val="subsection"/>
      </w:pPr>
      <w:r w:rsidRPr="00BD574A">
        <w:tab/>
        <w:t>(1)</w:t>
      </w:r>
      <w:r w:rsidRPr="00BD574A">
        <w:tab/>
        <w:t>A superannuation provider commits an offence if the provider fails to keep records that record and explain all transactions and other acts the provider engages in, or is required to engage in, under this Act or the regulations.</w:t>
      </w:r>
    </w:p>
    <w:p w:rsidR="0080222D" w:rsidRPr="00BD574A" w:rsidRDefault="0080222D" w:rsidP="0080222D">
      <w:pPr>
        <w:pStyle w:val="Penalty"/>
      </w:pPr>
      <w:r w:rsidRPr="00BD574A">
        <w:t>Penalty:</w:t>
      </w:r>
      <w:r w:rsidRPr="00BD574A">
        <w:tab/>
        <w:t>30 penalty units.</w:t>
      </w:r>
    </w:p>
    <w:p w:rsidR="0080222D" w:rsidRPr="00BD574A" w:rsidRDefault="0080222D" w:rsidP="0080222D">
      <w:pPr>
        <w:pStyle w:val="SubsectionHead"/>
      </w:pPr>
      <w:r w:rsidRPr="00BD574A">
        <w:t>How records to be kept</w:t>
      </w:r>
    </w:p>
    <w:p w:rsidR="0080222D" w:rsidRPr="00BD574A" w:rsidRDefault="0080222D" w:rsidP="0080222D">
      <w:pPr>
        <w:pStyle w:val="subsection"/>
      </w:pPr>
      <w:r w:rsidRPr="00BD574A">
        <w:tab/>
        <w:t>(2)</w:t>
      </w:r>
      <w:r w:rsidRPr="00BD574A">
        <w:tab/>
        <w:t>The superannuation provider commits an offence if the records are not either:</w:t>
      </w:r>
    </w:p>
    <w:p w:rsidR="0080222D" w:rsidRPr="00BD574A" w:rsidRDefault="0080222D" w:rsidP="0080222D">
      <w:pPr>
        <w:pStyle w:val="paragraph"/>
      </w:pPr>
      <w:r w:rsidRPr="00BD574A">
        <w:tab/>
        <w:t>(a)</w:t>
      </w:r>
      <w:r w:rsidRPr="00BD574A">
        <w:tab/>
        <w:t>kept in writing in the English language; or</w:t>
      </w:r>
    </w:p>
    <w:p w:rsidR="0080222D" w:rsidRPr="00BD574A" w:rsidRDefault="0080222D" w:rsidP="0080222D">
      <w:pPr>
        <w:pStyle w:val="paragraph"/>
      </w:pPr>
      <w:r w:rsidRPr="00BD574A">
        <w:tab/>
        <w:t>(b)</w:t>
      </w:r>
      <w:r w:rsidRPr="00BD574A">
        <w:tab/>
        <w:t>kept so as to enable the records to be readily accessible and convertible into writing in the English language.</w:t>
      </w:r>
    </w:p>
    <w:p w:rsidR="0080222D" w:rsidRPr="00BD574A" w:rsidRDefault="0080222D" w:rsidP="0080222D">
      <w:pPr>
        <w:pStyle w:val="Penalty"/>
      </w:pPr>
      <w:r w:rsidRPr="00BD574A">
        <w:t>Penalty:</w:t>
      </w:r>
      <w:r w:rsidRPr="00BD574A">
        <w:tab/>
        <w:t>30 penalty units.</w:t>
      </w:r>
    </w:p>
    <w:p w:rsidR="0080222D" w:rsidRPr="00BD574A" w:rsidRDefault="0080222D" w:rsidP="0080222D">
      <w:pPr>
        <w:pStyle w:val="SubsectionHead"/>
      </w:pPr>
      <w:r w:rsidRPr="00BD574A">
        <w:t>Period for retention of records</w:t>
      </w:r>
    </w:p>
    <w:p w:rsidR="0080222D" w:rsidRPr="00BD574A" w:rsidRDefault="0080222D" w:rsidP="0080222D">
      <w:pPr>
        <w:pStyle w:val="subsection"/>
      </w:pPr>
      <w:r w:rsidRPr="00BD574A">
        <w:tab/>
        <w:t>(3)</w:t>
      </w:r>
      <w:r w:rsidRPr="00BD574A">
        <w:tab/>
        <w:t>A superannuation provider commits an offence if the provider fails to retain any records kept or obtained under or for the purposes of this Act until the later of:</w:t>
      </w:r>
    </w:p>
    <w:p w:rsidR="0080222D" w:rsidRPr="00BD574A" w:rsidRDefault="0080222D" w:rsidP="0080222D">
      <w:pPr>
        <w:pStyle w:val="paragraph"/>
      </w:pPr>
      <w:r w:rsidRPr="00BD574A">
        <w:tab/>
        <w:t>(a)</w:t>
      </w:r>
      <w:r w:rsidRPr="00BD574A">
        <w:tab/>
        <w:t>the end of 5 years after they were prepared or obtained; and</w:t>
      </w:r>
    </w:p>
    <w:p w:rsidR="0080222D" w:rsidRPr="00BD574A" w:rsidRDefault="0080222D" w:rsidP="0080222D">
      <w:pPr>
        <w:pStyle w:val="paragraph"/>
      </w:pPr>
      <w:r w:rsidRPr="00BD574A">
        <w:tab/>
        <w:t>(b)</w:t>
      </w:r>
      <w:r w:rsidRPr="00BD574A">
        <w:tab/>
        <w:t>the completion of the transactions or acts to which those records relate.</w:t>
      </w:r>
    </w:p>
    <w:p w:rsidR="0080222D" w:rsidRPr="00BD574A" w:rsidRDefault="0080222D" w:rsidP="0080222D">
      <w:pPr>
        <w:pStyle w:val="Penalty"/>
      </w:pPr>
      <w:r w:rsidRPr="00BD574A">
        <w:t>Penalty:</w:t>
      </w:r>
      <w:r w:rsidRPr="00BD574A">
        <w:tab/>
        <w:t>30 penalty units.</w:t>
      </w:r>
    </w:p>
    <w:p w:rsidR="0080222D" w:rsidRPr="00BD574A" w:rsidRDefault="0080222D" w:rsidP="0079625D">
      <w:pPr>
        <w:pStyle w:val="SubsectionHead"/>
      </w:pPr>
      <w:r w:rsidRPr="00BD574A">
        <w:lastRenderedPageBreak/>
        <w:t>When records need not be kept</w:t>
      </w:r>
    </w:p>
    <w:p w:rsidR="0080222D" w:rsidRPr="00BD574A" w:rsidRDefault="0080222D" w:rsidP="0079625D">
      <w:pPr>
        <w:pStyle w:val="subsection"/>
        <w:keepNext/>
        <w:keepLines/>
      </w:pPr>
      <w:r w:rsidRPr="00BD574A">
        <w:tab/>
        <w:t>(4)</w:t>
      </w:r>
      <w:r w:rsidRPr="00BD574A">
        <w:tab/>
      </w:r>
      <w:r w:rsidR="00BD574A">
        <w:t>Subsections (</w:t>
      </w:r>
      <w:r w:rsidRPr="00BD574A">
        <w:t>2) and (3) do not apply if:</w:t>
      </w:r>
    </w:p>
    <w:p w:rsidR="0080222D" w:rsidRPr="00BD574A" w:rsidRDefault="0080222D" w:rsidP="0080222D">
      <w:pPr>
        <w:pStyle w:val="paragraph"/>
      </w:pPr>
      <w:r w:rsidRPr="00BD574A">
        <w:tab/>
        <w:t>(a)</w:t>
      </w:r>
      <w:r w:rsidRPr="00BD574A">
        <w:tab/>
        <w:t>the Commissioner has notified the superannuation provider that the retention of the records is not required; or</w:t>
      </w:r>
    </w:p>
    <w:p w:rsidR="0080222D" w:rsidRPr="00BD574A" w:rsidRDefault="0080222D" w:rsidP="0080222D">
      <w:pPr>
        <w:pStyle w:val="paragraph"/>
      </w:pPr>
      <w:r w:rsidRPr="00BD574A">
        <w:tab/>
        <w:t>(b)</w:t>
      </w:r>
      <w:r w:rsidRPr="00BD574A">
        <w:tab/>
        <w:t>the superannuation provider is a company that has gone into liquidation and been finally dissolved.</w:t>
      </w:r>
    </w:p>
    <w:p w:rsidR="0080222D" w:rsidRPr="00BD574A" w:rsidRDefault="0080222D" w:rsidP="0080222D">
      <w:pPr>
        <w:pStyle w:val="notetext"/>
      </w:pPr>
      <w:r w:rsidRPr="00BD574A">
        <w:t>Note:</w:t>
      </w:r>
      <w:r w:rsidRPr="00BD574A">
        <w:tab/>
        <w:t xml:space="preserve">In a prosecution for an offence against </w:t>
      </w:r>
      <w:r w:rsidR="00BD574A">
        <w:t>subsection (</w:t>
      </w:r>
      <w:r w:rsidRPr="00BD574A">
        <w:t xml:space="preserve">2) or (3), the defendant bears an evidential burden in relation to the matters in this </w:t>
      </w:r>
      <w:r w:rsidR="00BD574A">
        <w:t>subsection (</w:t>
      </w:r>
      <w:r w:rsidRPr="00BD574A">
        <w:t>see subsection</w:t>
      </w:r>
      <w:r w:rsidR="00BD574A">
        <w:t> </w:t>
      </w:r>
      <w:r w:rsidRPr="00BD574A">
        <w:t xml:space="preserve">13.3(3) of the </w:t>
      </w:r>
      <w:r w:rsidRPr="00BD574A">
        <w:rPr>
          <w:i/>
        </w:rPr>
        <w:t>Criminal Code</w:t>
      </w:r>
      <w:r w:rsidRPr="00BD574A">
        <w:t>).</w:t>
      </w:r>
    </w:p>
    <w:p w:rsidR="0080222D" w:rsidRPr="00BD574A" w:rsidRDefault="0080222D" w:rsidP="00215433">
      <w:pPr>
        <w:pStyle w:val="ActHead3"/>
        <w:pageBreakBefore/>
      </w:pPr>
      <w:bookmarkStart w:id="49" w:name="_Toc487718137"/>
      <w:r w:rsidRPr="00BD574A">
        <w:rPr>
          <w:rStyle w:val="CharDivNo"/>
        </w:rPr>
        <w:lastRenderedPageBreak/>
        <w:t>Division</w:t>
      </w:r>
      <w:r w:rsidR="00BD574A" w:rsidRPr="00BD574A">
        <w:rPr>
          <w:rStyle w:val="CharDivNo"/>
        </w:rPr>
        <w:t> </w:t>
      </w:r>
      <w:r w:rsidRPr="00BD574A">
        <w:rPr>
          <w:rStyle w:val="CharDivNo"/>
        </w:rPr>
        <w:t>2</w:t>
      </w:r>
      <w:r w:rsidRPr="00BD574A">
        <w:t>—</w:t>
      </w:r>
      <w:r w:rsidRPr="00BD574A">
        <w:rPr>
          <w:rStyle w:val="CharDivText"/>
        </w:rPr>
        <w:t>Infringement notices</w:t>
      </w:r>
      <w:bookmarkEnd w:id="49"/>
    </w:p>
    <w:p w:rsidR="0080222D" w:rsidRPr="00BD574A" w:rsidRDefault="0080222D" w:rsidP="0080222D">
      <w:pPr>
        <w:pStyle w:val="ActHead5"/>
      </w:pPr>
      <w:bookmarkStart w:id="50" w:name="_Toc487718138"/>
      <w:r w:rsidRPr="00BD574A">
        <w:rPr>
          <w:rStyle w:val="CharSectno"/>
        </w:rPr>
        <w:t>33</w:t>
      </w:r>
      <w:r w:rsidRPr="00BD574A">
        <w:t xml:space="preserve">  When an infringement notice can be served</w:t>
      </w:r>
      <w:bookmarkEnd w:id="50"/>
    </w:p>
    <w:p w:rsidR="0080222D" w:rsidRPr="00BD574A" w:rsidRDefault="0080222D" w:rsidP="0080222D">
      <w:pPr>
        <w:pStyle w:val="subsection"/>
      </w:pPr>
      <w:r w:rsidRPr="00BD574A">
        <w:tab/>
        <w:t>(1)</w:t>
      </w:r>
      <w:r w:rsidRPr="00BD574A">
        <w:tab/>
        <w:t xml:space="preserve">Subject to </w:t>
      </w:r>
      <w:r w:rsidR="00BD574A">
        <w:t>subsection (</w:t>
      </w:r>
      <w:r w:rsidRPr="00BD574A">
        <w:t>2), the Commissioner may cause an infringement notice to be served on a superannuation provider in accordance with this Division if the Commissioner has reasonable grounds to believe that the superannuation provider has committed an offence against:</w:t>
      </w:r>
    </w:p>
    <w:p w:rsidR="0080222D" w:rsidRPr="00BD574A" w:rsidRDefault="0080222D" w:rsidP="0080222D">
      <w:pPr>
        <w:pStyle w:val="paragraph"/>
      </w:pPr>
      <w:r w:rsidRPr="00BD574A">
        <w:tab/>
        <w:t>(a)</w:t>
      </w:r>
      <w:r w:rsidRPr="00BD574A">
        <w:tab/>
        <w:t>subsection</w:t>
      </w:r>
      <w:r w:rsidR="00BD574A">
        <w:t> </w:t>
      </w:r>
      <w:r w:rsidRPr="00BD574A">
        <w:t>16(3); or</w:t>
      </w:r>
    </w:p>
    <w:p w:rsidR="0080222D" w:rsidRPr="00BD574A" w:rsidRDefault="0080222D" w:rsidP="0080222D">
      <w:pPr>
        <w:pStyle w:val="paragraph"/>
      </w:pPr>
      <w:r w:rsidRPr="00BD574A">
        <w:tab/>
        <w:t>(b)</w:t>
      </w:r>
      <w:r w:rsidRPr="00BD574A">
        <w:tab/>
        <w:t>subsection</w:t>
      </w:r>
      <w:r w:rsidR="00BD574A">
        <w:t> </w:t>
      </w:r>
      <w:r w:rsidR="004C0C71" w:rsidRPr="00BD574A">
        <w:t>20(3).</w:t>
      </w:r>
    </w:p>
    <w:p w:rsidR="0080222D" w:rsidRPr="00BD574A" w:rsidRDefault="0080222D" w:rsidP="0080222D">
      <w:pPr>
        <w:pStyle w:val="subsection"/>
      </w:pPr>
      <w:r w:rsidRPr="00BD574A">
        <w:tab/>
        <w:t>(2)</w:t>
      </w:r>
      <w:r w:rsidRPr="00BD574A">
        <w:tab/>
        <w:t>An infringement notice must not relate to more than one offence unless:</w:t>
      </w:r>
    </w:p>
    <w:p w:rsidR="0080222D" w:rsidRPr="00BD574A" w:rsidRDefault="0080222D" w:rsidP="0080222D">
      <w:pPr>
        <w:pStyle w:val="paragraph"/>
      </w:pPr>
      <w:r w:rsidRPr="00BD574A">
        <w:tab/>
        <w:t>(a)</w:t>
      </w:r>
      <w:r w:rsidRPr="00BD574A">
        <w:tab/>
        <w:t>the offences are:</w:t>
      </w:r>
    </w:p>
    <w:p w:rsidR="0080222D" w:rsidRPr="00BD574A" w:rsidRDefault="0080222D" w:rsidP="0080222D">
      <w:pPr>
        <w:pStyle w:val="paragraphsub"/>
      </w:pPr>
      <w:r w:rsidRPr="00BD574A">
        <w:tab/>
        <w:t>(i)</w:t>
      </w:r>
      <w:r w:rsidRPr="00BD574A">
        <w:tab/>
        <w:t>an offence constituted by refusing or failing to comply with a requirement before a specified time or within a specified period; and</w:t>
      </w:r>
    </w:p>
    <w:p w:rsidR="0080222D" w:rsidRPr="00BD574A" w:rsidRDefault="0080222D" w:rsidP="0080222D">
      <w:pPr>
        <w:pStyle w:val="paragraphsub"/>
      </w:pPr>
      <w:r w:rsidRPr="00BD574A">
        <w:tab/>
        <w:t>(ii)</w:t>
      </w:r>
      <w:r w:rsidRPr="00BD574A">
        <w:tab/>
        <w:t>one or more daily offences constituted by refusing or failing to comply with the requirement after that time or period; or</w:t>
      </w:r>
    </w:p>
    <w:p w:rsidR="0080222D" w:rsidRPr="00BD574A" w:rsidRDefault="0080222D" w:rsidP="0080222D">
      <w:pPr>
        <w:pStyle w:val="paragraph"/>
      </w:pPr>
      <w:r w:rsidRPr="00BD574A">
        <w:tab/>
        <w:t>(b)</w:t>
      </w:r>
      <w:r w:rsidRPr="00BD574A">
        <w:tab/>
        <w:t>the offences are 2 or more daily offences constituted by refusing or failing to comply with the same requirement after the time before which, or the end of the period within which, the requirement was to be complied with.</w:t>
      </w:r>
    </w:p>
    <w:p w:rsidR="0080222D" w:rsidRPr="00BD574A" w:rsidRDefault="0080222D" w:rsidP="0080222D">
      <w:pPr>
        <w:pStyle w:val="notetext"/>
      </w:pPr>
      <w:r w:rsidRPr="00BD574A">
        <w:t>Note:</w:t>
      </w:r>
      <w:r w:rsidRPr="00BD574A">
        <w:tab/>
        <w:t>For daily offences, see section</w:t>
      </w:r>
      <w:r w:rsidR="00BD574A">
        <w:t> </w:t>
      </w:r>
      <w:r w:rsidRPr="00BD574A">
        <w:t xml:space="preserve">4K of the </w:t>
      </w:r>
      <w:r w:rsidRPr="00BD574A">
        <w:rPr>
          <w:i/>
        </w:rPr>
        <w:t>Crimes Act 1914</w:t>
      </w:r>
      <w:r w:rsidRPr="00BD574A">
        <w:t>.</w:t>
      </w:r>
    </w:p>
    <w:p w:rsidR="0080222D" w:rsidRPr="00BD574A" w:rsidRDefault="0080222D" w:rsidP="0080222D">
      <w:pPr>
        <w:pStyle w:val="subsection"/>
      </w:pPr>
      <w:r w:rsidRPr="00BD574A">
        <w:tab/>
        <w:t>(3)</w:t>
      </w:r>
      <w:r w:rsidRPr="00BD574A">
        <w:tab/>
        <w:t>An infringement notice does not have any effect unless it is served within one year after the day on which the offence or the earlier or earliest of the offences is alleged to have been committed.</w:t>
      </w:r>
    </w:p>
    <w:p w:rsidR="0080222D" w:rsidRPr="00BD574A" w:rsidRDefault="0080222D" w:rsidP="0080222D">
      <w:pPr>
        <w:pStyle w:val="ActHead5"/>
      </w:pPr>
      <w:bookmarkStart w:id="51" w:name="_Toc487718139"/>
      <w:r w:rsidRPr="00BD574A">
        <w:rPr>
          <w:rStyle w:val="CharSectno"/>
        </w:rPr>
        <w:t>34</w:t>
      </w:r>
      <w:r w:rsidRPr="00BD574A">
        <w:t xml:space="preserve">  Matters to be included in an infringement notice</w:t>
      </w:r>
      <w:bookmarkEnd w:id="51"/>
    </w:p>
    <w:p w:rsidR="0080222D" w:rsidRPr="00BD574A" w:rsidRDefault="0080222D" w:rsidP="0080222D">
      <w:pPr>
        <w:pStyle w:val="subsection"/>
      </w:pPr>
      <w:r w:rsidRPr="00BD574A">
        <w:tab/>
        <w:t>(1)</w:t>
      </w:r>
      <w:r w:rsidRPr="00BD574A">
        <w:tab/>
        <w:t>An infringement notice must:</w:t>
      </w:r>
    </w:p>
    <w:p w:rsidR="0080222D" w:rsidRPr="00BD574A" w:rsidRDefault="0080222D" w:rsidP="0080222D">
      <w:pPr>
        <w:pStyle w:val="paragraph"/>
      </w:pPr>
      <w:r w:rsidRPr="00BD574A">
        <w:tab/>
        <w:t>(a)</w:t>
      </w:r>
      <w:r w:rsidRPr="00BD574A">
        <w:tab/>
        <w:t>state the name of the person on whom it is to be served; and</w:t>
      </w:r>
    </w:p>
    <w:p w:rsidR="0080222D" w:rsidRPr="00BD574A" w:rsidRDefault="0080222D" w:rsidP="0080222D">
      <w:pPr>
        <w:pStyle w:val="paragraph"/>
      </w:pPr>
      <w:r w:rsidRPr="00BD574A">
        <w:lastRenderedPageBreak/>
        <w:tab/>
        <w:t>(b)</w:t>
      </w:r>
      <w:r w:rsidRPr="00BD574A">
        <w:tab/>
        <w:t>state that it is being served on behalf of the Commissioner; and</w:t>
      </w:r>
    </w:p>
    <w:p w:rsidR="0080222D" w:rsidRPr="00BD574A" w:rsidRDefault="0080222D" w:rsidP="00D10F84">
      <w:pPr>
        <w:pStyle w:val="paragraph"/>
        <w:keepNext/>
      </w:pPr>
      <w:r w:rsidRPr="00BD574A">
        <w:tab/>
        <w:t>(c)</w:t>
      </w:r>
      <w:r w:rsidRPr="00BD574A">
        <w:tab/>
        <w:t>state:</w:t>
      </w:r>
    </w:p>
    <w:p w:rsidR="0080222D" w:rsidRPr="00BD574A" w:rsidRDefault="0080222D" w:rsidP="00D10F84">
      <w:pPr>
        <w:pStyle w:val="paragraphsub"/>
        <w:keepNext/>
      </w:pPr>
      <w:r w:rsidRPr="00BD574A">
        <w:tab/>
        <w:t>(i)</w:t>
      </w:r>
      <w:r w:rsidRPr="00BD574A">
        <w:tab/>
        <w:t>the nature of the alleged offence or offences; and</w:t>
      </w:r>
    </w:p>
    <w:p w:rsidR="0080222D" w:rsidRPr="00BD574A" w:rsidRDefault="0080222D" w:rsidP="0080222D">
      <w:pPr>
        <w:pStyle w:val="paragraphsub"/>
      </w:pPr>
      <w:r w:rsidRPr="00BD574A">
        <w:tab/>
        <w:t>(ii)</w:t>
      </w:r>
      <w:r w:rsidRPr="00BD574A">
        <w:tab/>
        <w:t>the time (if known) and date on which, and the place at which, the offence or the earlier or earliest of the offences is alleged to have been committed; and</w:t>
      </w:r>
    </w:p>
    <w:p w:rsidR="0080222D" w:rsidRPr="00BD574A" w:rsidRDefault="0080222D" w:rsidP="0080222D">
      <w:pPr>
        <w:pStyle w:val="paragraphsub"/>
      </w:pPr>
      <w:r w:rsidRPr="00BD574A">
        <w:tab/>
        <w:t>(iii)</w:t>
      </w:r>
      <w:r w:rsidRPr="00BD574A">
        <w:tab/>
        <w:t>the maximum penalty that a court could impose for the alleged offence or offences; and</w:t>
      </w:r>
    </w:p>
    <w:p w:rsidR="0080222D" w:rsidRPr="00BD574A" w:rsidRDefault="0080222D" w:rsidP="0080222D">
      <w:pPr>
        <w:pStyle w:val="paragraph"/>
      </w:pPr>
      <w:r w:rsidRPr="00BD574A">
        <w:tab/>
        <w:t>(d)</w:t>
      </w:r>
      <w:r w:rsidRPr="00BD574A">
        <w:tab/>
        <w:t>specify a penalty that is payable under the notice in respect of the alleged offence or offences; and</w:t>
      </w:r>
    </w:p>
    <w:p w:rsidR="0080222D" w:rsidRPr="00BD574A" w:rsidRDefault="0080222D" w:rsidP="0080222D">
      <w:pPr>
        <w:pStyle w:val="paragraph"/>
      </w:pPr>
      <w:r w:rsidRPr="00BD574A">
        <w:tab/>
        <w:t>(e)</w:t>
      </w:r>
      <w:r w:rsidRPr="00BD574A">
        <w:tab/>
        <w:t>state that, if the person does not wish the matter to be dealt with by a court, the person may pay to the Commissioner the amount of the penalty specified in the notice within 28 days after the date of service of the notice; and</w:t>
      </w:r>
    </w:p>
    <w:p w:rsidR="0080222D" w:rsidRPr="00BD574A" w:rsidRDefault="0080222D" w:rsidP="0080222D">
      <w:pPr>
        <w:pStyle w:val="paragraph"/>
      </w:pPr>
      <w:r w:rsidRPr="00BD574A">
        <w:tab/>
        <w:t>(f)</w:t>
      </w:r>
      <w:r w:rsidRPr="00BD574A">
        <w:tab/>
        <w:t>state that the person may make written representations to the Commissioner seeking the withdrawal of the notice.</w:t>
      </w:r>
    </w:p>
    <w:p w:rsidR="0080222D" w:rsidRPr="00BD574A" w:rsidRDefault="0080222D" w:rsidP="0080222D">
      <w:pPr>
        <w:pStyle w:val="notetext"/>
      </w:pPr>
      <w:r w:rsidRPr="00BD574A">
        <w:t>Note:</w:t>
      </w:r>
      <w:r w:rsidRPr="00BD574A">
        <w:tab/>
        <w:t xml:space="preserve">The Commissioner has power to extend periods stated in notices under </w:t>
      </w:r>
      <w:r w:rsidR="00BD574A">
        <w:t>paragraph (</w:t>
      </w:r>
      <w:r w:rsidRPr="00BD574A">
        <w:t>1)(e) (see section</w:t>
      </w:r>
      <w:r w:rsidR="00BD574A">
        <w:t> </w:t>
      </w:r>
      <w:r w:rsidRPr="00BD574A">
        <w:t>39).</w:t>
      </w:r>
    </w:p>
    <w:p w:rsidR="0080222D" w:rsidRPr="00BD574A" w:rsidRDefault="0080222D" w:rsidP="0080222D">
      <w:pPr>
        <w:pStyle w:val="subsection"/>
      </w:pPr>
      <w:r w:rsidRPr="00BD574A">
        <w:tab/>
        <w:t>(2)</w:t>
      </w:r>
      <w:r w:rsidRPr="00BD574A">
        <w:tab/>
        <w:t>An infringement notice may contain any other matters that the Commissioner considers necessary.</w:t>
      </w:r>
    </w:p>
    <w:p w:rsidR="0080222D" w:rsidRPr="00BD574A" w:rsidRDefault="0080222D" w:rsidP="0080222D">
      <w:pPr>
        <w:pStyle w:val="subsection"/>
      </w:pPr>
      <w:r w:rsidRPr="00BD574A">
        <w:tab/>
        <w:t>(3)</w:t>
      </w:r>
      <w:r w:rsidRPr="00BD574A">
        <w:tab/>
        <w:t xml:space="preserve">The penalty to be specified in an infringement notice under </w:t>
      </w:r>
      <w:r w:rsidR="00BD574A">
        <w:t>paragraph (</w:t>
      </w:r>
      <w:r w:rsidRPr="00BD574A">
        <w:t>1)(d) is 20% of the maximum amount of the fine or fines that a court could impose for the offence or offences.</w:t>
      </w:r>
    </w:p>
    <w:p w:rsidR="0080222D" w:rsidRPr="00BD574A" w:rsidRDefault="0080222D" w:rsidP="0080222D">
      <w:pPr>
        <w:pStyle w:val="ActHead5"/>
      </w:pPr>
      <w:bookmarkStart w:id="52" w:name="_Toc487718140"/>
      <w:r w:rsidRPr="00BD574A">
        <w:rPr>
          <w:rStyle w:val="CharSectno"/>
        </w:rPr>
        <w:t>35</w:t>
      </w:r>
      <w:r w:rsidRPr="00BD574A">
        <w:t xml:space="preserve">  Withdrawal of infringement notice</w:t>
      </w:r>
      <w:bookmarkEnd w:id="52"/>
    </w:p>
    <w:p w:rsidR="0080222D" w:rsidRPr="00BD574A" w:rsidRDefault="0080222D" w:rsidP="0080222D">
      <w:pPr>
        <w:pStyle w:val="subsection"/>
      </w:pPr>
      <w:r w:rsidRPr="00BD574A">
        <w:tab/>
        <w:t>(1)</w:t>
      </w:r>
      <w:r w:rsidRPr="00BD574A">
        <w:tab/>
        <w:t>A person on whom an infringement notice has been served may make written representations to the Commissioner seeking the withdrawal of the notice.</w:t>
      </w:r>
    </w:p>
    <w:p w:rsidR="0080222D" w:rsidRPr="00BD574A" w:rsidRDefault="0080222D" w:rsidP="0080222D">
      <w:pPr>
        <w:pStyle w:val="subsection"/>
      </w:pPr>
      <w:r w:rsidRPr="00BD574A">
        <w:tab/>
        <w:t>(2)</w:t>
      </w:r>
      <w:r w:rsidRPr="00BD574A">
        <w:tab/>
        <w:t xml:space="preserve">The Commissioner may withdraw an infringement notice served on a person (whether or not the person has made representations seeking the withdrawal) by causing written notice of the withdrawal to be served on the person within the period within </w:t>
      </w:r>
      <w:r w:rsidRPr="00BD574A">
        <w:lastRenderedPageBreak/>
        <w:t>which the penalty specified in the infringement notice is required to be paid.</w:t>
      </w:r>
    </w:p>
    <w:p w:rsidR="0080222D" w:rsidRPr="00BD574A" w:rsidRDefault="0080222D" w:rsidP="0079625D">
      <w:pPr>
        <w:pStyle w:val="subsection"/>
        <w:keepNext/>
        <w:keepLines/>
      </w:pPr>
      <w:r w:rsidRPr="00BD574A">
        <w:tab/>
        <w:t>(3)</w:t>
      </w:r>
      <w:r w:rsidRPr="00BD574A">
        <w:tab/>
        <w:t>The matters to which the Commissioner may have regard in deciding whether or not to withdraw an infringement notice include, but are not limited to, the following:</w:t>
      </w:r>
    </w:p>
    <w:p w:rsidR="0080222D" w:rsidRPr="00BD574A" w:rsidRDefault="0080222D" w:rsidP="0080222D">
      <w:pPr>
        <w:pStyle w:val="paragraph"/>
      </w:pPr>
      <w:r w:rsidRPr="00BD574A">
        <w:tab/>
        <w:t>(a)</w:t>
      </w:r>
      <w:r w:rsidRPr="00BD574A">
        <w:tab/>
        <w:t>whether the person has previously been convicted of an offence for a contravention of this Act;</w:t>
      </w:r>
    </w:p>
    <w:p w:rsidR="0080222D" w:rsidRPr="00BD574A" w:rsidRDefault="0080222D" w:rsidP="0080222D">
      <w:pPr>
        <w:pStyle w:val="paragraph"/>
      </w:pPr>
      <w:r w:rsidRPr="00BD574A">
        <w:tab/>
        <w:t>(b)</w:t>
      </w:r>
      <w:r w:rsidRPr="00BD574A">
        <w:tab/>
        <w:t>the circumstances in which the offence or offences specified in the notice are alleged to have been committed;</w:t>
      </w:r>
    </w:p>
    <w:p w:rsidR="0080222D" w:rsidRPr="00BD574A" w:rsidRDefault="0080222D" w:rsidP="0080222D">
      <w:pPr>
        <w:pStyle w:val="paragraph"/>
      </w:pPr>
      <w:r w:rsidRPr="00BD574A">
        <w:tab/>
        <w:t>(c)</w:t>
      </w:r>
      <w:r w:rsidRPr="00BD574A">
        <w:tab/>
        <w:t>whether the person has previously been served with an infringement notice in respect of which the person paid the penalty specified in the notice;</w:t>
      </w:r>
    </w:p>
    <w:p w:rsidR="0080222D" w:rsidRPr="00BD574A" w:rsidRDefault="0080222D" w:rsidP="0080222D">
      <w:pPr>
        <w:pStyle w:val="paragraph"/>
      </w:pPr>
      <w:r w:rsidRPr="00BD574A">
        <w:tab/>
        <w:t>(d)</w:t>
      </w:r>
      <w:r w:rsidRPr="00BD574A">
        <w:tab/>
        <w:t>any written representations made by the person.</w:t>
      </w:r>
    </w:p>
    <w:p w:rsidR="0080222D" w:rsidRPr="00BD574A" w:rsidRDefault="0080222D" w:rsidP="0080222D">
      <w:pPr>
        <w:pStyle w:val="subsection"/>
      </w:pPr>
      <w:r w:rsidRPr="00BD574A">
        <w:tab/>
        <w:t>(4)</w:t>
      </w:r>
      <w:r w:rsidRPr="00BD574A">
        <w:tab/>
        <w:t>If:</w:t>
      </w:r>
    </w:p>
    <w:p w:rsidR="0080222D" w:rsidRPr="00BD574A" w:rsidRDefault="0080222D" w:rsidP="0080222D">
      <w:pPr>
        <w:pStyle w:val="paragraph"/>
      </w:pPr>
      <w:r w:rsidRPr="00BD574A">
        <w:tab/>
        <w:t>(a)</w:t>
      </w:r>
      <w:r w:rsidRPr="00BD574A">
        <w:tab/>
        <w:t>the person pays the penalty specified in the infringement notice within the period within which the penalty is required to be paid; and</w:t>
      </w:r>
    </w:p>
    <w:p w:rsidR="0080222D" w:rsidRPr="00BD574A" w:rsidRDefault="0080222D" w:rsidP="0080222D">
      <w:pPr>
        <w:pStyle w:val="paragraph"/>
      </w:pPr>
      <w:r w:rsidRPr="00BD574A">
        <w:tab/>
        <w:t>(b)</w:t>
      </w:r>
      <w:r w:rsidRPr="00BD574A">
        <w:tab/>
        <w:t>the notice is withdrawn after the person pays the penalty;</w:t>
      </w:r>
    </w:p>
    <w:p w:rsidR="0080222D" w:rsidRPr="00BD574A" w:rsidRDefault="0080222D" w:rsidP="0080222D">
      <w:pPr>
        <w:pStyle w:val="subsection2"/>
      </w:pPr>
      <w:r w:rsidRPr="00BD574A">
        <w:t>the Commissioner must refund to the person, out of money appropriated by the Parliament, an amount equal to the amount paid.</w:t>
      </w:r>
    </w:p>
    <w:p w:rsidR="0080222D" w:rsidRPr="00BD574A" w:rsidRDefault="0080222D" w:rsidP="0080222D">
      <w:pPr>
        <w:pStyle w:val="ActHead5"/>
      </w:pPr>
      <w:bookmarkStart w:id="53" w:name="_Toc487718141"/>
      <w:r w:rsidRPr="00BD574A">
        <w:rPr>
          <w:rStyle w:val="CharSectno"/>
        </w:rPr>
        <w:t>36</w:t>
      </w:r>
      <w:r w:rsidRPr="00BD574A">
        <w:t xml:space="preserve">  What happens if penalty is paid</w:t>
      </w:r>
      <w:bookmarkEnd w:id="53"/>
    </w:p>
    <w:p w:rsidR="0080222D" w:rsidRPr="00BD574A" w:rsidRDefault="0080222D" w:rsidP="0080222D">
      <w:pPr>
        <w:pStyle w:val="subsection"/>
      </w:pPr>
      <w:r w:rsidRPr="00BD574A">
        <w:tab/>
        <w:t>(1)</w:t>
      </w:r>
      <w:r w:rsidRPr="00BD574A">
        <w:tab/>
        <w:t>This section applies if:</w:t>
      </w:r>
    </w:p>
    <w:p w:rsidR="0080222D" w:rsidRPr="00BD574A" w:rsidRDefault="0080222D" w:rsidP="0080222D">
      <w:pPr>
        <w:pStyle w:val="paragraph"/>
      </w:pPr>
      <w:r w:rsidRPr="00BD574A">
        <w:tab/>
        <w:t>(a)</w:t>
      </w:r>
      <w:r w:rsidRPr="00BD574A">
        <w:tab/>
        <w:t>an infringement notice is served on a person; and</w:t>
      </w:r>
    </w:p>
    <w:p w:rsidR="0080222D" w:rsidRPr="00BD574A" w:rsidRDefault="0080222D" w:rsidP="0080222D">
      <w:pPr>
        <w:pStyle w:val="paragraph"/>
      </w:pPr>
      <w:r w:rsidRPr="00BD574A">
        <w:tab/>
        <w:t>(b)</w:t>
      </w:r>
      <w:r w:rsidRPr="00BD574A">
        <w:tab/>
        <w:t>the person pays the penalty specified in the notice before the end of the period referred to in paragraph</w:t>
      </w:r>
      <w:r w:rsidR="00BD574A">
        <w:t> </w:t>
      </w:r>
      <w:r w:rsidRPr="00BD574A">
        <w:t>34(1)(e); and</w:t>
      </w:r>
    </w:p>
    <w:p w:rsidR="0080222D" w:rsidRPr="00BD574A" w:rsidRDefault="0080222D" w:rsidP="0080222D">
      <w:pPr>
        <w:pStyle w:val="paragraph"/>
      </w:pPr>
      <w:r w:rsidRPr="00BD574A">
        <w:tab/>
        <w:t>(c)</w:t>
      </w:r>
      <w:r w:rsidRPr="00BD574A">
        <w:tab/>
        <w:t>the infringement notice is not withdrawn.</w:t>
      </w:r>
    </w:p>
    <w:p w:rsidR="0080222D" w:rsidRPr="00BD574A" w:rsidRDefault="0080222D" w:rsidP="0080222D">
      <w:pPr>
        <w:pStyle w:val="subsection"/>
      </w:pPr>
      <w:r w:rsidRPr="00BD574A">
        <w:tab/>
        <w:t>(2)</w:t>
      </w:r>
      <w:r w:rsidRPr="00BD574A">
        <w:tab/>
        <w:t>Any liability of the person for the offence or offences specified in the notice, and for any other offence or offences constituted by the same omission, is taken to be discharged.</w:t>
      </w:r>
    </w:p>
    <w:p w:rsidR="0080222D" w:rsidRPr="00BD574A" w:rsidRDefault="0080222D" w:rsidP="0080222D">
      <w:pPr>
        <w:pStyle w:val="subsection"/>
      </w:pPr>
      <w:r w:rsidRPr="00BD574A">
        <w:lastRenderedPageBreak/>
        <w:tab/>
        <w:t>(3)</w:t>
      </w:r>
      <w:r w:rsidRPr="00BD574A">
        <w:tab/>
        <w:t>Further proceedings cannot be taken against the person for the offence or offences specified in the notice and proceedings cannot be taken against the person for any other offence or offences constituted by the same omission.</w:t>
      </w:r>
    </w:p>
    <w:p w:rsidR="0080222D" w:rsidRPr="00BD574A" w:rsidRDefault="0080222D" w:rsidP="0080222D">
      <w:pPr>
        <w:pStyle w:val="subsection"/>
      </w:pPr>
      <w:r w:rsidRPr="00BD574A">
        <w:tab/>
        <w:t>(4)</w:t>
      </w:r>
      <w:r w:rsidRPr="00BD574A">
        <w:tab/>
        <w:t>The person is not regarded as having been convicted of the offence or offences specified in the notice.</w:t>
      </w:r>
    </w:p>
    <w:p w:rsidR="0080222D" w:rsidRPr="00BD574A" w:rsidRDefault="0080222D" w:rsidP="0080222D">
      <w:pPr>
        <w:pStyle w:val="ActHead5"/>
      </w:pPr>
      <w:bookmarkStart w:id="54" w:name="_Toc487718142"/>
      <w:r w:rsidRPr="00BD574A">
        <w:rPr>
          <w:rStyle w:val="CharSectno"/>
        </w:rPr>
        <w:t>37</w:t>
      </w:r>
      <w:r w:rsidRPr="00BD574A">
        <w:t xml:space="preserve">  More than one infringement notice may not be served for the same offence</w:t>
      </w:r>
      <w:bookmarkEnd w:id="54"/>
    </w:p>
    <w:p w:rsidR="0080222D" w:rsidRPr="00BD574A" w:rsidRDefault="0080222D" w:rsidP="0080222D">
      <w:pPr>
        <w:pStyle w:val="subsection"/>
      </w:pPr>
      <w:r w:rsidRPr="00BD574A">
        <w:tab/>
      </w:r>
      <w:r w:rsidRPr="00BD574A">
        <w:tab/>
        <w:t>This Division does not permit the service of more than one infringement notice on a person for the same offence or offences.</w:t>
      </w:r>
    </w:p>
    <w:p w:rsidR="0080222D" w:rsidRPr="00BD574A" w:rsidRDefault="0080222D" w:rsidP="0080222D">
      <w:pPr>
        <w:pStyle w:val="ActHead5"/>
      </w:pPr>
      <w:bookmarkStart w:id="55" w:name="_Toc487718143"/>
      <w:r w:rsidRPr="00BD574A">
        <w:rPr>
          <w:rStyle w:val="CharSectno"/>
        </w:rPr>
        <w:t>38</w:t>
      </w:r>
      <w:r w:rsidRPr="00BD574A">
        <w:t xml:space="preserve">  Infringement notice not required to be served</w:t>
      </w:r>
      <w:bookmarkEnd w:id="55"/>
    </w:p>
    <w:p w:rsidR="0080222D" w:rsidRPr="00BD574A" w:rsidRDefault="0080222D" w:rsidP="0080222D">
      <w:pPr>
        <w:pStyle w:val="subsection"/>
      </w:pPr>
      <w:r w:rsidRPr="00BD574A">
        <w:tab/>
      </w:r>
      <w:r w:rsidRPr="00BD574A">
        <w:tab/>
        <w:t>This Division does not:</w:t>
      </w:r>
    </w:p>
    <w:p w:rsidR="0080222D" w:rsidRPr="00BD574A" w:rsidRDefault="0080222D" w:rsidP="0080222D">
      <w:pPr>
        <w:pStyle w:val="paragraph"/>
      </w:pPr>
      <w:r w:rsidRPr="00BD574A">
        <w:tab/>
        <w:t>(a)</w:t>
      </w:r>
      <w:r w:rsidRPr="00BD574A">
        <w:tab/>
        <w:t>require an infringement notice to be served on a person in relation to an offence; or</w:t>
      </w:r>
    </w:p>
    <w:p w:rsidR="0080222D" w:rsidRPr="00BD574A" w:rsidRDefault="0080222D" w:rsidP="0080222D">
      <w:pPr>
        <w:pStyle w:val="paragraph"/>
      </w:pPr>
      <w:r w:rsidRPr="00BD574A">
        <w:tab/>
        <w:t>(b)</w:t>
      </w:r>
      <w:r w:rsidRPr="00BD574A">
        <w:tab/>
        <w:t>affect the liability of a person to be prosecuted for an offence if:</w:t>
      </w:r>
    </w:p>
    <w:p w:rsidR="0080222D" w:rsidRPr="00BD574A" w:rsidRDefault="0080222D" w:rsidP="0080222D">
      <w:pPr>
        <w:pStyle w:val="paragraphsub"/>
      </w:pPr>
      <w:r w:rsidRPr="00BD574A">
        <w:tab/>
        <w:t>(i)</w:t>
      </w:r>
      <w:r w:rsidRPr="00BD574A">
        <w:tab/>
        <w:t>an infringement notice is not served on the person in relation to the offence or in relation to any other offence constituted by the same omission; or</w:t>
      </w:r>
    </w:p>
    <w:p w:rsidR="0080222D" w:rsidRPr="00BD574A" w:rsidRDefault="0080222D" w:rsidP="0080222D">
      <w:pPr>
        <w:pStyle w:val="paragraphsub"/>
      </w:pPr>
      <w:r w:rsidRPr="00BD574A">
        <w:tab/>
        <w:t>(ii)</w:t>
      </w:r>
      <w:r w:rsidRPr="00BD574A">
        <w:tab/>
        <w:t>an infringement notice served on the person in relation to the offence or in relation to any other offence constituted by the same omission has been withdrawn; or</w:t>
      </w:r>
    </w:p>
    <w:p w:rsidR="0080222D" w:rsidRPr="00BD574A" w:rsidRDefault="0080222D" w:rsidP="0080222D">
      <w:pPr>
        <w:pStyle w:val="paragraph"/>
      </w:pPr>
      <w:r w:rsidRPr="00BD574A">
        <w:tab/>
        <w:t>(c)</w:t>
      </w:r>
      <w:r w:rsidRPr="00BD574A">
        <w:tab/>
        <w:t>affect the liability of a person to be prosecuted for an offence if the person does not comply with an infringement notice served on the person in relation to the offence or in relation to any other offence constituted by the same omission; or</w:t>
      </w:r>
    </w:p>
    <w:p w:rsidR="0080222D" w:rsidRPr="00BD574A" w:rsidRDefault="0080222D" w:rsidP="0080222D">
      <w:pPr>
        <w:pStyle w:val="paragraph"/>
      </w:pPr>
      <w:r w:rsidRPr="00BD574A">
        <w:tab/>
        <w:t>(d)</w:t>
      </w:r>
      <w:r w:rsidRPr="00BD574A">
        <w:tab/>
        <w:t>limit the amount of the penalty that may be imposed by a court on a person convicted of an offence.</w:t>
      </w:r>
    </w:p>
    <w:p w:rsidR="0080222D" w:rsidRPr="00BD574A" w:rsidRDefault="0080222D" w:rsidP="0080222D">
      <w:pPr>
        <w:pStyle w:val="ActHead5"/>
      </w:pPr>
      <w:bookmarkStart w:id="56" w:name="_Toc487718144"/>
      <w:r w:rsidRPr="00BD574A">
        <w:rPr>
          <w:rStyle w:val="CharSectno"/>
        </w:rPr>
        <w:lastRenderedPageBreak/>
        <w:t>39</w:t>
      </w:r>
      <w:r w:rsidRPr="00BD574A">
        <w:t xml:space="preserve">  Commissioner may extend period for payment of penalty</w:t>
      </w:r>
      <w:bookmarkEnd w:id="56"/>
    </w:p>
    <w:p w:rsidR="0080222D" w:rsidRPr="00BD574A" w:rsidRDefault="0080222D" w:rsidP="0080222D">
      <w:pPr>
        <w:pStyle w:val="subsection"/>
      </w:pPr>
      <w:r w:rsidRPr="00BD574A">
        <w:tab/>
        <w:t>(1)</w:t>
      </w:r>
      <w:r w:rsidRPr="00BD574A">
        <w:tab/>
        <w:t>The Commissioner may, by writing, extend, in relation to a particular person, the period referred to in paragraph</w:t>
      </w:r>
      <w:r w:rsidR="00BD574A">
        <w:t> </w:t>
      </w:r>
      <w:r w:rsidRPr="00BD574A">
        <w:t>34(1)(e).</w:t>
      </w:r>
    </w:p>
    <w:p w:rsidR="0080222D" w:rsidRPr="00BD574A" w:rsidRDefault="0080222D" w:rsidP="0080222D">
      <w:pPr>
        <w:pStyle w:val="subsection"/>
      </w:pPr>
      <w:r w:rsidRPr="00BD574A">
        <w:tab/>
        <w:t>(2)</w:t>
      </w:r>
      <w:r w:rsidRPr="00BD574A">
        <w:tab/>
        <w:t xml:space="preserve">The power of the Commissioner under </w:t>
      </w:r>
      <w:r w:rsidR="00BD574A">
        <w:t>subsection (</w:t>
      </w:r>
      <w:r w:rsidRPr="00BD574A">
        <w:t>1) to extend the period may be exercised before or after the end of the period.</w:t>
      </w:r>
    </w:p>
    <w:p w:rsidR="0080222D" w:rsidRPr="00BD574A" w:rsidRDefault="0080222D" w:rsidP="0080222D">
      <w:pPr>
        <w:pStyle w:val="subsection"/>
      </w:pPr>
      <w:r w:rsidRPr="00BD574A">
        <w:tab/>
        <w:t>(3)</w:t>
      </w:r>
      <w:r w:rsidRPr="00BD574A">
        <w:tab/>
        <w:t xml:space="preserve">If the Commissioner extends a period under </w:t>
      </w:r>
      <w:r w:rsidR="00BD574A">
        <w:t>subsection (</w:t>
      </w:r>
      <w:r w:rsidRPr="00BD574A">
        <w:t>1), a reference in this Division, or in a notice or other instrument under this Division, to the period is taken, in relation to the person, to be a reference to the period as so extended.</w:t>
      </w:r>
    </w:p>
    <w:p w:rsidR="0080222D" w:rsidRPr="00BD574A" w:rsidRDefault="0080222D" w:rsidP="00215433">
      <w:pPr>
        <w:pStyle w:val="ActHead2"/>
        <w:pageBreakBefore/>
      </w:pPr>
      <w:bookmarkStart w:id="57" w:name="_Toc487718145"/>
      <w:r w:rsidRPr="00BD574A">
        <w:rPr>
          <w:rStyle w:val="CharPartNo"/>
        </w:rPr>
        <w:lastRenderedPageBreak/>
        <w:t>Part</w:t>
      </w:r>
      <w:r w:rsidR="00BD574A" w:rsidRPr="00BD574A">
        <w:rPr>
          <w:rStyle w:val="CharPartNo"/>
        </w:rPr>
        <w:t> </w:t>
      </w:r>
      <w:r w:rsidRPr="00BD574A">
        <w:rPr>
          <w:rStyle w:val="CharPartNo"/>
        </w:rPr>
        <w:t>7</w:t>
      </w:r>
      <w:r w:rsidRPr="00BD574A">
        <w:t>—</w:t>
      </w:r>
      <w:r w:rsidRPr="00BD574A">
        <w:rPr>
          <w:rStyle w:val="CharPartText"/>
        </w:rPr>
        <w:t>Administration</w:t>
      </w:r>
      <w:bookmarkEnd w:id="57"/>
    </w:p>
    <w:p w:rsidR="0080222D" w:rsidRPr="00BD574A" w:rsidRDefault="0080222D" w:rsidP="0080222D">
      <w:pPr>
        <w:pStyle w:val="ActHead3"/>
      </w:pPr>
      <w:bookmarkStart w:id="58" w:name="_Toc487718146"/>
      <w:r w:rsidRPr="00BD574A">
        <w:rPr>
          <w:rStyle w:val="CharDivNo"/>
        </w:rPr>
        <w:t>Division</w:t>
      </w:r>
      <w:r w:rsidR="00BD574A" w:rsidRPr="00BD574A">
        <w:rPr>
          <w:rStyle w:val="CharDivNo"/>
        </w:rPr>
        <w:t> </w:t>
      </w:r>
      <w:r w:rsidRPr="00BD574A">
        <w:rPr>
          <w:rStyle w:val="CharDivNo"/>
        </w:rPr>
        <w:t>1</w:t>
      </w:r>
      <w:r w:rsidRPr="00BD574A">
        <w:t>—</w:t>
      </w:r>
      <w:r w:rsidRPr="00BD574A">
        <w:rPr>
          <w:rStyle w:val="CharDivText"/>
        </w:rPr>
        <w:t>General administration</w:t>
      </w:r>
      <w:bookmarkEnd w:id="58"/>
    </w:p>
    <w:p w:rsidR="0080222D" w:rsidRPr="00BD574A" w:rsidRDefault="0080222D" w:rsidP="0080222D">
      <w:pPr>
        <w:pStyle w:val="ActHead5"/>
      </w:pPr>
      <w:bookmarkStart w:id="59" w:name="_Toc487718147"/>
      <w:r w:rsidRPr="00BD574A">
        <w:rPr>
          <w:rStyle w:val="CharSectno"/>
        </w:rPr>
        <w:t>46</w:t>
      </w:r>
      <w:r w:rsidRPr="00BD574A">
        <w:t xml:space="preserve">  Commissioner to have general administration of the Act</w:t>
      </w:r>
      <w:bookmarkEnd w:id="59"/>
    </w:p>
    <w:p w:rsidR="0080222D" w:rsidRPr="00BD574A" w:rsidRDefault="0080222D" w:rsidP="0080222D">
      <w:pPr>
        <w:pStyle w:val="subsection"/>
      </w:pPr>
      <w:r w:rsidRPr="00BD574A">
        <w:tab/>
      </w:r>
      <w:r w:rsidRPr="00BD574A">
        <w:tab/>
        <w:t>The Commissioner has the general administration of this Act.</w:t>
      </w:r>
    </w:p>
    <w:p w:rsidR="00BB6F32" w:rsidRPr="00BD574A" w:rsidRDefault="00BB6F32" w:rsidP="00BB6F32">
      <w:pPr>
        <w:pStyle w:val="notetext"/>
      </w:pPr>
      <w:r w:rsidRPr="00BD574A">
        <w:t>Note:</w:t>
      </w:r>
      <w:r w:rsidRPr="00BD574A">
        <w:tab/>
        <w:t>An effect of this provision is that people who acquire information under this Act are subject to the confidentiality obligations and exceptions in Division</w:t>
      </w:r>
      <w:r w:rsidR="00BD574A">
        <w:t> </w:t>
      </w:r>
      <w:r w:rsidRPr="00BD574A">
        <w:t>355 in Schedule</w:t>
      </w:r>
      <w:r w:rsidR="00BD574A">
        <w:t> </w:t>
      </w:r>
      <w:r w:rsidRPr="00BD574A">
        <w:t xml:space="preserve">1 to the </w:t>
      </w:r>
      <w:r w:rsidRPr="00BD574A">
        <w:rPr>
          <w:i/>
        </w:rPr>
        <w:t>Taxation Administration Act 1953</w:t>
      </w:r>
      <w:r w:rsidRPr="00BD574A">
        <w:t>.</w:t>
      </w:r>
    </w:p>
    <w:p w:rsidR="0080222D" w:rsidRPr="00BD574A" w:rsidRDefault="0080222D" w:rsidP="0080222D">
      <w:pPr>
        <w:pStyle w:val="ActHead5"/>
      </w:pPr>
      <w:bookmarkStart w:id="60" w:name="_Toc487718148"/>
      <w:r w:rsidRPr="00BD574A">
        <w:rPr>
          <w:rStyle w:val="CharSectno"/>
        </w:rPr>
        <w:t>47</w:t>
      </w:r>
      <w:r w:rsidRPr="00BD574A">
        <w:t xml:space="preserve">  Decisions to be in writing</w:t>
      </w:r>
      <w:bookmarkEnd w:id="60"/>
    </w:p>
    <w:p w:rsidR="0080222D" w:rsidRPr="00BD574A" w:rsidRDefault="0080222D" w:rsidP="0080222D">
      <w:pPr>
        <w:pStyle w:val="subsection"/>
      </w:pPr>
      <w:r w:rsidRPr="00BD574A">
        <w:tab/>
        <w:t>(1)</w:t>
      </w:r>
      <w:r w:rsidRPr="00BD574A">
        <w:tab/>
        <w:t>A decision of the Commissioner under this Act or the regulations must be in writing.</w:t>
      </w:r>
    </w:p>
    <w:p w:rsidR="0080222D" w:rsidRPr="00BD574A" w:rsidRDefault="0080222D" w:rsidP="0080222D">
      <w:pPr>
        <w:pStyle w:val="subsection"/>
      </w:pPr>
      <w:r w:rsidRPr="00BD574A">
        <w:tab/>
        <w:t>(2)</w:t>
      </w:r>
      <w:r w:rsidRPr="00BD574A">
        <w:tab/>
        <w:t>Such a decision is taken to be in writing if it is made, or recorded, by means of a computer.</w:t>
      </w:r>
    </w:p>
    <w:p w:rsidR="0080222D" w:rsidRPr="00BD574A" w:rsidRDefault="0080222D" w:rsidP="0080222D">
      <w:pPr>
        <w:pStyle w:val="ActHead5"/>
      </w:pPr>
      <w:bookmarkStart w:id="61" w:name="_Toc487718149"/>
      <w:r w:rsidRPr="00BD574A">
        <w:rPr>
          <w:rStyle w:val="CharSectno"/>
        </w:rPr>
        <w:t>48</w:t>
      </w:r>
      <w:r w:rsidRPr="00BD574A">
        <w:t xml:space="preserve">  Commissioner may arrange for use of computer programs to make decisions</w:t>
      </w:r>
      <w:bookmarkEnd w:id="61"/>
    </w:p>
    <w:p w:rsidR="0080222D" w:rsidRPr="00BD574A" w:rsidRDefault="0080222D" w:rsidP="0080222D">
      <w:pPr>
        <w:pStyle w:val="subsection"/>
      </w:pPr>
      <w:r w:rsidRPr="00BD574A">
        <w:tab/>
        <w:t>(1)</w:t>
      </w:r>
      <w:r w:rsidRPr="00BD574A">
        <w:tab/>
        <w:t>The Commissioner may arrange for the use, under the Commissioner’s control, of computer programs for any purposes for which the Commissioner may make decisions under this Act or the regulations.</w:t>
      </w:r>
    </w:p>
    <w:p w:rsidR="0080222D" w:rsidRPr="00BD574A" w:rsidRDefault="0080222D" w:rsidP="0080222D">
      <w:pPr>
        <w:pStyle w:val="subsection"/>
      </w:pPr>
      <w:r w:rsidRPr="00BD574A">
        <w:tab/>
        <w:t>(2)</w:t>
      </w:r>
      <w:r w:rsidRPr="00BD574A">
        <w:tab/>
        <w:t xml:space="preserve">A decision made by the operation of a computer program under an arrangement made under </w:t>
      </w:r>
      <w:r w:rsidR="00BD574A">
        <w:t>subsection (</w:t>
      </w:r>
      <w:r w:rsidRPr="00BD574A">
        <w:t>1) is taken to be a decision made by the Commissioner.</w:t>
      </w:r>
    </w:p>
    <w:p w:rsidR="0080222D" w:rsidRPr="00BD574A" w:rsidRDefault="0080222D" w:rsidP="00215433">
      <w:pPr>
        <w:pStyle w:val="ActHead3"/>
        <w:pageBreakBefore/>
      </w:pPr>
      <w:bookmarkStart w:id="62" w:name="_Toc487718150"/>
      <w:r w:rsidRPr="00BD574A">
        <w:rPr>
          <w:rStyle w:val="CharDivNo"/>
        </w:rPr>
        <w:lastRenderedPageBreak/>
        <w:t>Division</w:t>
      </w:r>
      <w:r w:rsidR="00BD574A" w:rsidRPr="00BD574A">
        <w:rPr>
          <w:rStyle w:val="CharDivNo"/>
        </w:rPr>
        <w:t> </w:t>
      </w:r>
      <w:r w:rsidRPr="00BD574A">
        <w:rPr>
          <w:rStyle w:val="CharDivNo"/>
        </w:rPr>
        <w:t>2</w:t>
      </w:r>
      <w:r w:rsidRPr="00BD574A">
        <w:t>—</w:t>
      </w:r>
      <w:r w:rsidRPr="00BD574A">
        <w:rPr>
          <w:rStyle w:val="CharDivText"/>
        </w:rPr>
        <w:t>Review of decisions</w:t>
      </w:r>
      <w:bookmarkEnd w:id="62"/>
    </w:p>
    <w:p w:rsidR="0080222D" w:rsidRPr="00BD574A" w:rsidRDefault="0080222D" w:rsidP="0080222D">
      <w:pPr>
        <w:pStyle w:val="ActHead5"/>
      </w:pPr>
      <w:bookmarkStart w:id="63" w:name="_Toc487718151"/>
      <w:r w:rsidRPr="00BD574A">
        <w:rPr>
          <w:rStyle w:val="CharSectno"/>
        </w:rPr>
        <w:t>49</w:t>
      </w:r>
      <w:r w:rsidRPr="00BD574A">
        <w:t xml:space="preserve">  Review of decisions</w:t>
      </w:r>
      <w:bookmarkEnd w:id="63"/>
    </w:p>
    <w:p w:rsidR="0080222D" w:rsidRPr="00BD574A" w:rsidRDefault="0080222D" w:rsidP="0080222D">
      <w:pPr>
        <w:pStyle w:val="subsection"/>
      </w:pPr>
      <w:r w:rsidRPr="00BD574A">
        <w:tab/>
        <w:t>(1)</w:t>
      </w:r>
      <w:r w:rsidRPr="00BD574A">
        <w:tab/>
        <w:t xml:space="preserve">A person affected by a decision (the </w:t>
      </w:r>
      <w:r w:rsidRPr="00BD574A">
        <w:rPr>
          <w:b/>
          <w:i/>
        </w:rPr>
        <w:t>original decision</w:t>
      </w:r>
      <w:r w:rsidRPr="00BD574A">
        <w:t>) made by the Commissioner under Part</w:t>
      </w:r>
      <w:r w:rsidR="00BD574A">
        <w:t> </w:t>
      </w:r>
      <w:r w:rsidRPr="00BD574A">
        <w:t>2</w:t>
      </w:r>
      <w:r w:rsidR="00D3414A" w:rsidRPr="00BD574A">
        <w:t>,</w:t>
      </w:r>
      <w:r w:rsidR="00AD0EEF" w:rsidRPr="00BD574A">
        <w:t xml:space="preserve"> 2A,</w:t>
      </w:r>
      <w:r w:rsidR="00D3414A" w:rsidRPr="00BD574A">
        <w:t xml:space="preserve"> </w:t>
      </w:r>
      <w:r w:rsidRPr="00BD574A">
        <w:t>3, 4 or 5</w:t>
      </w:r>
      <w:r w:rsidR="008B621D" w:rsidRPr="00BD574A">
        <w:t> </w:t>
      </w:r>
      <w:r w:rsidRPr="00BD574A">
        <w:t>may apply to the Commissioner for review of the decision.</w:t>
      </w:r>
    </w:p>
    <w:p w:rsidR="0080222D" w:rsidRPr="00BD574A" w:rsidRDefault="0080222D" w:rsidP="0080222D">
      <w:pPr>
        <w:pStyle w:val="subsection"/>
      </w:pPr>
      <w:r w:rsidRPr="00BD574A">
        <w:tab/>
        <w:t>(2)</w:t>
      </w:r>
      <w:r w:rsidRPr="00BD574A">
        <w:tab/>
        <w:t>If the person does so, the Commissioner must either:</w:t>
      </w:r>
    </w:p>
    <w:p w:rsidR="0080222D" w:rsidRPr="00BD574A" w:rsidRDefault="0080222D" w:rsidP="0080222D">
      <w:pPr>
        <w:pStyle w:val="paragraph"/>
      </w:pPr>
      <w:r w:rsidRPr="00BD574A">
        <w:tab/>
        <w:t>(a)</w:t>
      </w:r>
      <w:r w:rsidRPr="00BD574A">
        <w:tab/>
        <w:t>review the original decision and decide to:</w:t>
      </w:r>
    </w:p>
    <w:p w:rsidR="0080222D" w:rsidRPr="00BD574A" w:rsidRDefault="0080222D" w:rsidP="0080222D">
      <w:pPr>
        <w:pStyle w:val="paragraphsub"/>
      </w:pPr>
      <w:r w:rsidRPr="00BD574A">
        <w:tab/>
        <w:t>(i)</w:t>
      </w:r>
      <w:r w:rsidRPr="00BD574A">
        <w:tab/>
        <w:t>affirm it; or</w:t>
      </w:r>
    </w:p>
    <w:p w:rsidR="0080222D" w:rsidRPr="00BD574A" w:rsidRDefault="0080222D" w:rsidP="0080222D">
      <w:pPr>
        <w:pStyle w:val="paragraphsub"/>
      </w:pPr>
      <w:r w:rsidRPr="00BD574A">
        <w:tab/>
        <w:t>(ii)</w:t>
      </w:r>
      <w:r w:rsidRPr="00BD574A">
        <w:tab/>
        <w:t>vary it; or</w:t>
      </w:r>
    </w:p>
    <w:p w:rsidR="0080222D" w:rsidRPr="00BD574A" w:rsidRDefault="0080222D" w:rsidP="0080222D">
      <w:pPr>
        <w:pStyle w:val="paragraphsub"/>
      </w:pPr>
      <w:r w:rsidRPr="00BD574A">
        <w:tab/>
        <w:t>(iii)</w:t>
      </w:r>
      <w:r w:rsidRPr="00BD574A">
        <w:tab/>
        <w:t>set it aside and substitute a new decision; or</w:t>
      </w:r>
    </w:p>
    <w:p w:rsidR="0080222D" w:rsidRPr="00BD574A" w:rsidRDefault="0080222D" w:rsidP="0080222D">
      <w:pPr>
        <w:pStyle w:val="paragraph"/>
      </w:pPr>
      <w:r w:rsidRPr="00BD574A">
        <w:tab/>
        <w:t>(b)</w:t>
      </w:r>
      <w:r w:rsidRPr="00BD574A">
        <w:tab/>
        <w:t>arrange for an authorised review officer (see section</w:t>
      </w:r>
      <w:r w:rsidR="00BD574A">
        <w:t> </w:t>
      </w:r>
      <w:r w:rsidRPr="00BD574A">
        <w:t>50) to do so.</w:t>
      </w:r>
    </w:p>
    <w:p w:rsidR="0080222D" w:rsidRPr="00BD574A" w:rsidRDefault="0080222D" w:rsidP="0080222D">
      <w:pPr>
        <w:pStyle w:val="subsection"/>
      </w:pPr>
      <w:r w:rsidRPr="00BD574A">
        <w:tab/>
        <w:t>(3)</w:t>
      </w:r>
      <w:r w:rsidRPr="00BD574A">
        <w:tab/>
        <w:t xml:space="preserve">In making arrangements for a review under </w:t>
      </w:r>
      <w:r w:rsidR="00BD574A">
        <w:t>subsection (</w:t>
      </w:r>
      <w:r w:rsidRPr="00BD574A">
        <w:t>2), the Commissioner must have regard to the need for the review to be an independent one.</w:t>
      </w:r>
    </w:p>
    <w:p w:rsidR="0080222D" w:rsidRPr="00BD574A" w:rsidRDefault="0080222D" w:rsidP="0080222D">
      <w:pPr>
        <w:pStyle w:val="ActHead5"/>
      </w:pPr>
      <w:bookmarkStart w:id="64" w:name="_Toc487718152"/>
      <w:r w:rsidRPr="00BD574A">
        <w:rPr>
          <w:rStyle w:val="CharSectno"/>
        </w:rPr>
        <w:t>50</w:t>
      </w:r>
      <w:r w:rsidRPr="00BD574A">
        <w:t xml:space="preserve">  Authorised review officers</w:t>
      </w:r>
      <w:bookmarkEnd w:id="64"/>
    </w:p>
    <w:p w:rsidR="0080222D" w:rsidRPr="00BD574A" w:rsidRDefault="0080222D" w:rsidP="0080222D">
      <w:pPr>
        <w:pStyle w:val="subsection"/>
      </w:pPr>
      <w:r w:rsidRPr="00BD574A">
        <w:tab/>
      </w:r>
      <w:r w:rsidRPr="00BD574A">
        <w:tab/>
        <w:t>The Commissioner must authorise taxation officers to be authorised review officers for the purposes of this Division.</w:t>
      </w:r>
    </w:p>
    <w:p w:rsidR="0080222D" w:rsidRPr="00BD574A" w:rsidRDefault="0080222D" w:rsidP="0080222D">
      <w:pPr>
        <w:pStyle w:val="ActHead5"/>
      </w:pPr>
      <w:bookmarkStart w:id="65" w:name="_Toc487718153"/>
      <w:r w:rsidRPr="00BD574A">
        <w:rPr>
          <w:rStyle w:val="CharSectno"/>
        </w:rPr>
        <w:t>51</w:t>
      </w:r>
      <w:r w:rsidRPr="00BD574A">
        <w:t xml:space="preserve">  Withdrawal of review applications</w:t>
      </w:r>
      <w:bookmarkEnd w:id="65"/>
    </w:p>
    <w:p w:rsidR="0080222D" w:rsidRPr="00BD574A" w:rsidRDefault="0080222D" w:rsidP="0080222D">
      <w:pPr>
        <w:pStyle w:val="subsection"/>
      </w:pPr>
      <w:r w:rsidRPr="00BD574A">
        <w:tab/>
        <w:t>(1)</w:t>
      </w:r>
      <w:r w:rsidRPr="00BD574A">
        <w:tab/>
        <w:t>An applicant for review under section</w:t>
      </w:r>
      <w:r w:rsidR="00BD574A">
        <w:t> </w:t>
      </w:r>
      <w:r w:rsidRPr="00BD574A">
        <w:t>49</w:t>
      </w:r>
      <w:r w:rsidR="008B621D" w:rsidRPr="00BD574A">
        <w:t> </w:t>
      </w:r>
      <w:r w:rsidRPr="00BD574A">
        <w:t>may, in writing or in any other manner approved by the Commissioner, withdraw the application at any time before the decision reviewer does any of the things in subsection</w:t>
      </w:r>
      <w:r w:rsidR="00BD574A">
        <w:t> </w:t>
      </w:r>
      <w:r w:rsidRPr="00BD574A">
        <w:t>49(2).</w:t>
      </w:r>
    </w:p>
    <w:p w:rsidR="0080222D" w:rsidRPr="00BD574A" w:rsidRDefault="0080222D" w:rsidP="0080222D">
      <w:pPr>
        <w:pStyle w:val="subsection"/>
      </w:pPr>
      <w:r w:rsidRPr="00BD574A">
        <w:tab/>
        <w:t>(2)</w:t>
      </w:r>
      <w:r w:rsidRPr="00BD574A">
        <w:tab/>
        <w:t>If an application is so withdrawn, it is taken never to have been made.</w:t>
      </w:r>
    </w:p>
    <w:p w:rsidR="0080222D" w:rsidRPr="00BD574A" w:rsidRDefault="0080222D" w:rsidP="00215433">
      <w:pPr>
        <w:pStyle w:val="ActHead3"/>
        <w:pageBreakBefore/>
      </w:pPr>
      <w:bookmarkStart w:id="66" w:name="_Toc487718154"/>
      <w:r w:rsidRPr="00BD574A">
        <w:rPr>
          <w:rStyle w:val="CharDivNo"/>
        </w:rPr>
        <w:lastRenderedPageBreak/>
        <w:t>Division</w:t>
      </w:r>
      <w:r w:rsidR="00BD574A" w:rsidRPr="00BD574A">
        <w:rPr>
          <w:rStyle w:val="CharDivNo"/>
        </w:rPr>
        <w:t> </w:t>
      </w:r>
      <w:r w:rsidRPr="00BD574A">
        <w:rPr>
          <w:rStyle w:val="CharDivNo"/>
        </w:rPr>
        <w:t>3</w:t>
      </w:r>
      <w:r w:rsidRPr="00BD574A">
        <w:t>—</w:t>
      </w:r>
      <w:r w:rsidRPr="00BD574A">
        <w:rPr>
          <w:rStyle w:val="CharDivText"/>
        </w:rPr>
        <w:t>Other administrative matters</w:t>
      </w:r>
      <w:bookmarkEnd w:id="66"/>
    </w:p>
    <w:p w:rsidR="0080222D" w:rsidRPr="00BD574A" w:rsidRDefault="0080222D" w:rsidP="0080222D">
      <w:pPr>
        <w:pStyle w:val="ActHead5"/>
      </w:pPr>
      <w:bookmarkStart w:id="67" w:name="_Toc487718155"/>
      <w:r w:rsidRPr="00BD574A">
        <w:rPr>
          <w:rStyle w:val="CharSectno"/>
        </w:rPr>
        <w:t>52</w:t>
      </w:r>
      <w:r w:rsidRPr="00BD574A">
        <w:t xml:space="preserve">  Tax file numbers</w:t>
      </w:r>
      <w:bookmarkEnd w:id="67"/>
    </w:p>
    <w:p w:rsidR="0080222D" w:rsidRPr="00BD574A" w:rsidRDefault="0080222D" w:rsidP="0080222D">
      <w:pPr>
        <w:pStyle w:val="subsection"/>
      </w:pPr>
      <w:r w:rsidRPr="00BD574A">
        <w:tab/>
      </w:r>
      <w:r w:rsidRPr="00BD574A">
        <w:tab/>
        <w:t>The Commissioner may use for the purposes of this Act, or the regulations, a tax file number that has been provided for any other purpose under a law relating to taxation or superannuation.</w:t>
      </w:r>
    </w:p>
    <w:p w:rsidR="0080222D" w:rsidRPr="00BD574A" w:rsidRDefault="0080222D" w:rsidP="0080222D">
      <w:pPr>
        <w:pStyle w:val="ActHead5"/>
      </w:pPr>
      <w:bookmarkStart w:id="68" w:name="_Toc487718156"/>
      <w:r w:rsidRPr="00BD574A">
        <w:rPr>
          <w:rStyle w:val="CharSectno"/>
        </w:rPr>
        <w:t>54</w:t>
      </w:r>
      <w:r w:rsidRPr="00BD574A">
        <w:t xml:space="preserve">  Reports</w:t>
      </w:r>
      <w:bookmarkEnd w:id="68"/>
    </w:p>
    <w:p w:rsidR="0080222D" w:rsidRPr="00BD574A" w:rsidRDefault="0080222D" w:rsidP="0080222D">
      <w:pPr>
        <w:pStyle w:val="subsection"/>
      </w:pPr>
      <w:r w:rsidRPr="00BD574A">
        <w:tab/>
        <w:t>(1)</w:t>
      </w:r>
      <w:r w:rsidRPr="00BD574A">
        <w:tab/>
        <w:t>After the end of each quarter the Commissioner must give the Minister a report, for presentation to the Parliament, on the working of this Act during the quarter. The report must include, for the quarter to which the report relates, the prescribed details about beneficiaries of, and amounts of, Government co</w:t>
      </w:r>
      <w:r w:rsidR="00BD574A">
        <w:noBreakHyphen/>
      </w:r>
      <w:r w:rsidRPr="00BD574A">
        <w:t>contributions.</w:t>
      </w:r>
    </w:p>
    <w:p w:rsidR="0080222D" w:rsidRPr="00BD574A" w:rsidRDefault="0080222D" w:rsidP="0080222D">
      <w:pPr>
        <w:pStyle w:val="subsection"/>
      </w:pPr>
      <w:r w:rsidRPr="00BD574A">
        <w:tab/>
        <w:t>(2)</w:t>
      </w:r>
      <w:r w:rsidRPr="00BD574A">
        <w:tab/>
        <w:t>After the end of each financial year the Commissioner must give the Minister a report, for presentation to the Parliament, that:</w:t>
      </w:r>
    </w:p>
    <w:p w:rsidR="0080222D" w:rsidRPr="00BD574A" w:rsidRDefault="0080222D" w:rsidP="0080222D">
      <w:pPr>
        <w:pStyle w:val="paragraph"/>
      </w:pPr>
      <w:r w:rsidRPr="00BD574A">
        <w:tab/>
        <w:t>(a)</w:t>
      </w:r>
      <w:r w:rsidRPr="00BD574A">
        <w:tab/>
        <w:t>is on the working of this Act during the financial year; and</w:t>
      </w:r>
    </w:p>
    <w:p w:rsidR="0080222D" w:rsidRPr="00BD574A" w:rsidRDefault="0080222D" w:rsidP="0080222D">
      <w:pPr>
        <w:pStyle w:val="paragraph"/>
      </w:pPr>
      <w:r w:rsidRPr="00BD574A">
        <w:tab/>
        <w:t>(b)</w:t>
      </w:r>
      <w:r w:rsidRPr="00BD574A">
        <w:tab/>
        <w:t>includes, for the financial year to which the report relates, the prescribed details about beneficiaries of, and amounts of, Government co</w:t>
      </w:r>
      <w:r w:rsidR="00BD574A">
        <w:noBreakHyphen/>
      </w:r>
      <w:r w:rsidRPr="00BD574A">
        <w:t>contributions; and</w:t>
      </w:r>
    </w:p>
    <w:p w:rsidR="0080222D" w:rsidRPr="00BD574A" w:rsidRDefault="0080222D" w:rsidP="0080222D">
      <w:pPr>
        <w:pStyle w:val="paragraph"/>
      </w:pPr>
      <w:r w:rsidRPr="00BD574A">
        <w:tab/>
        <w:t>(c)</w:t>
      </w:r>
      <w:r w:rsidRPr="00BD574A">
        <w:tab/>
        <w:t>specifies, for each prescribed range of total income, the number of beneficiaries of a Government co</w:t>
      </w:r>
      <w:r w:rsidR="00BD574A">
        <w:noBreakHyphen/>
      </w:r>
      <w:r w:rsidRPr="00BD574A">
        <w:t>contribution for the financial year whose total income that was used to determine the amount of their Government co</w:t>
      </w:r>
      <w:r w:rsidR="00BD574A">
        <w:noBreakHyphen/>
      </w:r>
      <w:r w:rsidRPr="00BD574A">
        <w:t>contribution fell within that range; and</w:t>
      </w:r>
    </w:p>
    <w:p w:rsidR="0080222D" w:rsidRPr="00BD574A" w:rsidRDefault="0080222D" w:rsidP="0080222D">
      <w:pPr>
        <w:pStyle w:val="paragraph"/>
      </w:pPr>
      <w:r w:rsidRPr="00BD574A">
        <w:tab/>
        <w:t>(d)</w:t>
      </w:r>
      <w:r w:rsidRPr="00BD574A">
        <w:tab/>
        <w:t>specifies, for each prescribed range of taxable income, the number of people who the Commissioner is satisfied:</w:t>
      </w:r>
    </w:p>
    <w:p w:rsidR="0080222D" w:rsidRPr="00BD574A" w:rsidRDefault="0080222D" w:rsidP="0080222D">
      <w:pPr>
        <w:pStyle w:val="paragraphsub"/>
      </w:pPr>
      <w:r w:rsidRPr="00BD574A">
        <w:tab/>
        <w:t>(i)</w:t>
      </w:r>
      <w:r w:rsidRPr="00BD574A">
        <w:tab/>
        <w:t>were, at the end of the financial year, the spouse of a beneficiary of a Government co</w:t>
      </w:r>
      <w:r w:rsidR="00BD574A">
        <w:noBreakHyphen/>
      </w:r>
      <w:r w:rsidRPr="00BD574A">
        <w:t>contribution for the financial year; and</w:t>
      </w:r>
    </w:p>
    <w:p w:rsidR="0080222D" w:rsidRPr="00BD574A" w:rsidRDefault="0080222D" w:rsidP="0080222D">
      <w:pPr>
        <w:pStyle w:val="paragraphsub"/>
      </w:pPr>
      <w:r w:rsidRPr="00BD574A">
        <w:tab/>
        <w:t>(ii)</w:t>
      </w:r>
      <w:r w:rsidRPr="00BD574A">
        <w:tab/>
        <w:t>had a taxable income for that financial year that fell within that range; and</w:t>
      </w:r>
    </w:p>
    <w:p w:rsidR="0080222D" w:rsidRPr="00BD574A" w:rsidRDefault="0080222D" w:rsidP="0080222D">
      <w:pPr>
        <w:pStyle w:val="paragraph"/>
      </w:pPr>
      <w:r w:rsidRPr="00BD574A">
        <w:lastRenderedPageBreak/>
        <w:tab/>
        <w:t>(e)</w:t>
      </w:r>
      <w:r w:rsidRPr="00BD574A">
        <w:tab/>
        <w:t>specifies the number of beneficiaries of Government co</w:t>
      </w:r>
      <w:r w:rsidR="00BD574A">
        <w:noBreakHyphen/>
      </w:r>
      <w:r w:rsidRPr="00BD574A">
        <w:t>contributions for the financial year who the Commissioner was not satisfied had a spouse at the end of the financial year; and</w:t>
      </w:r>
    </w:p>
    <w:p w:rsidR="0080222D" w:rsidRPr="00BD574A" w:rsidRDefault="0080222D" w:rsidP="00DC0886">
      <w:pPr>
        <w:pStyle w:val="paragraph"/>
        <w:keepNext/>
        <w:keepLines/>
      </w:pPr>
      <w:r w:rsidRPr="00BD574A">
        <w:tab/>
        <w:t>(f)</w:t>
      </w:r>
      <w:r w:rsidRPr="00BD574A">
        <w:tab/>
        <w:t>specifies the number of people:</w:t>
      </w:r>
    </w:p>
    <w:p w:rsidR="0080222D" w:rsidRPr="00BD574A" w:rsidRDefault="0080222D" w:rsidP="0080222D">
      <w:pPr>
        <w:pStyle w:val="paragraphsub"/>
      </w:pPr>
      <w:r w:rsidRPr="00BD574A">
        <w:tab/>
        <w:t>(i)</w:t>
      </w:r>
      <w:r w:rsidRPr="00BD574A">
        <w:tab/>
        <w:t>who the Commissioner is satisfied were, at the end of the financial year, the spouse of a beneficiary of a Government co</w:t>
      </w:r>
      <w:r w:rsidR="00BD574A">
        <w:noBreakHyphen/>
      </w:r>
      <w:r w:rsidRPr="00BD574A">
        <w:t>contribution for the financial year; and</w:t>
      </w:r>
    </w:p>
    <w:p w:rsidR="0080222D" w:rsidRPr="00BD574A" w:rsidRDefault="0080222D" w:rsidP="0080222D">
      <w:pPr>
        <w:pStyle w:val="paragraphsub"/>
      </w:pPr>
      <w:r w:rsidRPr="00BD574A">
        <w:tab/>
        <w:t>(ii)</w:t>
      </w:r>
      <w:r w:rsidRPr="00BD574A">
        <w:tab/>
        <w:t>whose taxable income for the financial year was not able to be determined by the Commissioner.</w:t>
      </w:r>
    </w:p>
    <w:p w:rsidR="0080222D" w:rsidRPr="00BD574A" w:rsidRDefault="0080222D" w:rsidP="00F4501C">
      <w:pPr>
        <w:pStyle w:val="subsection"/>
        <w:keepNext/>
      </w:pPr>
      <w:r w:rsidRPr="00BD574A">
        <w:tab/>
        <w:t>(3)</w:t>
      </w:r>
      <w:r w:rsidRPr="00BD574A">
        <w:tab/>
        <w:t>In this section:</w:t>
      </w:r>
    </w:p>
    <w:p w:rsidR="007330E0" w:rsidRPr="00BD574A" w:rsidRDefault="007330E0" w:rsidP="00F4501C">
      <w:pPr>
        <w:pStyle w:val="Definition"/>
        <w:keepNext/>
      </w:pPr>
      <w:r w:rsidRPr="00BD574A">
        <w:rPr>
          <w:b/>
          <w:i/>
        </w:rPr>
        <w:t>spouse</w:t>
      </w:r>
      <w:r w:rsidRPr="00BD574A">
        <w:t xml:space="preserve"> of a beneficiary of a Government co</w:t>
      </w:r>
      <w:r w:rsidR="00BD574A">
        <w:noBreakHyphen/>
      </w:r>
      <w:r w:rsidRPr="00BD574A">
        <w:t>contribution includes:</w:t>
      </w:r>
    </w:p>
    <w:p w:rsidR="007330E0" w:rsidRPr="00BD574A" w:rsidRDefault="007330E0" w:rsidP="007330E0">
      <w:pPr>
        <w:pStyle w:val="paragraph"/>
      </w:pPr>
      <w:r w:rsidRPr="00BD574A">
        <w:tab/>
        <w:t>(a)</w:t>
      </w:r>
      <w:r w:rsidRPr="00BD574A">
        <w:tab/>
        <w:t xml:space="preserve">a person (whether of the same sex or a different sex) with whom the beneficiary is in a relationship that is registered under a law of a State or Territory prescribed for the purposes of </w:t>
      </w:r>
      <w:r w:rsidR="00DE3E0C" w:rsidRPr="00BD574A">
        <w:t>section</w:t>
      </w:r>
      <w:r w:rsidR="00BD574A">
        <w:t> </w:t>
      </w:r>
      <w:r w:rsidR="00DE3E0C" w:rsidRPr="00BD574A">
        <w:t>2E</w:t>
      </w:r>
      <w:r w:rsidRPr="00BD574A">
        <w:t xml:space="preserve"> of the </w:t>
      </w:r>
      <w:r w:rsidRPr="00BD574A">
        <w:rPr>
          <w:i/>
        </w:rPr>
        <w:t>Acts Interpretation Act 1901</w:t>
      </w:r>
      <w:r w:rsidRPr="00BD574A">
        <w:t xml:space="preserve"> as a kind of relationship prescribed for the purposes of that section; and</w:t>
      </w:r>
    </w:p>
    <w:p w:rsidR="007330E0" w:rsidRPr="00BD574A" w:rsidRDefault="007330E0" w:rsidP="007330E0">
      <w:pPr>
        <w:pStyle w:val="paragraph"/>
      </w:pPr>
      <w:r w:rsidRPr="00BD574A">
        <w:tab/>
        <w:t>(b)</w:t>
      </w:r>
      <w:r w:rsidRPr="00BD574A">
        <w:tab/>
        <w:t>a person who, although not legally married to the beneficiary, lives with the beneficiary on a genuine domestic basis in a relationship as a couple.</w:t>
      </w:r>
    </w:p>
    <w:p w:rsidR="0080222D" w:rsidRPr="00BD574A" w:rsidRDefault="0080222D" w:rsidP="0080222D">
      <w:pPr>
        <w:pStyle w:val="Definition"/>
      </w:pPr>
      <w:r w:rsidRPr="00BD574A">
        <w:rPr>
          <w:b/>
          <w:i/>
        </w:rPr>
        <w:t>taxable income</w:t>
      </w:r>
      <w:r w:rsidRPr="00BD574A">
        <w:t xml:space="preserve"> has the meaning given by section</w:t>
      </w:r>
      <w:r w:rsidR="00BD574A">
        <w:t> </w:t>
      </w:r>
      <w:r w:rsidRPr="00BD574A">
        <w:t>4</w:t>
      </w:r>
      <w:r w:rsidR="00BD574A">
        <w:noBreakHyphen/>
      </w:r>
      <w:r w:rsidRPr="00BD574A">
        <w:t xml:space="preserve">15 of the </w:t>
      </w:r>
      <w:r w:rsidRPr="00BD574A">
        <w:rPr>
          <w:i/>
        </w:rPr>
        <w:t>Income Tax Assessment Act 1997</w:t>
      </w:r>
      <w:r w:rsidRPr="00BD574A">
        <w:t>.</w:t>
      </w:r>
    </w:p>
    <w:p w:rsidR="0080222D" w:rsidRPr="00BD574A" w:rsidRDefault="0080222D" w:rsidP="00215433">
      <w:pPr>
        <w:pStyle w:val="ActHead2"/>
        <w:pageBreakBefore/>
      </w:pPr>
      <w:bookmarkStart w:id="69" w:name="_Toc487718157"/>
      <w:r w:rsidRPr="00BD574A">
        <w:rPr>
          <w:rStyle w:val="CharPartNo"/>
        </w:rPr>
        <w:lastRenderedPageBreak/>
        <w:t>Part</w:t>
      </w:r>
      <w:r w:rsidR="00BD574A" w:rsidRPr="00BD574A">
        <w:rPr>
          <w:rStyle w:val="CharPartNo"/>
        </w:rPr>
        <w:t> </w:t>
      </w:r>
      <w:r w:rsidRPr="00BD574A">
        <w:rPr>
          <w:rStyle w:val="CharPartNo"/>
        </w:rPr>
        <w:t>8</w:t>
      </w:r>
      <w:r w:rsidRPr="00BD574A">
        <w:t>—</w:t>
      </w:r>
      <w:r w:rsidRPr="00BD574A">
        <w:rPr>
          <w:rStyle w:val="CharPartText"/>
        </w:rPr>
        <w:t>Miscellaneous</w:t>
      </w:r>
      <w:bookmarkEnd w:id="69"/>
    </w:p>
    <w:p w:rsidR="0080222D" w:rsidRPr="00BD574A" w:rsidRDefault="00F136B1" w:rsidP="0080222D">
      <w:pPr>
        <w:pStyle w:val="Header"/>
      </w:pPr>
      <w:r w:rsidRPr="00BD574A">
        <w:rPr>
          <w:rStyle w:val="CharDivNo"/>
        </w:rPr>
        <w:t xml:space="preserve"> </w:t>
      </w:r>
      <w:r w:rsidRPr="00BD574A">
        <w:rPr>
          <w:rStyle w:val="CharDivText"/>
        </w:rPr>
        <w:t xml:space="preserve"> </w:t>
      </w:r>
    </w:p>
    <w:p w:rsidR="0080222D" w:rsidRPr="00BD574A" w:rsidRDefault="0080222D" w:rsidP="0080222D">
      <w:pPr>
        <w:pStyle w:val="ActHead5"/>
      </w:pPr>
      <w:bookmarkStart w:id="70" w:name="_Toc487718158"/>
      <w:r w:rsidRPr="00BD574A">
        <w:rPr>
          <w:rStyle w:val="CharSectno"/>
        </w:rPr>
        <w:t>55</w:t>
      </w:r>
      <w:r w:rsidRPr="00BD574A">
        <w:t xml:space="preserve">  Regulations</w:t>
      </w:r>
      <w:bookmarkEnd w:id="70"/>
    </w:p>
    <w:p w:rsidR="0080222D" w:rsidRPr="00BD574A" w:rsidRDefault="0080222D" w:rsidP="0080222D">
      <w:pPr>
        <w:pStyle w:val="subsection"/>
      </w:pPr>
      <w:r w:rsidRPr="00BD574A">
        <w:tab/>
      </w:r>
      <w:r w:rsidRPr="00BD574A">
        <w:tab/>
        <w:t>The Governor</w:t>
      </w:r>
      <w:r w:rsidR="00BD574A">
        <w:noBreakHyphen/>
      </w:r>
      <w:r w:rsidRPr="00BD574A">
        <w:t>General may make regulations prescribing matters:</w:t>
      </w:r>
    </w:p>
    <w:p w:rsidR="0080222D" w:rsidRPr="00BD574A" w:rsidRDefault="0080222D" w:rsidP="0080222D">
      <w:pPr>
        <w:pStyle w:val="paragraph"/>
      </w:pPr>
      <w:r w:rsidRPr="00BD574A">
        <w:tab/>
        <w:t>(a)</w:t>
      </w:r>
      <w:r w:rsidRPr="00BD574A">
        <w:tab/>
        <w:t>required or permitted by this Act to be prescribed; or</w:t>
      </w:r>
    </w:p>
    <w:p w:rsidR="0080222D" w:rsidRPr="00BD574A" w:rsidRDefault="0080222D" w:rsidP="0080222D">
      <w:pPr>
        <w:pStyle w:val="paragraph"/>
      </w:pPr>
      <w:r w:rsidRPr="00BD574A">
        <w:tab/>
        <w:t>(b)</w:t>
      </w:r>
      <w:r w:rsidRPr="00BD574A">
        <w:tab/>
        <w:t>necessary or convenient to be prescribed for carrying out or giving effect to this Act;</w:t>
      </w:r>
    </w:p>
    <w:p w:rsidR="0080222D" w:rsidRPr="00BD574A" w:rsidRDefault="0080222D" w:rsidP="0080222D">
      <w:pPr>
        <w:pStyle w:val="subsection2"/>
      </w:pPr>
      <w:r w:rsidRPr="00BD574A">
        <w:t>and, in particular, prescribing penalties, not exceeding a fine of 5 penalty units, for offences against the regulations.</w:t>
      </w:r>
    </w:p>
    <w:p w:rsidR="00AD0EEF" w:rsidRPr="00BD574A" w:rsidRDefault="00AD0EEF" w:rsidP="00AD0EEF">
      <w:pPr>
        <w:pStyle w:val="notetext"/>
      </w:pPr>
      <w:r w:rsidRPr="00BD574A">
        <w:t>Note:</w:t>
      </w:r>
      <w:r w:rsidRPr="00BD574A">
        <w:tab/>
        <w:t>The regulations may relate to the Government co</w:t>
      </w:r>
      <w:r w:rsidR="00BD574A">
        <w:noBreakHyphen/>
      </w:r>
      <w:r w:rsidRPr="00BD574A">
        <w:t>contribution and the low income superannuation tax offset (see section</w:t>
      </w:r>
      <w:r w:rsidR="00BD574A">
        <w:t> </w:t>
      </w:r>
      <w:r w:rsidRPr="00BD574A">
        <w:t>12B).</w:t>
      </w:r>
    </w:p>
    <w:p w:rsidR="0080222D" w:rsidRPr="00BD574A" w:rsidRDefault="0080222D" w:rsidP="00215433">
      <w:pPr>
        <w:pStyle w:val="ActHead2"/>
        <w:pageBreakBefore/>
      </w:pPr>
      <w:bookmarkStart w:id="71" w:name="_Toc487718159"/>
      <w:r w:rsidRPr="00BD574A">
        <w:rPr>
          <w:rStyle w:val="CharPartNo"/>
        </w:rPr>
        <w:lastRenderedPageBreak/>
        <w:t>Part</w:t>
      </w:r>
      <w:r w:rsidR="00BD574A" w:rsidRPr="00BD574A">
        <w:rPr>
          <w:rStyle w:val="CharPartNo"/>
        </w:rPr>
        <w:t> </w:t>
      </w:r>
      <w:r w:rsidRPr="00BD574A">
        <w:rPr>
          <w:rStyle w:val="CharPartNo"/>
        </w:rPr>
        <w:t>9</w:t>
      </w:r>
      <w:r w:rsidRPr="00BD574A">
        <w:t>—</w:t>
      </w:r>
      <w:r w:rsidRPr="00BD574A">
        <w:rPr>
          <w:rStyle w:val="CharPartText"/>
        </w:rPr>
        <w:t>Dictionary</w:t>
      </w:r>
      <w:bookmarkEnd w:id="71"/>
    </w:p>
    <w:p w:rsidR="0080222D" w:rsidRPr="00BD574A" w:rsidRDefault="00F136B1" w:rsidP="0080222D">
      <w:pPr>
        <w:pStyle w:val="Header"/>
      </w:pPr>
      <w:r w:rsidRPr="00BD574A">
        <w:rPr>
          <w:rStyle w:val="CharDivNo"/>
        </w:rPr>
        <w:t xml:space="preserve"> </w:t>
      </w:r>
      <w:r w:rsidRPr="00BD574A">
        <w:rPr>
          <w:rStyle w:val="CharDivText"/>
        </w:rPr>
        <w:t xml:space="preserve"> </w:t>
      </w:r>
    </w:p>
    <w:p w:rsidR="0080222D" w:rsidRPr="00BD574A" w:rsidRDefault="0080222D" w:rsidP="0080222D">
      <w:pPr>
        <w:pStyle w:val="ActHead5"/>
      </w:pPr>
      <w:bookmarkStart w:id="72" w:name="_Toc487718160"/>
      <w:r w:rsidRPr="00BD574A">
        <w:rPr>
          <w:rStyle w:val="CharSectno"/>
        </w:rPr>
        <w:t>56</w:t>
      </w:r>
      <w:r w:rsidRPr="00BD574A">
        <w:t xml:space="preserve">  Dictionary</w:t>
      </w:r>
      <w:bookmarkEnd w:id="72"/>
    </w:p>
    <w:p w:rsidR="0080222D" w:rsidRPr="00BD574A" w:rsidRDefault="0080222D" w:rsidP="0080222D">
      <w:pPr>
        <w:pStyle w:val="subsection"/>
      </w:pPr>
      <w:r w:rsidRPr="00BD574A">
        <w:tab/>
      </w:r>
      <w:r w:rsidRPr="00BD574A">
        <w:tab/>
        <w:t>In this Act, unless the contrary intention appears:</w:t>
      </w:r>
    </w:p>
    <w:p w:rsidR="0080222D" w:rsidRPr="00BD574A" w:rsidRDefault="0080222D" w:rsidP="0080222D">
      <w:pPr>
        <w:pStyle w:val="Definition"/>
      </w:pPr>
      <w:r w:rsidRPr="00BD574A">
        <w:rPr>
          <w:b/>
          <w:i/>
        </w:rPr>
        <w:t>approved deposit fund</w:t>
      </w:r>
      <w:r w:rsidRPr="00BD574A">
        <w:t xml:space="preserve"> has the same meaning as in section</w:t>
      </w:r>
      <w:r w:rsidR="00BD574A">
        <w:t> </w:t>
      </w:r>
      <w:r w:rsidRPr="00BD574A">
        <w:t xml:space="preserve">10 of the </w:t>
      </w:r>
      <w:r w:rsidRPr="00BD574A">
        <w:rPr>
          <w:i/>
        </w:rPr>
        <w:t>Superannuation Industry (Supervision) Act 1993</w:t>
      </w:r>
      <w:r w:rsidRPr="00BD574A">
        <w:t>.</w:t>
      </w:r>
    </w:p>
    <w:p w:rsidR="00BA2ABA" w:rsidRPr="00BD574A" w:rsidRDefault="00BA2ABA" w:rsidP="00BA2ABA">
      <w:pPr>
        <w:pStyle w:val="Definition"/>
      </w:pPr>
      <w:r w:rsidRPr="00BD574A">
        <w:rPr>
          <w:b/>
          <w:i/>
        </w:rPr>
        <w:t>approved form</w:t>
      </w:r>
      <w:r w:rsidRPr="00BD574A">
        <w:t xml:space="preserve"> has the meaning given by section</w:t>
      </w:r>
      <w:r w:rsidR="00BD574A">
        <w:t> </w:t>
      </w:r>
      <w:r w:rsidRPr="00BD574A">
        <w:t>388</w:t>
      </w:r>
      <w:r w:rsidR="00BD574A">
        <w:noBreakHyphen/>
      </w:r>
      <w:r w:rsidRPr="00BD574A">
        <w:t>50 in Schedule</w:t>
      </w:r>
      <w:r w:rsidR="00BD574A">
        <w:t> </w:t>
      </w:r>
      <w:r w:rsidRPr="00BD574A">
        <w:t xml:space="preserve">1 to the </w:t>
      </w:r>
      <w:r w:rsidRPr="00BD574A">
        <w:rPr>
          <w:i/>
        </w:rPr>
        <w:t>Taxation Administration Act 1953</w:t>
      </w:r>
      <w:r w:rsidRPr="00BD574A">
        <w:t>.</w:t>
      </w:r>
    </w:p>
    <w:p w:rsidR="0080222D" w:rsidRPr="00BD574A" w:rsidRDefault="0080222D" w:rsidP="0080222D">
      <w:pPr>
        <w:pStyle w:val="Definition"/>
      </w:pPr>
      <w:r w:rsidRPr="00BD574A">
        <w:rPr>
          <w:b/>
          <w:i/>
        </w:rPr>
        <w:t>assessable income</w:t>
      </w:r>
      <w:r w:rsidRPr="00BD574A">
        <w:t xml:space="preserve"> has the same meaning as in the </w:t>
      </w:r>
      <w:r w:rsidRPr="00BD574A">
        <w:rPr>
          <w:i/>
        </w:rPr>
        <w:t>Income Tax Assessment Act 1997</w:t>
      </w:r>
      <w:r w:rsidRPr="00BD574A">
        <w:t>.</w:t>
      </w:r>
    </w:p>
    <w:p w:rsidR="0080222D" w:rsidRPr="00BD574A" w:rsidRDefault="0080222D" w:rsidP="0080222D">
      <w:pPr>
        <w:pStyle w:val="Definition"/>
      </w:pPr>
      <w:r w:rsidRPr="00BD574A">
        <w:rPr>
          <w:b/>
          <w:i/>
        </w:rPr>
        <w:t>base interest rate</w:t>
      </w:r>
      <w:r w:rsidRPr="00BD574A">
        <w:t xml:space="preserve"> for a day has the same meaning as in section</w:t>
      </w:r>
      <w:r w:rsidR="00BD574A">
        <w:t> </w:t>
      </w:r>
      <w:r w:rsidRPr="00BD574A">
        <w:t xml:space="preserve">8AAD of the </w:t>
      </w:r>
      <w:r w:rsidRPr="00BD574A">
        <w:rPr>
          <w:i/>
        </w:rPr>
        <w:t>Taxation Administration Act 1953</w:t>
      </w:r>
      <w:r w:rsidRPr="00BD574A">
        <w:t>.</w:t>
      </w:r>
    </w:p>
    <w:p w:rsidR="0080222D" w:rsidRPr="00BD574A" w:rsidRDefault="0080222D" w:rsidP="0080222D">
      <w:pPr>
        <w:pStyle w:val="Definition"/>
      </w:pPr>
      <w:r w:rsidRPr="00BD574A">
        <w:rPr>
          <w:b/>
          <w:i/>
        </w:rPr>
        <w:t>Commissioner</w:t>
      </w:r>
      <w:r w:rsidRPr="00BD574A">
        <w:t xml:space="preserve"> means the Commissioner of Taxation.</w:t>
      </w:r>
    </w:p>
    <w:p w:rsidR="00784709" w:rsidRPr="00BD574A" w:rsidRDefault="00784709" w:rsidP="00784709">
      <w:pPr>
        <w:pStyle w:val="Definition"/>
      </w:pPr>
      <w:r w:rsidRPr="00BD574A">
        <w:rPr>
          <w:b/>
          <w:i/>
        </w:rPr>
        <w:t>complying superannuation fund</w:t>
      </w:r>
      <w:r w:rsidRPr="00BD574A">
        <w:t xml:space="preserve"> has the same meaning as in the </w:t>
      </w:r>
      <w:r w:rsidRPr="00BD574A">
        <w:rPr>
          <w:i/>
        </w:rPr>
        <w:t>Income Tax Assessment Act 1997</w:t>
      </w:r>
      <w:r w:rsidRPr="00BD574A">
        <w:t>.</w:t>
      </w:r>
    </w:p>
    <w:p w:rsidR="00AD0EEF" w:rsidRPr="00BD574A" w:rsidRDefault="00AD0EEF" w:rsidP="00AD0EEF">
      <w:pPr>
        <w:pStyle w:val="Definition"/>
      </w:pPr>
      <w:r w:rsidRPr="00BD574A">
        <w:rPr>
          <w:b/>
          <w:i/>
        </w:rPr>
        <w:t>concessional contributions</w:t>
      </w:r>
      <w:r w:rsidRPr="00BD574A">
        <w:t xml:space="preserve"> has the same meaning as in the </w:t>
      </w:r>
      <w:r w:rsidRPr="00BD574A">
        <w:rPr>
          <w:i/>
        </w:rPr>
        <w:t>Income Tax Assessment Act 1997</w:t>
      </w:r>
      <w:r w:rsidRPr="00BD574A">
        <w:t>.</w:t>
      </w:r>
    </w:p>
    <w:p w:rsidR="00063A86" w:rsidRPr="00BD574A" w:rsidRDefault="00063A86" w:rsidP="00063A86">
      <w:pPr>
        <w:pStyle w:val="Definition"/>
      </w:pPr>
      <w:r w:rsidRPr="00BD574A">
        <w:rPr>
          <w:b/>
          <w:i/>
        </w:rPr>
        <w:t>constitutionally protected fund</w:t>
      </w:r>
      <w:r w:rsidRPr="00BD574A">
        <w:t xml:space="preserve"> has the same meaning as in the </w:t>
      </w:r>
      <w:r w:rsidRPr="00BD574A">
        <w:rPr>
          <w:i/>
        </w:rPr>
        <w:t>Income Tax Assessment Act 1997</w:t>
      </w:r>
      <w:r w:rsidRPr="00BD574A">
        <w:t>.</w:t>
      </w:r>
    </w:p>
    <w:p w:rsidR="0080222D" w:rsidRPr="00BD574A" w:rsidRDefault="0080222D" w:rsidP="0080222D">
      <w:pPr>
        <w:pStyle w:val="Definition"/>
      </w:pPr>
      <w:r w:rsidRPr="00BD574A">
        <w:rPr>
          <w:b/>
          <w:i/>
        </w:rPr>
        <w:t>contributed amounts</w:t>
      </w:r>
      <w:r w:rsidRPr="00BD574A">
        <w:t xml:space="preserve"> has the same meaning as in the </w:t>
      </w:r>
      <w:r w:rsidRPr="00BD574A">
        <w:rPr>
          <w:i/>
        </w:rPr>
        <w:t>Superannuation Contributions Tax (Assessment and Collection) Act 1997</w:t>
      </w:r>
      <w:r w:rsidRPr="00BD574A">
        <w:t>.</w:t>
      </w:r>
    </w:p>
    <w:p w:rsidR="0080222D" w:rsidRPr="00BD574A" w:rsidRDefault="0080222D" w:rsidP="0080222D">
      <w:pPr>
        <w:pStyle w:val="Definition"/>
      </w:pPr>
      <w:r w:rsidRPr="00BD574A">
        <w:rPr>
          <w:b/>
          <w:i/>
        </w:rPr>
        <w:t>court</w:t>
      </w:r>
      <w:r w:rsidRPr="00BD574A">
        <w:t xml:space="preserve"> includes any tribunal, authority or person having power to require the production of documents or the answering of questions.</w:t>
      </w:r>
    </w:p>
    <w:p w:rsidR="0080222D" w:rsidRPr="00BD574A" w:rsidRDefault="0080222D" w:rsidP="0080222D">
      <w:pPr>
        <w:pStyle w:val="Definition"/>
      </w:pPr>
      <w:r w:rsidRPr="00BD574A">
        <w:rPr>
          <w:b/>
          <w:i/>
        </w:rPr>
        <w:lastRenderedPageBreak/>
        <w:t>credit</w:t>
      </w:r>
      <w:r w:rsidRPr="00BD574A">
        <w:t xml:space="preserve"> to an RSA that is a policy (within the meaning of the </w:t>
      </w:r>
      <w:r w:rsidRPr="00BD574A">
        <w:rPr>
          <w:i/>
        </w:rPr>
        <w:t>Life Insurance Act 1995</w:t>
      </w:r>
      <w:r w:rsidRPr="00BD574A">
        <w:t>) means pay as a premium in relation to the policy.</w:t>
      </w:r>
    </w:p>
    <w:p w:rsidR="0080222D" w:rsidRPr="00BD574A" w:rsidRDefault="0080222D" w:rsidP="0080222D">
      <w:pPr>
        <w:pStyle w:val="Definition"/>
      </w:pPr>
      <w:r w:rsidRPr="00BD574A">
        <w:rPr>
          <w:b/>
          <w:i/>
        </w:rPr>
        <w:t>decision</w:t>
      </w:r>
      <w:r w:rsidRPr="00BD574A">
        <w:t xml:space="preserve"> includes a decision not to make a determination under section</w:t>
      </w:r>
      <w:r w:rsidR="00BD574A">
        <w:t> </w:t>
      </w:r>
      <w:r w:rsidRPr="00BD574A">
        <w:t>13, 15 or 19.</w:t>
      </w:r>
    </w:p>
    <w:p w:rsidR="0080222D" w:rsidRPr="00BD574A" w:rsidRDefault="0080222D" w:rsidP="0080222D">
      <w:pPr>
        <w:pStyle w:val="Definition"/>
      </w:pPr>
      <w:r w:rsidRPr="00BD574A">
        <w:rPr>
          <w:b/>
          <w:i/>
        </w:rPr>
        <w:t>dependant</w:t>
      </w:r>
      <w:r w:rsidRPr="00BD574A">
        <w:t xml:space="preserve"> has the same meaning as in the </w:t>
      </w:r>
      <w:r w:rsidRPr="00BD574A">
        <w:rPr>
          <w:i/>
        </w:rPr>
        <w:t>Superannuation Industry (Supervision) Act 1993</w:t>
      </w:r>
      <w:r w:rsidRPr="00BD574A">
        <w:t>.</w:t>
      </w:r>
    </w:p>
    <w:p w:rsidR="0080222D" w:rsidRPr="00BD574A" w:rsidRDefault="0080222D" w:rsidP="0080222D">
      <w:pPr>
        <w:pStyle w:val="Definition"/>
      </w:pPr>
      <w:r w:rsidRPr="00BD574A">
        <w:rPr>
          <w:b/>
          <w:i/>
        </w:rPr>
        <w:t>eligible personal superannuation contribution</w:t>
      </w:r>
      <w:r w:rsidRPr="00BD574A">
        <w:t xml:space="preserve"> has the meaning given by section</w:t>
      </w:r>
      <w:r w:rsidR="00BD574A">
        <w:t> </w:t>
      </w:r>
      <w:r w:rsidRPr="00BD574A">
        <w:t>7.</w:t>
      </w:r>
    </w:p>
    <w:p w:rsidR="0080222D" w:rsidRPr="00BD574A" w:rsidRDefault="0080222D" w:rsidP="0080222D">
      <w:pPr>
        <w:pStyle w:val="Definition"/>
      </w:pPr>
      <w:r w:rsidRPr="00BD574A">
        <w:rPr>
          <w:b/>
          <w:i/>
        </w:rPr>
        <w:t>examinable documents</w:t>
      </w:r>
      <w:r w:rsidRPr="00BD574A">
        <w:t xml:space="preserve"> means any documents relevant to the operation of this Act or the regulations.</w:t>
      </w:r>
    </w:p>
    <w:p w:rsidR="00DE6CE2" w:rsidRPr="00BD574A" w:rsidRDefault="00DE6CE2" w:rsidP="00DE6CE2">
      <w:pPr>
        <w:pStyle w:val="Definition"/>
      </w:pPr>
      <w:r w:rsidRPr="00BD574A">
        <w:rPr>
          <w:b/>
          <w:i/>
        </w:rPr>
        <w:t>general transfer balance cap</w:t>
      </w:r>
      <w:r w:rsidRPr="00BD574A">
        <w:t xml:space="preserve"> has the same meaning as in the </w:t>
      </w:r>
      <w:r w:rsidRPr="00BD574A">
        <w:rPr>
          <w:i/>
        </w:rPr>
        <w:t>Income Tax Assessment Act 1997</w:t>
      </w:r>
      <w:r w:rsidRPr="00BD574A">
        <w:t>.</w:t>
      </w:r>
    </w:p>
    <w:p w:rsidR="0080222D" w:rsidRPr="00BD574A" w:rsidRDefault="0080222D" w:rsidP="0080222D">
      <w:pPr>
        <w:pStyle w:val="Definition"/>
      </w:pPr>
      <w:r w:rsidRPr="00BD574A">
        <w:rPr>
          <w:b/>
          <w:i/>
        </w:rPr>
        <w:t>Government co</w:t>
      </w:r>
      <w:r w:rsidR="00BD574A">
        <w:rPr>
          <w:b/>
          <w:i/>
        </w:rPr>
        <w:noBreakHyphen/>
      </w:r>
      <w:r w:rsidRPr="00BD574A">
        <w:rPr>
          <w:b/>
          <w:i/>
        </w:rPr>
        <w:t>contribution</w:t>
      </w:r>
      <w:r w:rsidRPr="00BD574A">
        <w:t xml:space="preserve"> means a Government co</w:t>
      </w:r>
      <w:r w:rsidR="00BD574A">
        <w:noBreakHyphen/>
      </w:r>
      <w:r w:rsidRPr="00BD574A">
        <w:t>contribution payable under this Act.</w:t>
      </w:r>
    </w:p>
    <w:p w:rsidR="0080222D" w:rsidRPr="00BD574A" w:rsidRDefault="0080222D" w:rsidP="0080222D">
      <w:pPr>
        <w:pStyle w:val="Definition"/>
      </w:pPr>
      <w:r w:rsidRPr="00BD574A">
        <w:rPr>
          <w:b/>
          <w:i/>
        </w:rPr>
        <w:t>higher income threshold</w:t>
      </w:r>
      <w:r w:rsidRPr="00BD574A">
        <w:t xml:space="preserve"> has the meaning given by section</w:t>
      </w:r>
      <w:r w:rsidR="00BD574A">
        <w:t> </w:t>
      </w:r>
      <w:r w:rsidRPr="00BD574A">
        <w:t>10A.</w:t>
      </w:r>
    </w:p>
    <w:p w:rsidR="0080222D" w:rsidRPr="00BD574A" w:rsidRDefault="0080222D" w:rsidP="0080222D">
      <w:pPr>
        <w:pStyle w:val="Definition"/>
      </w:pPr>
      <w:r w:rsidRPr="00BD574A">
        <w:rPr>
          <w:b/>
          <w:i/>
        </w:rPr>
        <w:t>hold</w:t>
      </w:r>
      <w:r w:rsidRPr="00BD574A">
        <w:t xml:space="preserve">: a person </w:t>
      </w:r>
      <w:r w:rsidRPr="00BD574A">
        <w:rPr>
          <w:b/>
          <w:i/>
        </w:rPr>
        <w:t>holds</w:t>
      </w:r>
      <w:r w:rsidRPr="00BD574A">
        <w:t xml:space="preserve"> an RSA account if the person is the holder of the account within the meaning of the </w:t>
      </w:r>
      <w:r w:rsidRPr="00BD574A">
        <w:rPr>
          <w:i/>
        </w:rPr>
        <w:t>Retirement Savings Accounts Act 1997</w:t>
      </w:r>
      <w:r w:rsidRPr="00BD574A">
        <w:t>.</w:t>
      </w:r>
    </w:p>
    <w:p w:rsidR="0080222D" w:rsidRPr="00BD574A" w:rsidRDefault="0080222D" w:rsidP="0080222D">
      <w:pPr>
        <w:pStyle w:val="Definition"/>
      </w:pPr>
      <w:r w:rsidRPr="00BD574A">
        <w:rPr>
          <w:b/>
          <w:i/>
        </w:rPr>
        <w:t>income tax return</w:t>
      </w:r>
      <w:r w:rsidRPr="00BD574A">
        <w:t xml:space="preserve"> means:</w:t>
      </w:r>
    </w:p>
    <w:p w:rsidR="0080222D" w:rsidRPr="00BD574A" w:rsidRDefault="0080222D" w:rsidP="0080222D">
      <w:pPr>
        <w:pStyle w:val="paragraph"/>
      </w:pPr>
      <w:r w:rsidRPr="00BD574A">
        <w:tab/>
        <w:t>(a)</w:t>
      </w:r>
      <w:r w:rsidRPr="00BD574A">
        <w:tab/>
        <w:t>a return under section</w:t>
      </w:r>
      <w:r w:rsidR="00BD574A">
        <w:t> </w:t>
      </w:r>
      <w:r w:rsidRPr="00BD574A">
        <w:t xml:space="preserve">161, 162 or 163 of the </w:t>
      </w:r>
      <w:r w:rsidRPr="00BD574A">
        <w:rPr>
          <w:i/>
        </w:rPr>
        <w:t>Income Tax Assessment Act 1936</w:t>
      </w:r>
      <w:r w:rsidRPr="00BD574A">
        <w:t>; or</w:t>
      </w:r>
    </w:p>
    <w:p w:rsidR="0080222D" w:rsidRPr="00BD574A" w:rsidRDefault="0080222D" w:rsidP="0080222D">
      <w:pPr>
        <w:pStyle w:val="paragraph"/>
      </w:pPr>
      <w:r w:rsidRPr="00BD574A">
        <w:tab/>
        <w:t>(b)</w:t>
      </w:r>
      <w:r w:rsidRPr="00BD574A">
        <w:tab/>
        <w:t>a return by the trustee of a deceased person’s estate under Subdivision</w:t>
      </w:r>
      <w:r w:rsidR="00BD574A">
        <w:t> </w:t>
      </w:r>
      <w:r w:rsidRPr="00BD574A">
        <w:t>260</w:t>
      </w:r>
      <w:r w:rsidR="00BD574A">
        <w:noBreakHyphen/>
      </w:r>
      <w:r w:rsidRPr="00BD574A">
        <w:t>E of Schedule</w:t>
      </w:r>
      <w:r w:rsidR="00BD574A">
        <w:t> </w:t>
      </w:r>
      <w:r w:rsidRPr="00BD574A">
        <w:t xml:space="preserve">1 to the </w:t>
      </w:r>
      <w:r w:rsidRPr="00BD574A">
        <w:rPr>
          <w:i/>
        </w:rPr>
        <w:t>Taxation Administration Act 1953</w:t>
      </w:r>
      <w:r w:rsidRPr="00BD574A">
        <w:t>.</w:t>
      </w:r>
    </w:p>
    <w:p w:rsidR="0080222D" w:rsidRPr="00BD574A" w:rsidRDefault="0080222D" w:rsidP="0080222D">
      <w:pPr>
        <w:pStyle w:val="Definition"/>
      </w:pPr>
      <w:r w:rsidRPr="00BD574A">
        <w:rPr>
          <w:b/>
          <w:i/>
        </w:rPr>
        <w:t xml:space="preserve">income year </w:t>
      </w:r>
      <w:r w:rsidRPr="00BD574A">
        <w:t xml:space="preserve">has the same meaning as in the </w:t>
      </w:r>
      <w:r w:rsidRPr="00BD574A">
        <w:rPr>
          <w:i/>
        </w:rPr>
        <w:t>Income Tax Assessment Act 1997</w:t>
      </w:r>
      <w:r w:rsidRPr="00BD574A">
        <w:t>.</w:t>
      </w:r>
    </w:p>
    <w:p w:rsidR="0080222D" w:rsidRPr="00BD574A" w:rsidRDefault="0080222D" w:rsidP="0080222D">
      <w:pPr>
        <w:pStyle w:val="Definition"/>
      </w:pPr>
      <w:r w:rsidRPr="00BD574A">
        <w:rPr>
          <w:b/>
          <w:i/>
        </w:rPr>
        <w:t>indexation factor</w:t>
      </w:r>
      <w:r w:rsidRPr="00BD574A">
        <w:t xml:space="preserve"> has the meaning given by section</w:t>
      </w:r>
      <w:r w:rsidR="00BD574A">
        <w:t> </w:t>
      </w:r>
      <w:r w:rsidRPr="00BD574A">
        <w:t>10A.</w:t>
      </w:r>
    </w:p>
    <w:p w:rsidR="0080222D" w:rsidRPr="00BD574A" w:rsidRDefault="0080222D" w:rsidP="0080222D">
      <w:pPr>
        <w:pStyle w:val="Definition"/>
      </w:pPr>
      <w:r w:rsidRPr="00BD574A">
        <w:rPr>
          <w:b/>
          <w:i/>
        </w:rPr>
        <w:lastRenderedPageBreak/>
        <w:t>infringement notice</w:t>
      </w:r>
      <w:r w:rsidRPr="00BD574A">
        <w:t xml:space="preserve"> means a notice given under section</w:t>
      </w:r>
      <w:r w:rsidR="00BD574A">
        <w:t> </w:t>
      </w:r>
      <w:r w:rsidRPr="00BD574A">
        <w:t>33.</w:t>
      </w:r>
    </w:p>
    <w:p w:rsidR="0080222D" w:rsidRPr="00BD574A" w:rsidRDefault="0080222D" w:rsidP="0080222D">
      <w:pPr>
        <w:pStyle w:val="Definition"/>
      </w:pPr>
      <w:r w:rsidRPr="00BD574A">
        <w:rPr>
          <w:b/>
          <w:i/>
        </w:rPr>
        <w:t>lower income threshold</w:t>
      </w:r>
      <w:r w:rsidRPr="00BD574A">
        <w:t xml:space="preserve"> has the meaning given by section</w:t>
      </w:r>
      <w:r w:rsidR="00BD574A">
        <w:t> </w:t>
      </w:r>
      <w:r w:rsidRPr="00BD574A">
        <w:t>10A.</w:t>
      </w:r>
    </w:p>
    <w:p w:rsidR="00AD0EEF" w:rsidRPr="00BD574A" w:rsidRDefault="00AD0EEF" w:rsidP="00AD0EEF">
      <w:pPr>
        <w:pStyle w:val="Definition"/>
      </w:pPr>
      <w:r w:rsidRPr="00BD574A">
        <w:rPr>
          <w:b/>
          <w:i/>
        </w:rPr>
        <w:t>low income superannuation tax offset</w:t>
      </w:r>
      <w:r w:rsidRPr="00BD574A">
        <w:t xml:space="preserve"> means a low income superannuation tax</w:t>
      </w:r>
      <w:r w:rsidRPr="00BD574A">
        <w:rPr>
          <w:i/>
        </w:rPr>
        <w:t xml:space="preserve"> </w:t>
      </w:r>
      <w:r w:rsidRPr="00BD574A">
        <w:t>offset payable under this Act.</w:t>
      </w:r>
    </w:p>
    <w:p w:rsidR="0080222D" w:rsidRPr="00BD574A" w:rsidRDefault="0080222D" w:rsidP="0080222D">
      <w:pPr>
        <w:pStyle w:val="Definition"/>
      </w:pPr>
      <w:r w:rsidRPr="00BD574A">
        <w:rPr>
          <w:b/>
          <w:i/>
        </w:rPr>
        <w:t xml:space="preserve">member </w:t>
      </w:r>
      <w:r w:rsidRPr="00BD574A">
        <w:t>means a member, or former member, of a superannuation fund or of an approved deposit fund and includes the holder, or former holder, of an RSA.</w:t>
      </w:r>
    </w:p>
    <w:p w:rsidR="00DE6CE2" w:rsidRPr="00BD574A" w:rsidRDefault="00DE6CE2" w:rsidP="00DE6CE2">
      <w:pPr>
        <w:pStyle w:val="Definition"/>
      </w:pPr>
      <w:r w:rsidRPr="00BD574A">
        <w:rPr>
          <w:b/>
          <w:i/>
        </w:rPr>
        <w:t>non</w:t>
      </w:r>
      <w:r w:rsidR="00BD574A">
        <w:rPr>
          <w:b/>
          <w:i/>
        </w:rPr>
        <w:noBreakHyphen/>
      </w:r>
      <w:r w:rsidRPr="00BD574A">
        <w:rPr>
          <w:b/>
          <w:i/>
        </w:rPr>
        <w:t>concessional contributions</w:t>
      </w:r>
      <w:r w:rsidRPr="00BD574A">
        <w:t xml:space="preserve"> has the same meaning as in the </w:t>
      </w:r>
      <w:r w:rsidRPr="00BD574A">
        <w:rPr>
          <w:i/>
        </w:rPr>
        <w:t>Income Tax Assessment Act 1997</w:t>
      </w:r>
      <w:r w:rsidRPr="00BD574A">
        <w:t>.</w:t>
      </w:r>
    </w:p>
    <w:p w:rsidR="00DE6CE2" w:rsidRPr="00BD574A" w:rsidRDefault="00DE6CE2" w:rsidP="00DE6CE2">
      <w:pPr>
        <w:pStyle w:val="Definition"/>
      </w:pPr>
      <w:r w:rsidRPr="00BD574A">
        <w:rPr>
          <w:b/>
          <w:i/>
        </w:rPr>
        <w:t>non</w:t>
      </w:r>
      <w:r w:rsidR="00BD574A">
        <w:rPr>
          <w:b/>
          <w:i/>
        </w:rPr>
        <w:noBreakHyphen/>
      </w:r>
      <w:r w:rsidRPr="00BD574A">
        <w:rPr>
          <w:b/>
          <w:i/>
        </w:rPr>
        <w:t>concessional contributions cap</w:t>
      </w:r>
      <w:r w:rsidRPr="00BD574A">
        <w:t xml:space="preserve"> has the same meaning as in the </w:t>
      </w:r>
      <w:r w:rsidRPr="00BD574A">
        <w:rPr>
          <w:i/>
        </w:rPr>
        <w:t>Income Tax Assessment Act 1997</w:t>
      </w:r>
      <w:r w:rsidRPr="00BD574A">
        <w:t>.</w:t>
      </w:r>
    </w:p>
    <w:p w:rsidR="0080222D" w:rsidRPr="00BD574A" w:rsidRDefault="0080222D" w:rsidP="00AC2B9B">
      <w:pPr>
        <w:pStyle w:val="Definition"/>
        <w:keepNext/>
      </w:pPr>
      <w:r w:rsidRPr="00BD574A">
        <w:rPr>
          <w:b/>
          <w:i/>
        </w:rPr>
        <w:t xml:space="preserve">payment date </w:t>
      </w:r>
      <w:r w:rsidRPr="00BD574A">
        <w:t>means:</w:t>
      </w:r>
    </w:p>
    <w:p w:rsidR="0080222D" w:rsidRPr="00BD574A" w:rsidRDefault="0080222D" w:rsidP="0080222D">
      <w:pPr>
        <w:pStyle w:val="paragraph"/>
      </w:pPr>
      <w:r w:rsidRPr="00BD574A">
        <w:tab/>
        <w:t>(a)</w:t>
      </w:r>
      <w:r w:rsidRPr="00BD574A">
        <w:tab/>
        <w:t>for a Government co</w:t>
      </w:r>
      <w:r w:rsidR="00BD574A">
        <w:noBreakHyphen/>
      </w:r>
      <w:r w:rsidRPr="00BD574A">
        <w:t>contribution—the date worked out in accordance with the regulations made for the purposes of section</w:t>
      </w:r>
      <w:r w:rsidR="00BD574A">
        <w:t> </w:t>
      </w:r>
      <w:r w:rsidRPr="00BD574A">
        <w:t>17; or</w:t>
      </w:r>
    </w:p>
    <w:p w:rsidR="0080222D" w:rsidRPr="00BD574A" w:rsidRDefault="0080222D" w:rsidP="0080222D">
      <w:pPr>
        <w:pStyle w:val="paragraph"/>
      </w:pPr>
      <w:r w:rsidRPr="00BD574A">
        <w:tab/>
        <w:t>(b)</w:t>
      </w:r>
      <w:r w:rsidRPr="00BD574A">
        <w:tab/>
        <w:t>for an underpaid amount of a Government co</w:t>
      </w:r>
      <w:r w:rsidR="00BD574A">
        <w:noBreakHyphen/>
      </w:r>
      <w:r w:rsidRPr="00BD574A">
        <w:t>contribution—the date worked out in accordance with the regulations made for the purposes of section</w:t>
      </w:r>
      <w:r w:rsidR="00BD574A">
        <w:t> </w:t>
      </w:r>
      <w:r w:rsidRPr="00BD574A">
        <w:t>21.</w:t>
      </w:r>
    </w:p>
    <w:p w:rsidR="0080222D" w:rsidRPr="00BD574A" w:rsidRDefault="0080222D" w:rsidP="0080222D">
      <w:pPr>
        <w:pStyle w:val="Definition"/>
      </w:pPr>
      <w:r w:rsidRPr="00BD574A">
        <w:rPr>
          <w:b/>
          <w:i/>
        </w:rPr>
        <w:t>prescribed penalty</w:t>
      </w:r>
      <w:r w:rsidRPr="00BD574A">
        <w:t xml:space="preserve"> for a contravention means 5 penalty units for each week or part of a week during which the contravention continues.</w:t>
      </w:r>
    </w:p>
    <w:p w:rsidR="0080222D" w:rsidRPr="00BD574A" w:rsidRDefault="0080222D" w:rsidP="0080222D">
      <w:pPr>
        <w:pStyle w:val="notetext"/>
      </w:pPr>
      <w:r w:rsidRPr="00BD574A">
        <w:t>Note:</w:t>
      </w:r>
      <w:r w:rsidRPr="00BD574A">
        <w:tab/>
        <w:t>See section</w:t>
      </w:r>
      <w:r w:rsidR="00BD574A">
        <w:t> </w:t>
      </w:r>
      <w:r w:rsidRPr="00BD574A">
        <w:t xml:space="preserve">4AA of the </w:t>
      </w:r>
      <w:r w:rsidRPr="00BD574A">
        <w:rPr>
          <w:i/>
        </w:rPr>
        <w:t>Crimes Act 1914</w:t>
      </w:r>
      <w:r w:rsidRPr="00BD574A">
        <w:t xml:space="preserve"> for the current value of a penalty unit.</w:t>
      </w:r>
    </w:p>
    <w:p w:rsidR="0080222D" w:rsidRPr="00BD574A" w:rsidRDefault="0080222D" w:rsidP="0080222D">
      <w:pPr>
        <w:pStyle w:val="Definition"/>
      </w:pPr>
      <w:r w:rsidRPr="00BD574A">
        <w:rPr>
          <w:b/>
          <w:i/>
        </w:rPr>
        <w:t>produce</w:t>
      </w:r>
      <w:r w:rsidRPr="00BD574A">
        <w:t xml:space="preserve"> a document includes permit access to the document.</w:t>
      </w:r>
    </w:p>
    <w:p w:rsidR="0080222D" w:rsidRPr="00BD574A" w:rsidRDefault="0080222D" w:rsidP="0080222D">
      <w:pPr>
        <w:pStyle w:val="Definition"/>
      </w:pPr>
      <w:r w:rsidRPr="00BD574A">
        <w:rPr>
          <w:b/>
          <w:i/>
        </w:rPr>
        <w:t>provider</w:t>
      </w:r>
      <w:r w:rsidRPr="00BD574A">
        <w:t xml:space="preserve"> of an RSA has the same meaning as in the </w:t>
      </w:r>
      <w:r w:rsidRPr="00BD574A">
        <w:rPr>
          <w:i/>
        </w:rPr>
        <w:t>Retirement Savings Accounts Act 1997</w:t>
      </w:r>
      <w:r w:rsidRPr="00BD574A">
        <w:t>.</w:t>
      </w:r>
    </w:p>
    <w:p w:rsidR="0080222D" w:rsidRPr="00BD574A" w:rsidRDefault="0080222D" w:rsidP="0080222D">
      <w:pPr>
        <w:pStyle w:val="Definition"/>
      </w:pPr>
      <w:r w:rsidRPr="00BD574A">
        <w:rPr>
          <w:b/>
          <w:i/>
        </w:rPr>
        <w:t>reportable fringe benefits total</w:t>
      </w:r>
      <w:r w:rsidRPr="00BD574A">
        <w:t xml:space="preserve"> has the same meaning as in the </w:t>
      </w:r>
      <w:r w:rsidRPr="00BD574A">
        <w:rPr>
          <w:i/>
        </w:rPr>
        <w:t>Income Tax Assessment Act 1936</w:t>
      </w:r>
      <w:r w:rsidRPr="00BD574A">
        <w:t>.</w:t>
      </w:r>
    </w:p>
    <w:p w:rsidR="0080222D" w:rsidRPr="00BD574A" w:rsidRDefault="0080222D" w:rsidP="0080222D">
      <w:pPr>
        <w:pStyle w:val="Definition"/>
      </w:pPr>
      <w:r w:rsidRPr="00BD574A">
        <w:rPr>
          <w:b/>
          <w:i/>
        </w:rPr>
        <w:lastRenderedPageBreak/>
        <w:t>RSA</w:t>
      </w:r>
      <w:r w:rsidRPr="00BD574A">
        <w:t xml:space="preserve"> has the same meaning as in the </w:t>
      </w:r>
      <w:r w:rsidRPr="00BD574A">
        <w:rPr>
          <w:i/>
        </w:rPr>
        <w:t>Retirement Savings Accounts Act 1997</w:t>
      </w:r>
      <w:r w:rsidRPr="00BD574A">
        <w:t>.</w:t>
      </w:r>
    </w:p>
    <w:p w:rsidR="0080222D" w:rsidRPr="00BD574A" w:rsidRDefault="0080222D" w:rsidP="0080222D">
      <w:pPr>
        <w:pStyle w:val="Definition"/>
      </w:pPr>
      <w:r w:rsidRPr="00BD574A">
        <w:rPr>
          <w:b/>
          <w:i/>
        </w:rPr>
        <w:t>Superannuation Holding Accounts Special Account</w:t>
      </w:r>
      <w:r w:rsidRPr="00BD574A">
        <w:t xml:space="preserve"> means the Superannuation Holding Accounts Special Account continued in existence by section</w:t>
      </w:r>
      <w:r w:rsidR="00BD574A">
        <w:t> </w:t>
      </w:r>
      <w:r w:rsidRPr="00BD574A">
        <w:t xml:space="preserve">8 of the </w:t>
      </w:r>
      <w:r w:rsidRPr="00BD574A">
        <w:rPr>
          <w:i/>
        </w:rPr>
        <w:t>Small Superannuation Accounts Act 1995</w:t>
      </w:r>
      <w:r w:rsidRPr="00BD574A">
        <w:t>.</w:t>
      </w:r>
    </w:p>
    <w:p w:rsidR="0080222D" w:rsidRPr="00BD574A" w:rsidRDefault="0080222D" w:rsidP="00373CA3">
      <w:pPr>
        <w:pStyle w:val="Definition"/>
        <w:keepNext/>
      </w:pPr>
      <w:r w:rsidRPr="00BD574A">
        <w:rPr>
          <w:b/>
          <w:i/>
        </w:rPr>
        <w:t>superannuation provider</w:t>
      </w:r>
      <w:r w:rsidRPr="00BD574A">
        <w:t xml:space="preserve"> means:</w:t>
      </w:r>
    </w:p>
    <w:p w:rsidR="0080222D" w:rsidRPr="00BD574A" w:rsidRDefault="0080222D" w:rsidP="00373CA3">
      <w:pPr>
        <w:pStyle w:val="paragraph"/>
        <w:keepNext/>
      </w:pPr>
      <w:r w:rsidRPr="00BD574A">
        <w:tab/>
        <w:t>(a)</w:t>
      </w:r>
      <w:r w:rsidRPr="00BD574A">
        <w:tab/>
        <w:t>the trustee of a complying superannuation fund; or</w:t>
      </w:r>
    </w:p>
    <w:p w:rsidR="0080222D" w:rsidRPr="00BD574A" w:rsidRDefault="0080222D" w:rsidP="0080222D">
      <w:pPr>
        <w:pStyle w:val="paragraph"/>
      </w:pPr>
      <w:r w:rsidRPr="00BD574A">
        <w:tab/>
        <w:t>(b)</w:t>
      </w:r>
      <w:r w:rsidRPr="00BD574A">
        <w:tab/>
        <w:t>the provider of an RSA; or</w:t>
      </w:r>
    </w:p>
    <w:p w:rsidR="0080222D" w:rsidRPr="00BD574A" w:rsidRDefault="0080222D" w:rsidP="0080222D">
      <w:pPr>
        <w:pStyle w:val="paragraph"/>
      </w:pPr>
      <w:r w:rsidRPr="00BD574A">
        <w:tab/>
        <w:t>(c)</w:t>
      </w:r>
      <w:r w:rsidRPr="00BD574A">
        <w:tab/>
        <w:t>the trustee of a constitutionally protected fund.</w:t>
      </w:r>
    </w:p>
    <w:p w:rsidR="0080222D" w:rsidRPr="00BD574A" w:rsidRDefault="0080222D" w:rsidP="0080222D">
      <w:pPr>
        <w:pStyle w:val="Definition"/>
      </w:pPr>
      <w:r w:rsidRPr="00BD574A">
        <w:rPr>
          <w:b/>
          <w:i/>
        </w:rPr>
        <w:t xml:space="preserve">taxation officer </w:t>
      </w:r>
      <w:r w:rsidRPr="00BD574A">
        <w:t xml:space="preserve">means a person employed or engaged under the </w:t>
      </w:r>
      <w:r w:rsidRPr="00BD574A">
        <w:rPr>
          <w:i/>
        </w:rPr>
        <w:t>Public Service Act 1999</w:t>
      </w:r>
      <w:r w:rsidRPr="00BD574A">
        <w:t xml:space="preserve"> who is:</w:t>
      </w:r>
    </w:p>
    <w:p w:rsidR="0080222D" w:rsidRPr="00BD574A" w:rsidRDefault="0080222D" w:rsidP="0080222D">
      <w:pPr>
        <w:pStyle w:val="paragraph"/>
      </w:pPr>
      <w:r w:rsidRPr="00BD574A">
        <w:tab/>
        <w:t>(a)</w:t>
      </w:r>
      <w:r w:rsidRPr="00BD574A">
        <w:tab/>
        <w:t>exercising powers; or</w:t>
      </w:r>
    </w:p>
    <w:p w:rsidR="0080222D" w:rsidRPr="00BD574A" w:rsidRDefault="0080222D" w:rsidP="0080222D">
      <w:pPr>
        <w:pStyle w:val="paragraph"/>
      </w:pPr>
      <w:r w:rsidRPr="00BD574A">
        <w:tab/>
        <w:t>(b)</w:t>
      </w:r>
      <w:r w:rsidRPr="00BD574A">
        <w:tab/>
        <w:t>performing functions;</w:t>
      </w:r>
    </w:p>
    <w:p w:rsidR="0080222D" w:rsidRPr="00BD574A" w:rsidRDefault="0080222D" w:rsidP="0080222D">
      <w:pPr>
        <w:pStyle w:val="subsection2"/>
      </w:pPr>
      <w:r w:rsidRPr="00BD574A">
        <w:t>under, pursuant to or in relation to a taxation law (as defined in section</w:t>
      </w:r>
      <w:r w:rsidR="00BD574A">
        <w:t> </w:t>
      </w:r>
      <w:r w:rsidRPr="00BD574A">
        <w:t xml:space="preserve">2 of the </w:t>
      </w:r>
      <w:r w:rsidRPr="00BD574A">
        <w:rPr>
          <w:i/>
        </w:rPr>
        <w:t>Taxation Administration Act 1953</w:t>
      </w:r>
      <w:r w:rsidRPr="00BD574A">
        <w:t>).</w:t>
      </w:r>
    </w:p>
    <w:p w:rsidR="0080222D" w:rsidRPr="00BD574A" w:rsidRDefault="0080222D" w:rsidP="0080222D">
      <w:pPr>
        <w:pStyle w:val="Definition"/>
      </w:pPr>
      <w:r w:rsidRPr="00BD574A">
        <w:rPr>
          <w:b/>
          <w:i/>
        </w:rPr>
        <w:t>total income</w:t>
      </w:r>
      <w:r w:rsidRPr="00BD574A">
        <w:t xml:space="preserve"> of a person for an income year has the meaning given by section</w:t>
      </w:r>
      <w:r w:rsidR="00BD574A">
        <w:t> </w:t>
      </w:r>
      <w:r w:rsidRPr="00BD574A">
        <w:t>8.</w:t>
      </w:r>
    </w:p>
    <w:p w:rsidR="00DE6CE2" w:rsidRPr="00BD574A" w:rsidRDefault="00DE6CE2" w:rsidP="00DE6CE2">
      <w:pPr>
        <w:pStyle w:val="Definition"/>
      </w:pPr>
      <w:r w:rsidRPr="00BD574A">
        <w:rPr>
          <w:b/>
          <w:i/>
        </w:rPr>
        <w:t>total superannuation balance</w:t>
      </w:r>
      <w:r w:rsidRPr="00BD574A">
        <w:t xml:space="preserve"> has the same meaning as in the </w:t>
      </w:r>
      <w:r w:rsidRPr="00BD574A">
        <w:rPr>
          <w:i/>
        </w:rPr>
        <w:t>Income Tax Assessment Act 1997</w:t>
      </w:r>
      <w:r w:rsidRPr="00BD574A">
        <w:t>.</w:t>
      </w:r>
    </w:p>
    <w:p w:rsidR="0080222D" w:rsidRPr="00BD574A" w:rsidRDefault="0080222D" w:rsidP="00DC0886">
      <w:pPr>
        <w:pStyle w:val="Definition"/>
        <w:keepNext/>
        <w:keepLines/>
      </w:pPr>
      <w:r w:rsidRPr="00BD574A">
        <w:rPr>
          <w:b/>
          <w:i/>
        </w:rPr>
        <w:t>trustee</w:t>
      </w:r>
      <w:r w:rsidRPr="00BD574A">
        <w:t xml:space="preserve"> of a superannuation fund, or constitutionally protected fund, means:</w:t>
      </w:r>
    </w:p>
    <w:p w:rsidR="0080222D" w:rsidRPr="00BD574A" w:rsidRDefault="0080222D" w:rsidP="0080222D">
      <w:pPr>
        <w:pStyle w:val="paragraph"/>
      </w:pPr>
      <w:r w:rsidRPr="00BD574A">
        <w:tab/>
        <w:t>(a)</w:t>
      </w:r>
      <w:r w:rsidRPr="00BD574A">
        <w:tab/>
        <w:t>if there is a trustee (within the ordinary meaning of that expression) of the fund—the trustee; or</w:t>
      </w:r>
    </w:p>
    <w:p w:rsidR="0080222D" w:rsidRPr="00BD574A" w:rsidRDefault="0080222D" w:rsidP="0080222D">
      <w:pPr>
        <w:pStyle w:val="paragraph"/>
      </w:pPr>
      <w:r w:rsidRPr="00BD574A">
        <w:tab/>
        <w:t>(b)</w:t>
      </w:r>
      <w:r w:rsidRPr="00BD574A">
        <w:tab/>
        <w:t>otherwise—the person who manages the fund.</w:t>
      </w:r>
    </w:p>
    <w:p w:rsidR="0080222D" w:rsidRPr="00BD574A" w:rsidRDefault="0080222D" w:rsidP="0080222D">
      <w:pPr>
        <w:pStyle w:val="Definition"/>
      </w:pPr>
      <w:r w:rsidRPr="00BD574A">
        <w:rPr>
          <w:b/>
          <w:i/>
        </w:rPr>
        <w:t>trustee</w:t>
      </w:r>
      <w:r w:rsidRPr="00BD574A">
        <w:t xml:space="preserve">, when used in relation to a deceased person’s estate, has the same meaning as in the </w:t>
      </w:r>
      <w:r w:rsidRPr="00BD574A">
        <w:rPr>
          <w:i/>
        </w:rPr>
        <w:t>Income Tax Assessment Act 1936</w:t>
      </w:r>
      <w:r w:rsidRPr="00BD574A">
        <w:t>.</w:t>
      </w:r>
    </w:p>
    <w:p w:rsidR="0080222D" w:rsidRPr="00BD574A" w:rsidRDefault="0080222D" w:rsidP="0080222D">
      <w:pPr>
        <w:pStyle w:val="Definition"/>
      </w:pPr>
      <w:r w:rsidRPr="00BD574A">
        <w:rPr>
          <w:b/>
          <w:i/>
        </w:rPr>
        <w:t>underpaid amount</w:t>
      </w:r>
      <w:r w:rsidRPr="00BD574A">
        <w:t xml:space="preserve"> of a Government co</w:t>
      </w:r>
      <w:r w:rsidR="00BD574A">
        <w:noBreakHyphen/>
      </w:r>
      <w:r w:rsidRPr="00BD574A">
        <w:t>contribution has the meaning given by subsection</w:t>
      </w:r>
      <w:r w:rsidR="00BD574A">
        <w:t> </w:t>
      </w:r>
      <w:r w:rsidRPr="00BD574A">
        <w:t>19(2).</w:t>
      </w:r>
    </w:p>
    <w:p w:rsidR="00392615" w:rsidRPr="00BD574A" w:rsidRDefault="00392615" w:rsidP="00392615">
      <w:pPr>
        <w:rPr>
          <w:lang w:eastAsia="en-AU"/>
        </w:rPr>
        <w:sectPr w:rsidR="00392615" w:rsidRPr="00BD574A" w:rsidSect="003B795F">
          <w:headerReference w:type="even" r:id="rId23"/>
          <w:headerReference w:type="default" r:id="rId24"/>
          <w:footerReference w:type="even" r:id="rId25"/>
          <w:footerReference w:type="default" r:id="rId26"/>
          <w:headerReference w:type="first" r:id="rId27"/>
          <w:footerReference w:type="first" r:id="rId28"/>
          <w:pgSz w:w="11907" w:h="16839"/>
          <w:pgMar w:top="2381" w:right="2410" w:bottom="4252" w:left="2410" w:header="720" w:footer="3402" w:gutter="0"/>
          <w:pgNumType w:start="1"/>
          <w:cols w:space="708"/>
          <w:docGrid w:linePitch="360"/>
        </w:sectPr>
      </w:pPr>
    </w:p>
    <w:p w:rsidR="00F136B1" w:rsidRPr="00BD574A" w:rsidRDefault="00F136B1" w:rsidP="00215433">
      <w:pPr>
        <w:pStyle w:val="ENotesHeading1"/>
        <w:pageBreakBefore/>
        <w:outlineLvl w:val="9"/>
      </w:pPr>
      <w:bookmarkStart w:id="73" w:name="_Toc487718161"/>
      <w:r w:rsidRPr="00BD574A">
        <w:lastRenderedPageBreak/>
        <w:t>Endnotes</w:t>
      </w:r>
      <w:bookmarkEnd w:id="73"/>
    </w:p>
    <w:p w:rsidR="008B10DA" w:rsidRPr="00BD574A" w:rsidRDefault="008B10DA" w:rsidP="008B10DA">
      <w:pPr>
        <w:pStyle w:val="ENotesHeading2"/>
        <w:spacing w:line="240" w:lineRule="auto"/>
        <w:outlineLvl w:val="9"/>
      </w:pPr>
      <w:bookmarkStart w:id="74" w:name="_Toc487718162"/>
      <w:r w:rsidRPr="00BD574A">
        <w:t>Endnote 1—About the endnotes</w:t>
      </w:r>
      <w:bookmarkEnd w:id="74"/>
    </w:p>
    <w:p w:rsidR="008B10DA" w:rsidRPr="00BD574A" w:rsidRDefault="008B10DA" w:rsidP="008B10DA">
      <w:pPr>
        <w:spacing w:after="120"/>
      </w:pPr>
      <w:r w:rsidRPr="00BD574A">
        <w:t>The endnotes provide information about this compilation and the compiled law.</w:t>
      </w:r>
    </w:p>
    <w:p w:rsidR="008B10DA" w:rsidRPr="00BD574A" w:rsidRDefault="008B10DA" w:rsidP="008B10DA">
      <w:pPr>
        <w:spacing w:after="120"/>
      </w:pPr>
      <w:r w:rsidRPr="00BD574A">
        <w:t>The following endnotes are included in every compilation:</w:t>
      </w:r>
    </w:p>
    <w:p w:rsidR="008B10DA" w:rsidRPr="00BD574A" w:rsidRDefault="008B10DA" w:rsidP="008B10DA">
      <w:r w:rsidRPr="00BD574A">
        <w:t>Endnote 1—About the endnotes</w:t>
      </w:r>
    </w:p>
    <w:p w:rsidR="008B10DA" w:rsidRPr="00BD574A" w:rsidRDefault="008B10DA" w:rsidP="008B10DA">
      <w:r w:rsidRPr="00BD574A">
        <w:t>Endnote 2—Abbreviation key</w:t>
      </w:r>
    </w:p>
    <w:p w:rsidR="008B10DA" w:rsidRPr="00BD574A" w:rsidRDefault="008B10DA" w:rsidP="008B10DA">
      <w:r w:rsidRPr="00BD574A">
        <w:t>Endnote 3—Legislation history</w:t>
      </w:r>
    </w:p>
    <w:p w:rsidR="008B10DA" w:rsidRPr="00BD574A" w:rsidRDefault="008B10DA" w:rsidP="008B10DA">
      <w:pPr>
        <w:spacing w:after="120"/>
      </w:pPr>
      <w:r w:rsidRPr="00BD574A">
        <w:t>Endnote 4—Amendment history</w:t>
      </w:r>
    </w:p>
    <w:p w:rsidR="008B10DA" w:rsidRPr="00BD574A" w:rsidRDefault="008B10DA" w:rsidP="008B10DA">
      <w:r w:rsidRPr="00BD574A">
        <w:rPr>
          <w:b/>
        </w:rPr>
        <w:t>Abbreviation key—Endnote 2</w:t>
      </w:r>
    </w:p>
    <w:p w:rsidR="008B10DA" w:rsidRPr="00BD574A" w:rsidRDefault="008B10DA" w:rsidP="008B10DA">
      <w:pPr>
        <w:spacing w:after="120"/>
      </w:pPr>
      <w:r w:rsidRPr="00BD574A">
        <w:t>The abbreviation key sets out abbreviations that may be used in the endnotes.</w:t>
      </w:r>
    </w:p>
    <w:p w:rsidR="008B10DA" w:rsidRPr="00BD574A" w:rsidRDefault="008B10DA" w:rsidP="008B10DA">
      <w:pPr>
        <w:rPr>
          <w:b/>
        </w:rPr>
      </w:pPr>
      <w:r w:rsidRPr="00BD574A">
        <w:rPr>
          <w:b/>
        </w:rPr>
        <w:t>Legislation history and amendment history—Endnotes 3 and 4</w:t>
      </w:r>
    </w:p>
    <w:p w:rsidR="008B10DA" w:rsidRPr="00BD574A" w:rsidRDefault="008B10DA" w:rsidP="008B10DA">
      <w:pPr>
        <w:spacing w:after="120"/>
      </w:pPr>
      <w:r w:rsidRPr="00BD574A">
        <w:t>Amending laws are annotated in the legislation history and amendment history.</w:t>
      </w:r>
    </w:p>
    <w:p w:rsidR="008B10DA" w:rsidRPr="00BD574A" w:rsidRDefault="008B10DA" w:rsidP="008B10DA">
      <w:pPr>
        <w:spacing w:after="120"/>
      </w:pPr>
      <w:r w:rsidRPr="00BD574A">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8B10DA" w:rsidRPr="00BD574A" w:rsidRDefault="008B10DA" w:rsidP="008B10DA">
      <w:pPr>
        <w:spacing w:after="120"/>
      </w:pPr>
      <w:r w:rsidRPr="00BD574A">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8B10DA" w:rsidRPr="00BD574A" w:rsidRDefault="008B10DA" w:rsidP="008B10DA">
      <w:pPr>
        <w:rPr>
          <w:b/>
        </w:rPr>
      </w:pPr>
      <w:r w:rsidRPr="00BD574A">
        <w:rPr>
          <w:b/>
        </w:rPr>
        <w:t>Editorial changes</w:t>
      </w:r>
    </w:p>
    <w:p w:rsidR="008B10DA" w:rsidRPr="00BD574A" w:rsidRDefault="008B10DA" w:rsidP="008B10DA">
      <w:pPr>
        <w:spacing w:after="120"/>
      </w:pPr>
      <w:r w:rsidRPr="00BD574A">
        <w:t xml:space="preserve">The </w:t>
      </w:r>
      <w:r w:rsidRPr="00BD574A">
        <w:rPr>
          <w:i/>
        </w:rPr>
        <w:t>Legislation Act 2003</w:t>
      </w:r>
      <w:r w:rsidRPr="00BD574A">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8B10DA" w:rsidRPr="00BD574A" w:rsidRDefault="008B10DA" w:rsidP="008B10DA">
      <w:pPr>
        <w:spacing w:after="120"/>
      </w:pPr>
      <w:r w:rsidRPr="00BD574A">
        <w:t xml:space="preserve">If the compilation includes editorial changes, the endnotes include a brief outline of the changes in general terms. Full details of any changes can be obtained from the Office of Parliamentary Counsel. </w:t>
      </w:r>
    </w:p>
    <w:p w:rsidR="008B10DA" w:rsidRPr="00BD574A" w:rsidRDefault="008B10DA" w:rsidP="008B10DA">
      <w:pPr>
        <w:keepNext/>
      </w:pPr>
      <w:r w:rsidRPr="00BD574A">
        <w:rPr>
          <w:b/>
        </w:rPr>
        <w:t>Misdescribed amendments</w:t>
      </w:r>
    </w:p>
    <w:p w:rsidR="008B10DA" w:rsidRPr="00BD574A" w:rsidRDefault="008B10DA" w:rsidP="008B10DA">
      <w:pPr>
        <w:spacing w:after="120"/>
      </w:pPr>
      <w:r w:rsidRPr="00BD574A">
        <w:t xml:space="preserve">A misdescribed amendment is an amendment that does not accurately describe the amendment to be made. If, despite the misdescription, the amendment can </w:t>
      </w:r>
      <w:r w:rsidRPr="00BD574A">
        <w:lastRenderedPageBreak/>
        <w:t xml:space="preserve">be given effect as intended, the amendment is incorporated into the compiled law and the abbreviation “(md)” added to the details of the amendment included in the amendment history. </w:t>
      </w:r>
    </w:p>
    <w:p w:rsidR="00075DD4" w:rsidRPr="00BD574A" w:rsidRDefault="008B10DA" w:rsidP="008B10DA">
      <w:pPr>
        <w:spacing w:before="120"/>
      </w:pPr>
      <w:r w:rsidRPr="00BD574A">
        <w:t>If a misdescribed amendment cannot be given effect as intended, the abbreviation “(md not incorp)” is added to the details of the amendment included in the amendment history.</w:t>
      </w:r>
    </w:p>
    <w:p w:rsidR="008B10DA" w:rsidRPr="00BD574A" w:rsidRDefault="008B10DA" w:rsidP="008B10DA">
      <w:pPr>
        <w:pStyle w:val="ENotesHeading2"/>
        <w:pageBreakBefore/>
        <w:outlineLvl w:val="9"/>
      </w:pPr>
      <w:bookmarkStart w:id="75" w:name="_Toc487718163"/>
      <w:r w:rsidRPr="00BD574A">
        <w:lastRenderedPageBreak/>
        <w:t>Endnote 2—Abbreviation key</w:t>
      </w:r>
      <w:bookmarkEnd w:id="75"/>
    </w:p>
    <w:p w:rsidR="008B10DA" w:rsidRPr="00BD574A" w:rsidRDefault="008B10DA" w:rsidP="008B10DA">
      <w:pPr>
        <w:pStyle w:val="Tabletext"/>
      </w:pPr>
    </w:p>
    <w:tbl>
      <w:tblPr>
        <w:tblW w:w="7939" w:type="dxa"/>
        <w:tblInd w:w="108" w:type="dxa"/>
        <w:tblLayout w:type="fixed"/>
        <w:tblLook w:val="0000" w:firstRow="0" w:lastRow="0" w:firstColumn="0" w:lastColumn="0" w:noHBand="0" w:noVBand="0"/>
      </w:tblPr>
      <w:tblGrid>
        <w:gridCol w:w="4253"/>
        <w:gridCol w:w="3686"/>
      </w:tblGrid>
      <w:tr w:rsidR="008B10DA" w:rsidRPr="00BD574A" w:rsidTr="008B10DA">
        <w:tc>
          <w:tcPr>
            <w:tcW w:w="4253" w:type="dxa"/>
            <w:shd w:val="clear" w:color="auto" w:fill="auto"/>
          </w:tcPr>
          <w:p w:rsidR="008B10DA" w:rsidRPr="00BD574A" w:rsidRDefault="008B10DA" w:rsidP="008B10DA">
            <w:pPr>
              <w:spacing w:before="60"/>
              <w:ind w:left="34"/>
              <w:rPr>
                <w:sz w:val="20"/>
              </w:rPr>
            </w:pPr>
            <w:r w:rsidRPr="00BD574A">
              <w:rPr>
                <w:sz w:val="20"/>
              </w:rPr>
              <w:t>ad = added or inserted</w:t>
            </w:r>
          </w:p>
        </w:tc>
        <w:tc>
          <w:tcPr>
            <w:tcW w:w="3686" w:type="dxa"/>
            <w:shd w:val="clear" w:color="auto" w:fill="auto"/>
          </w:tcPr>
          <w:p w:rsidR="008B10DA" w:rsidRPr="00BD574A" w:rsidRDefault="008B10DA" w:rsidP="008B10DA">
            <w:pPr>
              <w:spacing w:before="60"/>
              <w:ind w:left="34"/>
              <w:rPr>
                <w:sz w:val="20"/>
              </w:rPr>
            </w:pPr>
            <w:r w:rsidRPr="00BD574A">
              <w:rPr>
                <w:sz w:val="20"/>
              </w:rPr>
              <w:t>o = order(s)</w:t>
            </w:r>
          </w:p>
        </w:tc>
      </w:tr>
      <w:tr w:rsidR="008B10DA" w:rsidRPr="00BD574A" w:rsidTr="008B10DA">
        <w:tc>
          <w:tcPr>
            <w:tcW w:w="4253" w:type="dxa"/>
            <w:shd w:val="clear" w:color="auto" w:fill="auto"/>
          </w:tcPr>
          <w:p w:rsidR="008B10DA" w:rsidRPr="00BD574A" w:rsidRDefault="008B10DA" w:rsidP="008B10DA">
            <w:pPr>
              <w:spacing w:before="60"/>
              <w:ind w:left="34"/>
              <w:rPr>
                <w:sz w:val="20"/>
              </w:rPr>
            </w:pPr>
            <w:r w:rsidRPr="00BD574A">
              <w:rPr>
                <w:sz w:val="20"/>
              </w:rPr>
              <w:t>am = amended</w:t>
            </w:r>
          </w:p>
        </w:tc>
        <w:tc>
          <w:tcPr>
            <w:tcW w:w="3686" w:type="dxa"/>
            <w:shd w:val="clear" w:color="auto" w:fill="auto"/>
          </w:tcPr>
          <w:p w:rsidR="008B10DA" w:rsidRPr="00BD574A" w:rsidRDefault="008B10DA" w:rsidP="008B10DA">
            <w:pPr>
              <w:spacing w:before="60"/>
              <w:ind w:left="34"/>
              <w:rPr>
                <w:sz w:val="20"/>
              </w:rPr>
            </w:pPr>
            <w:r w:rsidRPr="00BD574A">
              <w:rPr>
                <w:sz w:val="20"/>
              </w:rPr>
              <w:t>Ord = Ordinance</w:t>
            </w:r>
          </w:p>
        </w:tc>
      </w:tr>
      <w:tr w:rsidR="008B10DA" w:rsidRPr="00BD574A" w:rsidTr="008B10DA">
        <w:tc>
          <w:tcPr>
            <w:tcW w:w="4253" w:type="dxa"/>
            <w:shd w:val="clear" w:color="auto" w:fill="auto"/>
          </w:tcPr>
          <w:p w:rsidR="008B10DA" w:rsidRPr="00BD574A" w:rsidRDefault="008B10DA" w:rsidP="008B10DA">
            <w:pPr>
              <w:spacing w:before="60"/>
              <w:ind w:left="34"/>
              <w:rPr>
                <w:sz w:val="20"/>
              </w:rPr>
            </w:pPr>
            <w:r w:rsidRPr="00BD574A">
              <w:rPr>
                <w:sz w:val="20"/>
              </w:rPr>
              <w:t>amdt = amendment</w:t>
            </w:r>
          </w:p>
        </w:tc>
        <w:tc>
          <w:tcPr>
            <w:tcW w:w="3686" w:type="dxa"/>
            <w:shd w:val="clear" w:color="auto" w:fill="auto"/>
          </w:tcPr>
          <w:p w:rsidR="008B10DA" w:rsidRPr="00BD574A" w:rsidRDefault="008B10DA" w:rsidP="008B10DA">
            <w:pPr>
              <w:spacing w:before="60"/>
              <w:ind w:left="34"/>
              <w:rPr>
                <w:sz w:val="20"/>
              </w:rPr>
            </w:pPr>
            <w:r w:rsidRPr="00BD574A">
              <w:rPr>
                <w:sz w:val="20"/>
              </w:rPr>
              <w:t>orig = original</w:t>
            </w:r>
          </w:p>
        </w:tc>
      </w:tr>
      <w:tr w:rsidR="008B10DA" w:rsidRPr="00BD574A" w:rsidTr="008B10DA">
        <w:tc>
          <w:tcPr>
            <w:tcW w:w="4253" w:type="dxa"/>
            <w:shd w:val="clear" w:color="auto" w:fill="auto"/>
          </w:tcPr>
          <w:p w:rsidR="008B10DA" w:rsidRPr="00BD574A" w:rsidRDefault="008B10DA" w:rsidP="008B10DA">
            <w:pPr>
              <w:spacing w:before="60"/>
              <w:ind w:left="34"/>
              <w:rPr>
                <w:sz w:val="20"/>
              </w:rPr>
            </w:pPr>
            <w:r w:rsidRPr="00BD574A">
              <w:rPr>
                <w:sz w:val="20"/>
              </w:rPr>
              <w:t>c = clause(s)</w:t>
            </w:r>
          </w:p>
        </w:tc>
        <w:tc>
          <w:tcPr>
            <w:tcW w:w="3686" w:type="dxa"/>
            <w:shd w:val="clear" w:color="auto" w:fill="auto"/>
          </w:tcPr>
          <w:p w:rsidR="008B10DA" w:rsidRPr="00BD574A" w:rsidRDefault="008B10DA" w:rsidP="008B10DA">
            <w:pPr>
              <w:spacing w:before="60"/>
              <w:ind w:left="34"/>
              <w:rPr>
                <w:sz w:val="20"/>
              </w:rPr>
            </w:pPr>
            <w:r w:rsidRPr="00BD574A">
              <w:rPr>
                <w:sz w:val="20"/>
              </w:rPr>
              <w:t>par = paragraph(s)/subparagraph(s)</w:t>
            </w:r>
          </w:p>
        </w:tc>
      </w:tr>
      <w:tr w:rsidR="008B10DA" w:rsidRPr="00BD574A" w:rsidTr="008B10DA">
        <w:tc>
          <w:tcPr>
            <w:tcW w:w="4253" w:type="dxa"/>
            <w:shd w:val="clear" w:color="auto" w:fill="auto"/>
          </w:tcPr>
          <w:p w:rsidR="008B10DA" w:rsidRPr="00BD574A" w:rsidRDefault="008B10DA" w:rsidP="008B10DA">
            <w:pPr>
              <w:spacing w:before="60"/>
              <w:ind w:left="34"/>
              <w:rPr>
                <w:sz w:val="20"/>
              </w:rPr>
            </w:pPr>
            <w:r w:rsidRPr="00BD574A">
              <w:rPr>
                <w:sz w:val="20"/>
              </w:rPr>
              <w:t>C[x] = Compilation No. x</w:t>
            </w:r>
          </w:p>
        </w:tc>
        <w:tc>
          <w:tcPr>
            <w:tcW w:w="3686" w:type="dxa"/>
            <w:shd w:val="clear" w:color="auto" w:fill="auto"/>
          </w:tcPr>
          <w:p w:rsidR="008B10DA" w:rsidRPr="00BD574A" w:rsidRDefault="008B10DA" w:rsidP="008B10DA">
            <w:pPr>
              <w:ind w:left="34"/>
              <w:rPr>
                <w:sz w:val="20"/>
              </w:rPr>
            </w:pPr>
            <w:r w:rsidRPr="00BD574A">
              <w:rPr>
                <w:sz w:val="20"/>
              </w:rPr>
              <w:t xml:space="preserve">    /sub</w:t>
            </w:r>
            <w:r w:rsidR="00BD574A">
              <w:rPr>
                <w:sz w:val="20"/>
              </w:rPr>
              <w:noBreakHyphen/>
            </w:r>
            <w:r w:rsidRPr="00BD574A">
              <w:rPr>
                <w:sz w:val="20"/>
              </w:rPr>
              <w:t>subparagraph(s)</w:t>
            </w:r>
          </w:p>
        </w:tc>
      </w:tr>
      <w:tr w:rsidR="008B10DA" w:rsidRPr="00BD574A" w:rsidTr="008B10DA">
        <w:tc>
          <w:tcPr>
            <w:tcW w:w="4253" w:type="dxa"/>
            <w:shd w:val="clear" w:color="auto" w:fill="auto"/>
          </w:tcPr>
          <w:p w:rsidR="008B10DA" w:rsidRPr="00BD574A" w:rsidRDefault="008B10DA" w:rsidP="008B10DA">
            <w:pPr>
              <w:spacing w:before="60"/>
              <w:ind w:left="34"/>
              <w:rPr>
                <w:sz w:val="20"/>
              </w:rPr>
            </w:pPr>
            <w:r w:rsidRPr="00BD574A">
              <w:rPr>
                <w:sz w:val="20"/>
              </w:rPr>
              <w:t>Ch = Chapter(s)</w:t>
            </w:r>
          </w:p>
        </w:tc>
        <w:tc>
          <w:tcPr>
            <w:tcW w:w="3686" w:type="dxa"/>
            <w:shd w:val="clear" w:color="auto" w:fill="auto"/>
          </w:tcPr>
          <w:p w:rsidR="008B10DA" w:rsidRPr="00BD574A" w:rsidRDefault="008B10DA" w:rsidP="008B10DA">
            <w:pPr>
              <w:spacing w:before="60"/>
              <w:ind w:left="34"/>
              <w:rPr>
                <w:sz w:val="20"/>
              </w:rPr>
            </w:pPr>
            <w:r w:rsidRPr="00BD574A">
              <w:rPr>
                <w:sz w:val="20"/>
              </w:rPr>
              <w:t>pres = present</w:t>
            </w:r>
          </w:p>
        </w:tc>
      </w:tr>
      <w:tr w:rsidR="008B10DA" w:rsidRPr="00BD574A" w:rsidTr="008B10DA">
        <w:tc>
          <w:tcPr>
            <w:tcW w:w="4253" w:type="dxa"/>
            <w:shd w:val="clear" w:color="auto" w:fill="auto"/>
          </w:tcPr>
          <w:p w:rsidR="008B10DA" w:rsidRPr="00BD574A" w:rsidRDefault="008B10DA" w:rsidP="008B10DA">
            <w:pPr>
              <w:spacing w:before="60"/>
              <w:ind w:left="34"/>
              <w:rPr>
                <w:sz w:val="20"/>
              </w:rPr>
            </w:pPr>
            <w:r w:rsidRPr="00BD574A">
              <w:rPr>
                <w:sz w:val="20"/>
              </w:rPr>
              <w:t>def = definition(s)</w:t>
            </w:r>
          </w:p>
        </w:tc>
        <w:tc>
          <w:tcPr>
            <w:tcW w:w="3686" w:type="dxa"/>
            <w:shd w:val="clear" w:color="auto" w:fill="auto"/>
          </w:tcPr>
          <w:p w:rsidR="008B10DA" w:rsidRPr="00BD574A" w:rsidRDefault="008B10DA" w:rsidP="008B10DA">
            <w:pPr>
              <w:spacing w:before="60"/>
              <w:ind w:left="34"/>
              <w:rPr>
                <w:sz w:val="20"/>
              </w:rPr>
            </w:pPr>
            <w:r w:rsidRPr="00BD574A">
              <w:rPr>
                <w:sz w:val="20"/>
              </w:rPr>
              <w:t>prev = previous</w:t>
            </w:r>
          </w:p>
        </w:tc>
      </w:tr>
      <w:tr w:rsidR="008B10DA" w:rsidRPr="00BD574A" w:rsidTr="008B10DA">
        <w:tc>
          <w:tcPr>
            <w:tcW w:w="4253" w:type="dxa"/>
            <w:shd w:val="clear" w:color="auto" w:fill="auto"/>
          </w:tcPr>
          <w:p w:rsidR="008B10DA" w:rsidRPr="00BD574A" w:rsidRDefault="008B10DA" w:rsidP="008B10DA">
            <w:pPr>
              <w:spacing w:before="60"/>
              <w:ind w:left="34"/>
              <w:rPr>
                <w:sz w:val="20"/>
              </w:rPr>
            </w:pPr>
            <w:r w:rsidRPr="00BD574A">
              <w:rPr>
                <w:sz w:val="20"/>
              </w:rPr>
              <w:t>Dict = Dictionary</w:t>
            </w:r>
          </w:p>
        </w:tc>
        <w:tc>
          <w:tcPr>
            <w:tcW w:w="3686" w:type="dxa"/>
            <w:shd w:val="clear" w:color="auto" w:fill="auto"/>
          </w:tcPr>
          <w:p w:rsidR="008B10DA" w:rsidRPr="00BD574A" w:rsidRDefault="008B10DA" w:rsidP="008B10DA">
            <w:pPr>
              <w:spacing w:before="60"/>
              <w:ind w:left="34"/>
              <w:rPr>
                <w:sz w:val="20"/>
              </w:rPr>
            </w:pPr>
            <w:r w:rsidRPr="00BD574A">
              <w:rPr>
                <w:sz w:val="20"/>
              </w:rPr>
              <w:t>(prev…) = previously</w:t>
            </w:r>
          </w:p>
        </w:tc>
      </w:tr>
      <w:tr w:rsidR="008B10DA" w:rsidRPr="00BD574A" w:rsidTr="008B10DA">
        <w:tc>
          <w:tcPr>
            <w:tcW w:w="4253" w:type="dxa"/>
            <w:shd w:val="clear" w:color="auto" w:fill="auto"/>
          </w:tcPr>
          <w:p w:rsidR="008B10DA" w:rsidRPr="00BD574A" w:rsidRDefault="008B10DA" w:rsidP="008B10DA">
            <w:pPr>
              <w:spacing w:before="60"/>
              <w:ind w:left="34"/>
              <w:rPr>
                <w:sz w:val="20"/>
              </w:rPr>
            </w:pPr>
            <w:r w:rsidRPr="00BD574A">
              <w:rPr>
                <w:sz w:val="20"/>
              </w:rPr>
              <w:t>disallowed = disallowed by Parliament</w:t>
            </w:r>
          </w:p>
        </w:tc>
        <w:tc>
          <w:tcPr>
            <w:tcW w:w="3686" w:type="dxa"/>
            <w:shd w:val="clear" w:color="auto" w:fill="auto"/>
          </w:tcPr>
          <w:p w:rsidR="008B10DA" w:rsidRPr="00BD574A" w:rsidRDefault="008B10DA" w:rsidP="008B10DA">
            <w:pPr>
              <w:spacing w:before="60"/>
              <w:ind w:left="34"/>
              <w:rPr>
                <w:sz w:val="20"/>
              </w:rPr>
            </w:pPr>
            <w:r w:rsidRPr="00BD574A">
              <w:rPr>
                <w:sz w:val="20"/>
              </w:rPr>
              <w:t>Pt = Part(s)</w:t>
            </w:r>
          </w:p>
        </w:tc>
      </w:tr>
      <w:tr w:rsidR="008B10DA" w:rsidRPr="00BD574A" w:rsidTr="008B10DA">
        <w:tc>
          <w:tcPr>
            <w:tcW w:w="4253" w:type="dxa"/>
            <w:shd w:val="clear" w:color="auto" w:fill="auto"/>
          </w:tcPr>
          <w:p w:rsidR="008B10DA" w:rsidRPr="00BD574A" w:rsidRDefault="008B10DA" w:rsidP="008B10DA">
            <w:pPr>
              <w:spacing w:before="60"/>
              <w:ind w:left="34"/>
              <w:rPr>
                <w:sz w:val="20"/>
              </w:rPr>
            </w:pPr>
            <w:r w:rsidRPr="00BD574A">
              <w:rPr>
                <w:sz w:val="20"/>
              </w:rPr>
              <w:t>Div = Division(s)</w:t>
            </w:r>
          </w:p>
        </w:tc>
        <w:tc>
          <w:tcPr>
            <w:tcW w:w="3686" w:type="dxa"/>
            <w:shd w:val="clear" w:color="auto" w:fill="auto"/>
          </w:tcPr>
          <w:p w:rsidR="008B10DA" w:rsidRPr="00BD574A" w:rsidRDefault="008B10DA" w:rsidP="008B10DA">
            <w:pPr>
              <w:spacing w:before="60"/>
              <w:ind w:left="34"/>
              <w:rPr>
                <w:sz w:val="20"/>
              </w:rPr>
            </w:pPr>
            <w:r w:rsidRPr="00BD574A">
              <w:rPr>
                <w:sz w:val="20"/>
              </w:rPr>
              <w:t>r = regulation(s)/rule(s)</w:t>
            </w:r>
          </w:p>
        </w:tc>
      </w:tr>
      <w:tr w:rsidR="008B10DA" w:rsidRPr="00BD574A" w:rsidTr="008B10DA">
        <w:tc>
          <w:tcPr>
            <w:tcW w:w="4253" w:type="dxa"/>
            <w:shd w:val="clear" w:color="auto" w:fill="auto"/>
          </w:tcPr>
          <w:p w:rsidR="008B10DA" w:rsidRPr="00BD574A" w:rsidRDefault="008B10DA" w:rsidP="008B10DA">
            <w:pPr>
              <w:spacing w:before="60"/>
              <w:ind w:left="34"/>
              <w:rPr>
                <w:sz w:val="20"/>
              </w:rPr>
            </w:pPr>
            <w:r w:rsidRPr="00BD574A">
              <w:rPr>
                <w:sz w:val="20"/>
              </w:rPr>
              <w:t>ed = editorial change</w:t>
            </w:r>
          </w:p>
        </w:tc>
        <w:tc>
          <w:tcPr>
            <w:tcW w:w="3686" w:type="dxa"/>
            <w:shd w:val="clear" w:color="auto" w:fill="auto"/>
          </w:tcPr>
          <w:p w:rsidR="008B10DA" w:rsidRPr="00BD574A" w:rsidRDefault="008B10DA" w:rsidP="008B10DA">
            <w:pPr>
              <w:spacing w:before="60"/>
              <w:ind w:left="34"/>
              <w:rPr>
                <w:sz w:val="20"/>
              </w:rPr>
            </w:pPr>
            <w:r w:rsidRPr="00BD574A">
              <w:rPr>
                <w:sz w:val="20"/>
              </w:rPr>
              <w:t>reloc = relocated</w:t>
            </w:r>
          </w:p>
        </w:tc>
      </w:tr>
      <w:tr w:rsidR="008B10DA" w:rsidRPr="00BD574A" w:rsidTr="008B10DA">
        <w:tc>
          <w:tcPr>
            <w:tcW w:w="4253" w:type="dxa"/>
            <w:shd w:val="clear" w:color="auto" w:fill="auto"/>
          </w:tcPr>
          <w:p w:rsidR="008B10DA" w:rsidRPr="00BD574A" w:rsidRDefault="008B10DA" w:rsidP="008B10DA">
            <w:pPr>
              <w:spacing w:before="60"/>
              <w:ind w:left="34"/>
              <w:rPr>
                <w:sz w:val="20"/>
              </w:rPr>
            </w:pPr>
            <w:r w:rsidRPr="00BD574A">
              <w:rPr>
                <w:sz w:val="20"/>
              </w:rPr>
              <w:t>exp = expires/expired or ceases/ceased to have</w:t>
            </w:r>
          </w:p>
        </w:tc>
        <w:tc>
          <w:tcPr>
            <w:tcW w:w="3686" w:type="dxa"/>
            <w:shd w:val="clear" w:color="auto" w:fill="auto"/>
          </w:tcPr>
          <w:p w:rsidR="008B10DA" w:rsidRPr="00BD574A" w:rsidRDefault="008B10DA" w:rsidP="008B10DA">
            <w:pPr>
              <w:spacing w:before="60"/>
              <w:ind w:left="34"/>
              <w:rPr>
                <w:sz w:val="20"/>
              </w:rPr>
            </w:pPr>
            <w:r w:rsidRPr="00BD574A">
              <w:rPr>
                <w:sz w:val="20"/>
              </w:rPr>
              <w:t>renum = renumbered</w:t>
            </w:r>
          </w:p>
        </w:tc>
      </w:tr>
      <w:tr w:rsidR="008B10DA" w:rsidRPr="00BD574A" w:rsidTr="008B10DA">
        <w:tc>
          <w:tcPr>
            <w:tcW w:w="4253" w:type="dxa"/>
            <w:shd w:val="clear" w:color="auto" w:fill="auto"/>
          </w:tcPr>
          <w:p w:rsidR="008B10DA" w:rsidRPr="00BD574A" w:rsidRDefault="008B10DA" w:rsidP="008B10DA">
            <w:pPr>
              <w:ind w:left="34"/>
              <w:rPr>
                <w:sz w:val="20"/>
              </w:rPr>
            </w:pPr>
            <w:r w:rsidRPr="00BD574A">
              <w:rPr>
                <w:sz w:val="20"/>
              </w:rPr>
              <w:t xml:space="preserve">    effect</w:t>
            </w:r>
          </w:p>
        </w:tc>
        <w:tc>
          <w:tcPr>
            <w:tcW w:w="3686" w:type="dxa"/>
            <w:shd w:val="clear" w:color="auto" w:fill="auto"/>
          </w:tcPr>
          <w:p w:rsidR="008B10DA" w:rsidRPr="00BD574A" w:rsidRDefault="008B10DA" w:rsidP="008B10DA">
            <w:pPr>
              <w:spacing w:before="60"/>
              <w:ind w:left="34"/>
              <w:rPr>
                <w:sz w:val="20"/>
              </w:rPr>
            </w:pPr>
            <w:r w:rsidRPr="00BD574A">
              <w:rPr>
                <w:sz w:val="20"/>
              </w:rPr>
              <w:t>rep = repealed</w:t>
            </w:r>
          </w:p>
        </w:tc>
      </w:tr>
      <w:tr w:rsidR="008B10DA" w:rsidRPr="00BD574A" w:rsidTr="008B10DA">
        <w:tc>
          <w:tcPr>
            <w:tcW w:w="4253" w:type="dxa"/>
            <w:shd w:val="clear" w:color="auto" w:fill="auto"/>
          </w:tcPr>
          <w:p w:rsidR="008B10DA" w:rsidRPr="00BD574A" w:rsidRDefault="008B10DA" w:rsidP="008B10DA">
            <w:pPr>
              <w:spacing w:before="60"/>
              <w:ind w:left="34"/>
              <w:rPr>
                <w:sz w:val="20"/>
              </w:rPr>
            </w:pPr>
            <w:r w:rsidRPr="00BD574A">
              <w:rPr>
                <w:sz w:val="20"/>
              </w:rPr>
              <w:t>F = Federal Register of Legislation</w:t>
            </w:r>
          </w:p>
        </w:tc>
        <w:tc>
          <w:tcPr>
            <w:tcW w:w="3686" w:type="dxa"/>
            <w:shd w:val="clear" w:color="auto" w:fill="auto"/>
          </w:tcPr>
          <w:p w:rsidR="008B10DA" w:rsidRPr="00BD574A" w:rsidRDefault="008B10DA" w:rsidP="008B10DA">
            <w:pPr>
              <w:spacing w:before="60"/>
              <w:ind w:left="34"/>
              <w:rPr>
                <w:sz w:val="20"/>
              </w:rPr>
            </w:pPr>
            <w:r w:rsidRPr="00BD574A">
              <w:rPr>
                <w:sz w:val="20"/>
              </w:rPr>
              <w:t>rs = repealed and substituted</w:t>
            </w:r>
          </w:p>
        </w:tc>
      </w:tr>
      <w:tr w:rsidR="008B10DA" w:rsidRPr="00BD574A" w:rsidTr="008B10DA">
        <w:tc>
          <w:tcPr>
            <w:tcW w:w="4253" w:type="dxa"/>
            <w:shd w:val="clear" w:color="auto" w:fill="auto"/>
          </w:tcPr>
          <w:p w:rsidR="008B10DA" w:rsidRPr="00BD574A" w:rsidRDefault="008B10DA" w:rsidP="008B10DA">
            <w:pPr>
              <w:spacing w:before="60"/>
              <w:ind w:left="34"/>
              <w:rPr>
                <w:sz w:val="20"/>
              </w:rPr>
            </w:pPr>
            <w:r w:rsidRPr="00BD574A">
              <w:rPr>
                <w:sz w:val="20"/>
              </w:rPr>
              <w:t>gaz = gazette</w:t>
            </w:r>
          </w:p>
        </w:tc>
        <w:tc>
          <w:tcPr>
            <w:tcW w:w="3686" w:type="dxa"/>
            <w:shd w:val="clear" w:color="auto" w:fill="auto"/>
          </w:tcPr>
          <w:p w:rsidR="008B10DA" w:rsidRPr="00BD574A" w:rsidRDefault="008B10DA" w:rsidP="008B10DA">
            <w:pPr>
              <w:spacing w:before="60"/>
              <w:ind w:left="34"/>
              <w:rPr>
                <w:sz w:val="20"/>
              </w:rPr>
            </w:pPr>
            <w:r w:rsidRPr="00BD574A">
              <w:rPr>
                <w:sz w:val="20"/>
              </w:rPr>
              <w:t>s = section(s)/subsection(s)</w:t>
            </w:r>
          </w:p>
        </w:tc>
      </w:tr>
      <w:tr w:rsidR="008B10DA" w:rsidRPr="00BD574A" w:rsidTr="008B10DA">
        <w:tc>
          <w:tcPr>
            <w:tcW w:w="4253" w:type="dxa"/>
            <w:shd w:val="clear" w:color="auto" w:fill="auto"/>
          </w:tcPr>
          <w:p w:rsidR="008B10DA" w:rsidRPr="00BD574A" w:rsidRDefault="008B10DA" w:rsidP="008B10DA">
            <w:pPr>
              <w:spacing w:before="60"/>
              <w:ind w:left="34"/>
              <w:rPr>
                <w:sz w:val="20"/>
              </w:rPr>
            </w:pPr>
            <w:r w:rsidRPr="00BD574A">
              <w:rPr>
                <w:sz w:val="20"/>
              </w:rPr>
              <w:t xml:space="preserve">LA = </w:t>
            </w:r>
            <w:r w:rsidRPr="00BD574A">
              <w:rPr>
                <w:i/>
                <w:sz w:val="20"/>
              </w:rPr>
              <w:t>Legislation Act 2003</w:t>
            </w:r>
          </w:p>
        </w:tc>
        <w:tc>
          <w:tcPr>
            <w:tcW w:w="3686" w:type="dxa"/>
            <w:shd w:val="clear" w:color="auto" w:fill="auto"/>
          </w:tcPr>
          <w:p w:rsidR="008B10DA" w:rsidRPr="00BD574A" w:rsidRDefault="008B10DA" w:rsidP="008B10DA">
            <w:pPr>
              <w:spacing w:before="60"/>
              <w:ind w:left="34"/>
              <w:rPr>
                <w:sz w:val="20"/>
              </w:rPr>
            </w:pPr>
            <w:r w:rsidRPr="00BD574A">
              <w:rPr>
                <w:sz w:val="20"/>
              </w:rPr>
              <w:t>Sch = Schedule(s)</w:t>
            </w:r>
          </w:p>
        </w:tc>
      </w:tr>
      <w:tr w:rsidR="008B10DA" w:rsidRPr="00BD574A" w:rsidTr="008B10DA">
        <w:tc>
          <w:tcPr>
            <w:tcW w:w="4253" w:type="dxa"/>
            <w:shd w:val="clear" w:color="auto" w:fill="auto"/>
          </w:tcPr>
          <w:p w:rsidR="008B10DA" w:rsidRPr="00BD574A" w:rsidRDefault="008B10DA" w:rsidP="008B10DA">
            <w:pPr>
              <w:spacing w:before="60"/>
              <w:ind w:left="34"/>
              <w:rPr>
                <w:sz w:val="20"/>
              </w:rPr>
            </w:pPr>
            <w:r w:rsidRPr="00BD574A">
              <w:rPr>
                <w:sz w:val="20"/>
              </w:rPr>
              <w:t xml:space="preserve">LIA = </w:t>
            </w:r>
            <w:r w:rsidRPr="00BD574A">
              <w:rPr>
                <w:i/>
                <w:sz w:val="20"/>
              </w:rPr>
              <w:t>Legislative Instruments Act 2003</w:t>
            </w:r>
          </w:p>
        </w:tc>
        <w:tc>
          <w:tcPr>
            <w:tcW w:w="3686" w:type="dxa"/>
            <w:shd w:val="clear" w:color="auto" w:fill="auto"/>
          </w:tcPr>
          <w:p w:rsidR="008B10DA" w:rsidRPr="00BD574A" w:rsidRDefault="008B10DA" w:rsidP="008B10DA">
            <w:pPr>
              <w:spacing w:before="60"/>
              <w:ind w:left="34"/>
              <w:rPr>
                <w:sz w:val="20"/>
              </w:rPr>
            </w:pPr>
            <w:r w:rsidRPr="00BD574A">
              <w:rPr>
                <w:sz w:val="20"/>
              </w:rPr>
              <w:t>Sdiv = Subdivision(s)</w:t>
            </w:r>
          </w:p>
        </w:tc>
      </w:tr>
      <w:tr w:rsidR="008B10DA" w:rsidRPr="00BD574A" w:rsidTr="008B10DA">
        <w:tc>
          <w:tcPr>
            <w:tcW w:w="4253" w:type="dxa"/>
            <w:shd w:val="clear" w:color="auto" w:fill="auto"/>
          </w:tcPr>
          <w:p w:rsidR="008B10DA" w:rsidRPr="00BD574A" w:rsidRDefault="008B10DA" w:rsidP="008B10DA">
            <w:pPr>
              <w:spacing w:before="60"/>
              <w:ind w:left="34"/>
              <w:rPr>
                <w:sz w:val="20"/>
              </w:rPr>
            </w:pPr>
            <w:r w:rsidRPr="00BD574A">
              <w:rPr>
                <w:sz w:val="20"/>
              </w:rPr>
              <w:t>(md) = misdescribed amendment can be given</w:t>
            </w:r>
          </w:p>
        </w:tc>
        <w:tc>
          <w:tcPr>
            <w:tcW w:w="3686" w:type="dxa"/>
            <w:shd w:val="clear" w:color="auto" w:fill="auto"/>
          </w:tcPr>
          <w:p w:rsidR="008B10DA" w:rsidRPr="00BD574A" w:rsidRDefault="008B10DA" w:rsidP="008B10DA">
            <w:pPr>
              <w:spacing w:before="60"/>
              <w:ind w:left="34"/>
              <w:rPr>
                <w:sz w:val="20"/>
              </w:rPr>
            </w:pPr>
            <w:r w:rsidRPr="00BD574A">
              <w:rPr>
                <w:sz w:val="20"/>
              </w:rPr>
              <w:t>SLI = Select Legislative Instrument</w:t>
            </w:r>
          </w:p>
        </w:tc>
      </w:tr>
      <w:tr w:rsidR="008B10DA" w:rsidRPr="00BD574A" w:rsidTr="008B10DA">
        <w:tc>
          <w:tcPr>
            <w:tcW w:w="4253" w:type="dxa"/>
            <w:shd w:val="clear" w:color="auto" w:fill="auto"/>
          </w:tcPr>
          <w:p w:rsidR="008B10DA" w:rsidRPr="00BD574A" w:rsidRDefault="008B10DA" w:rsidP="008B10DA">
            <w:pPr>
              <w:ind w:left="34"/>
              <w:rPr>
                <w:sz w:val="20"/>
              </w:rPr>
            </w:pPr>
            <w:r w:rsidRPr="00BD574A">
              <w:rPr>
                <w:sz w:val="20"/>
              </w:rPr>
              <w:t xml:space="preserve">    effect</w:t>
            </w:r>
          </w:p>
        </w:tc>
        <w:tc>
          <w:tcPr>
            <w:tcW w:w="3686" w:type="dxa"/>
            <w:shd w:val="clear" w:color="auto" w:fill="auto"/>
          </w:tcPr>
          <w:p w:rsidR="008B10DA" w:rsidRPr="00BD574A" w:rsidRDefault="008B10DA" w:rsidP="008B10DA">
            <w:pPr>
              <w:spacing w:before="60"/>
              <w:ind w:left="34"/>
              <w:rPr>
                <w:sz w:val="20"/>
              </w:rPr>
            </w:pPr>
            <w:r w:rsidRPr="00BD574A">
              <w:rPr>
                <w:sz w:val="20"/>
              </w:rPr>
              <w:t>SR = Statutory Rules</w:t>
            </w:r>
          </w:p>
        </w:tc>
      </w:tr>
      <w:tr w:rsidR="008B10DA" w:rsidRPr="00BD574A" w:rsidTr="008B10DA">
        <w:tc>
          <w:tcPr>
            <w:tcW w:w="4253" w:type="dxa"/>
            <w:shd w:val="clear" w:color="auto" w:fill="auto"/>
          </w:tcPr>
          <w:p w:rsidR="008B10DA" w:rsidRPr="00BD574A" w:rsidRDefault="008B10DA" w:rsidP="008B10DA">
            <w:pPr>
              <w:spacing w:before="60"/>
              <w:ind w:left="34"/>
              <w:rPr>
                <w:sz w:val="20"/>
              </w:rPr>
            </w:pPr>
            <w:r w:rsidRPr="00BD574A">
              <w:rPr>
                <w:sz w:val="20"/>
              </w:rPr>
              <w:t>(md not incorp) = misdescribed amendment</w:t>
            </w:r>
          </w:p>
        </w:tc>
        <w:tc>
          <w:tcPr>
            <w:tcW w:w="3686" w:type="dxa"/>
            <w:shd w:val="clear" w:color="auto" w:fill="auto"/>
          </w:tcPr>
          <w:p w:rsidR="008B10DA" w:rsidRPr="00BD574A" w:rsidRDefault="008B10DA" w:rsidP="008B10DA">
            <w:pPr>
              <w:spacing w:before="60"/>
              <w:ind w:left="34"/>
              <w:rPr>
                <w:sz w:val="20"/>
              </w:rPr>
            </w:pPr>
            <w:r w:rsidRPr="00BD574A">
              <w:rPr>
                <w:sz w:val="20"/>
              </w:rPr>
              <w:t>Sub</w:t>
            </w:r>
            <w:r w:rsidR="00BD574A">
              <w:rPr>
                <w:sz w:val="20"/>
              </w:rPr>
              <w:noBreakHyphen/>
            </w:r>
            <w:r w:rsidRPr="00BD574A">
              <w:rPr>
                <w:sz w:val="20"/>
              </w:rPr>
              <w:t>Ch = Sub</w:t>
            </w:r>
            <w:r w:rsidR="00BD574A">
              <w:rPr>
                <w:sz w:val="20"/>
              </w:rPr>
              <w:noBreakHyphen/>
            </w:r>
            <w:r w:rsidRPr="00BD574A">
              <w:rPr>
                <w:sz w:val="20"/>
              </w:rPr>
              <w:t>Chapter(s)</w:t>
            </w:r>
          </w:p>
        </w:tc>
      </w:tr>
      <w:tr w:rsidR="008B10DA" w:rsidRPr="00BD574A" w:rsidTr="008B10DA">
        <w:tc>
          <w:tcPr>
            <w:tcW w:w="4253" w:type="dxa"/>
            <w:shd w:val="clear" w:color="auto" w:fill="auto"/>
          </w:tcPr>
          <w:p w:rsidR="008B10DA" w:rsidRPr="00BD574A" w:rsidRDefault="008B10DA" w:rsidP="008B10DA">
            <w:pPr>
              <w:ind w:left="34"/>
              <w:rPr>
                <w:sz w:val="20"/>
              </w:rPr>
            </w:pPr>
            <w:r w:rsidRPr="00BD574A">
              <w:rPr>
                <w:sz w:val="20"/>
              </w:rPr>
              <w:t xml:space="preserve">    cannot be given effect</w:t>
            </w:r>
          </w:p>
        </w:tc>
        <w:tc>
          <w:tcPr>
            <w:tcW w:w="3686" w:type="dxa"/>
            <w:shd w:val="clear" w:color="auto" w:fill="auto"/>
          </w:tcPr>
          <w:p w:rsidR="008B10DA" w:rsidRPr="00BD574A" w:rsidRDefault="008B10DA" w:rsidP="008B10DA">
            <w:pPr>
              <w:spacing w:before="60"/>
              <w:ind w:left="34"/>
              <w:rPr>
                <w:sz w:val="20"/>
              </w:rPr>
            </w:pPr>
            <w:r w:rsidRPr="00BD574A">
              <w:rPr>
                <w:sz w:val="20"/>
              </w:rPr>
              <w:t>SubPt = Subpart(s)</w:t>
            </w:r>
          </w:p>
        </w:tc>
      </w:tr>
      <w:tr w:rsidR="008B10DA" w:rsidRPr="00BD574A" w:rsidTr="008B10DA">
        <w:tc>
          <w:tcPr>
            <w:tcW w:w="4253" w:type="dxa"/>
            <w:shd w:val="clear" w:color="auto" w:fill="auto"/>
          </w:tcPr>
          <w:p w:rsidR="008B10DA" w:rsidRPr="00BD574A" w:rsidRDefault="008B10DA" w:rsidP="008B10DA">
            <w:pPr>
              <w:spacing w:before="60"/>
              <w:ind w:left="34"/>
              <w:rPr>
                <w:sz w:val="20"/>
              </w:rPr>
            </w:pPr>
            <w:r w:rsidRPr="00BD574A">
              <w:rPr>
                <w:sz w:val="20"/>
              </w:rPr>
              <w:t>mod = modified/modification</w:t>
            </w:r>
          </w:p>
        </w:tc>
        <w:tc>
          <w:tcPr>
            <w:tcW w:w="3686" w:type="dxa"/>
            <w:shd w:val="clear" w:color="auto" w:fill="auto"/>
          </w:tcPr>
          <w:p w:rsidR="008B10DA" w:rsidRPr="00BD574A" w:rsidRDefault="008B10DA" w:rsidP="008B10DA">
            <w:pPr>
              <w:spacing w:before="60"/>
              <w:ind w:left="34"/>
              <w:rPr>
                <w:sz w:val="20"/>
              </w:rPr>
            </w:pPr>
            <w:r w:rsidRPr="00BD574A">
              <w:rPr>
                <w:sz w:val="20"/>
                <w:u w:val="single"/>
              </w:rPr>
              <w:t>underlining</w:t>
            </w:r>
            <w:r w:rsidRPr="00BD574A">
              <w:rPr>
                <w:sz w:val="20"/>
              </w:rPr>
              <w:t xml:space="preserve"> = whole or part not</w:t>
            </w:r>
          </w:p>
        </w:tc>
      </w:tr>
      <w:tr w:rsidR="008B10DA" w:rsidRPr="00BD574A" w:rsidTr="008B10DA">
        <w:tc>
          <w:tcPr>
            <w:tcW w:w="4253" w:type="dxa"/>
            <w:shd w:val="clear" w:color="auto" w:fill="auto"/>
          </w:tcPr>
          <w:p w:rsidR="008B10DA" w:rsidRPr="00BD574A" w:rsidRDefault="008B10DA" w:rsidP="008B10DA">
            <w:pPr>
              <w:spacing w:before="60"/>
              <w:ind w:left="34"/>
              <w:rPr>
                <w:sz w:val="20"/>
              </w:rPr>
            </w:pPr>
            <w:r w:rsidRPr="00BD574A">
              <w:rPr>
                <w:sz w:val="20"/>
              </w:rPr>
              <w:t>No. = Number(s)</w:t>
            </w:r>
          </w:p>
        </w:tc>
        <w:tc>
          <w:tcPr>
            <w:tcW w:w="3686" w:type="dxa"/>
            <w:shd w:val="clear" w:color="auto" w:fill="auto"/>
          </w:tcPr>
          <w:p w:rsidR="008B10DA" w:rsidRPr="00BD574A" w:rsidRDefault="008B10DA" w:rsidP="008B10DA">
            <w:pPr>
              <w:ind w:left="34"/>
              <w:rPr>
                <w:sz w:val="20"/>
              </w:rPr>
            </w:pPr>
            <w:r w:rsidRPr="00BD574A">
              <w:rPr>
                <w:sz w:val="20"/>
              </w:rPr>
              <w:t xml:space="preserve">    commenced or to be commenced</w:t>
            </w:r>
          </w:p>
        </w:tc>
      </w:tr>
    </w:tbl>
    <w:p w:rsidR="008B10DA" w:rsidRPr="00BD574A" w:rsidRDefault="008B10DA" w:rsidP="008B10DA">
      <w:pPr>
        <w:pStyle w:val="Tabletext"/>
      </w:pPr>
    </w:p>
    <w:p w:rsidR="00E32347" w:rsidRPr="00BD574A" w:rsidRDefault="00E32347" w:rsidP="00D80377">
      <w:pPr>
        <w:pStyle w:val="ENotesHeading2"/>
        <w:pageBreakBefore/>
        <w:outlineLvl w:val="9"/>
      </w:pPr>
      <w:bookmarkStart w:id="76" w:name="_Toc487718164"/>
      <w:r w:rsidRPr="00BD574A">
        <w:lastRenderedPageBreak/>
        <w:t>Endnote 3—Legislation history</w:t>
      </w:r>
      <w:bookmarkEnd w:id="76"/>
    </w:p>
    <w:p w:rsidR="00E32347" w:rsidRPr="00BD574A" w:rsidRDefault="00E32347" w:rsidP="004E49F4">
      <w:pPr>
        <w:pStyle w:val="Tabletext"/>
      </w:pPr>
    </w:p>
    <w:tbl>
      <w:tblPr>
        <w:tblW w:w="7371"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966"/>
        <w:gridCol w:w="17"/>
        <w:gridCol w:w="852"/>
        <w:gridCol w:w="979"/>
        <w:gridCol w:w="12"/>
        <w:gridCol w:w="1844"/>
        <w:gridCol w:w="1701"/>
      </w:tblGrid>
      <w:tr w:rsidR="00E32347" w:rsidRPr="00BD574A" w:rsidTr="004B33FC">
        <w:trPr>
          <w:cantSplit/>
          <w:tblHeader/>
        </w:trPr>
        <w:tc>
          <w:tcPr>
            <w:tcW w:w="1966" w:type="dxa"/>
            <w:tcBorders>
              <w:top w:val="single" w:sz="12" w:space="0" w:color="auto"/>
              <w:bottom w:val="single" w:sz="12" w:space="0" w:color="auto"/>
            </w:tcBorders>
            <w:shd w:val="clear" w:color="auto" w:fill="auto"/>
          </w:tcPr>
          <w:p w:rsidR="00E32347" w:rsidRPr="00BD574A" w:rsidRDefault="00E32347" w:rsidP="004E49F4">
            <w:pPr>
              <w:pStyle w:val="ENoteTableHeading"/>
            </w:pPr>
            <w:r w:rsidRPr="00BD574A">
              <w:t>Act</w:t>
            </w:r>
          </w:p>
        </w:tc>
        <w:tc>
          <w:tcPr>
            <w:tcW w:w="869" w:type="dxa"/>
            <w:gridSpan w:val="2"/>
            <w:tcBorders>
              <w:top w:val="single" w:sz="12" w:space="0" w:color="auto"/>
              <w:bottom w:val="single" w:sz="12" w:space="0" w:color="auto"/>
            </w:tcBorders>
            <w:shd w:val="clear" w:color="auto" w:fill="auto"/>
          </w:tcPr>
          <w:p w:rsidR="00E32347" w:rsidRPr="00BD574A" w:rsidRDefault="00E32347" w:rsidP="004E49F4">
            <w:pPr>
              <w:pStyle w:val="ENoteTableHeading"/>
            </w:pPr>
            <w:r w:rsidRPr="00BD574A">
              <w:t>Number and year</w:t>
            </w:r>
          </w:p>
        </w:tc>
        <w:tc>
          <w:tcPr>
            <w:tcW w:w="991" w:type="dxa"/>
            <w:gridSpan w:val="2"/>
            <w:tcBorders>
              <w:top w:val="single" w:sz="12" w:space="0" w:color="auto"/>
              <w:bottom w:val="single" w:sz="12" w:space="0" w:color="auto"/>
            </w:tcBorders>
            <w:shd w:val="clear" w:color="auto" w:fill="auto"/>
          </w:tcPr>
          <w:p w:rsidR="00E32347" w:rsidRPr="00BD574A" w:rsidRDefault="00E32347">
            <w:pPr>
              <w:pStyle w:val="ENoteTableHeading"/>
            </w:pPr>
            <w:r w:rsidRPr="00BD574A">
              <w:t>Asse</w:t>
            </w:r>
            <w:r w:rsidR="00767D85" w:rsidRPr="00BD574A">
              <w:t>nt</w:t>
            </w:r>
          </w:p>
        </w:tc>
        <w:tc>
          <w:tcPr>
            <w:tcW w:w="1844" w:type="dxa"/>
            <w:tcBorders>
              <w:top w:val="single" w:sz="12" w:space="0" w:color="auto"/>
              <w:bottom w:val="single" w:sz="12" w:space="0" w:color="auto"/>
            </w:tcBorders>
            <w:shd w:val="clear" w:color="auto" w:fill="auto"/>
          </w:tcPr>
          <w:p w:rsidR="00E32347" w:rsidRPr="00BD574A" w:rsidRDefault="00E32347" w:rsidP="004E49F4">
            <w:pPr>
              <w:pStyle w:val="ENoteTableHeading"/>
            </w:pPr>
            <w:r w:rsidRPr="00BD574A">
              <w:t>Commencement</w:t>
            </w:r>
          </w:p>
        </w:tc>
        <w:tc>
          <w:tcPr>
            <w:tcW w:w="1701" w:type="dxa"/>
            <w:tcBorders>
              <w:top w:val="single" w:sz="12" w:space="0" w:color="auto"/>
              <w:bottom w:val="single" w:sz="12" w:space="0" w:color="auto"/>
            </w:tcBorders>
            <w:shd w:val="clear" w:color="auto" w:fill="auto"/>
          </w:tcPr>
          <w:p w:rsidR="00E32347" w:rsidRPr="00BD574A" w:rsidRDefault="00E32347" w:rsidP="004E49F4">
            <w:pPr>
              <w:pStyle w:val="ENoteTableHeading"/>
            </w:pPr>
            <w:r w:rsidRPr="00BD574A">
              <w:t>Application, saving and transitional provisions</w:t>
            </w:r>
          </w:p>
        </w:tc>
      </w:tr>
      <w:tr w:rsidR="00911F79" w:rsidRPr="00BD574A" w:rsidTr="004B33FC">
        <w:trPr>
          <w:cantSplit/>
        </w:trPr>
        <w:tc>
          <w:tcPr>
            <w:tcW w:w="1966" w:type="dxa"/>
            <w:tcBorders>
              <w:top w:val="single" w:sz="12" w:space="0" w:color="auto"/>
              <w:bottom w:val="single" w:sz="4" w:space="0" w:color="auto"/>
            </w:tcBorders>
            <w:shd w:val="clear" w:color="auto" w:fill="auto"/>
          </w:tcPr>
          <w:p w:rsidR="00911F79" w:rsidRPr="00BD574A" w:rsidRDefault="00911F79" w:rsidP="004E49F4">
            <w:pPr>
              <w:pStyle w:val="ENoteTableText"/>
            </w:pPr>
            <w:r w:rsidRPr="00BD574A">
              <w:t>Superannuation (Government Co</w:t>
            </w:r>
            <w:r w:rsidR="00BD574A">
              <w:noBreakHyphen/>
            </w:r>
            <w:r w:rsidRPr="00BD574A">
              <w:t>contribution for Low Income Earners) Act 2003</w:t>
            </w:r>
          </w:p>
        </w:tc>
        <w:tc>
          <w:tcPr>
            <w:tcW w:w="869" w:type="dxa"/>
            <w:gridSpan w:val="2"/>
            <w:tcBorders>
              <w:top w:val="single" w:sz="12" w:space="0" w:color="auto"/>
              <w:bottom w:val="single" w:sz="4" w:space="0" w:color="auto"/>
            </w:tcBorders>
            <w:shd w:val="clear" w:color="auto" w:fill="auto"/>
          </w:tcPr>
          <w:p w:rsidR="00911F79" w:rsidRPr="00BD574A" w:rsidRDefault="00911F79" w:rsidP="004E49F4">
            <w:pPr>
              <w:pStyle w:val="ENoteTableText"/>
            </w:pPr>
            <w:r w:rsidRPr="00BD574A">
              <w:t>110, 2003</w:t>
            </w:r>
          </w:p>
        </w:tc>
        <w:tc>
          <w:tcPr>
            <w:tcW w:w="979" w:type="dxa"/>
            <w:tcBorders>
              <w:top w:val="single" w:sz="12" w:space="0" w:color="auto"/>
              <w:bottom w:val="single" w:sz="4" w:space="0" w:color="auto"/>
            </w:tcBorders>
            <w:shd w:val="clear" w:color="auto" w:fill="auto"/>
          </w:tcPr>
          <w:p w:rsidR="00911F79" w:rsidRPr="00BD574A" w:rsidRDefault="00911F79" w:rsidP="004E49F4">
            <w:pPr>
              <w:pStyle w:val="ENoteTableText"/>
            </w:pPr>
            <w:smartTag w:uri="urn:schemas-microsoft-com:office:smarttags" w:element="date">
              <w:smartTagPr>
                <w:attr w:name="Year" w:val="2003"/>
                <w:attr w:name="Day" w:val="12"/>
                <w:attr w:name="Month" w:val="11"/>
              </w:smartTagPr>
              <w:r w:rsidRPr="00BD574A">
                <w:t>12 Nov 2003</w:t>
              </w:r>
            </w:smartTag>
          </w:p>
        </w:tc>
        <w:tc>
          <w:tcPr>
            <w:tcW w:w="1856" w:type="dxa"/>
            <w:gridSpan w:val="2"/>
            <w:tcBorders>
              <w:top w:val="single" w:sz="12" w:space="0" w:color="auto"/>
              <w:bottom w:val="single" w:sz="4" w:space="0" w:color="auto"/>
            </w:tcBorders>
            <w:shd w:val="clear" w:color="auto" w:fill="auto"/>
          </w:tcPr>
          <w:p w:rsidR="00911F79" w:rsidRPr="00BD574A" w:rsidRDefault="00911F79" w:rsidP="004E49F4">
            <w:pPr>
              <w:pStyle w:val="ENoteTableText"/>
            </w:pPr>
            <w:smartTag w:uri="urn:schemas-microsoft-com:office:smarttags" w:element="date">
              <w:smartTagPr>
                <w:attr w:name="Year" w:val="2003"/>
                <w:attr w:name="Day" w:val="12"/>
                <w:attr w:name="Month" w:val="11"/>
              </w:smartTagPr>
              <w:r w:rsidRPr="00BD574A">
                <w:t>12 Nov 2003</w:t>
              </w:r>
            </w:smartTag>
          </w:p>
        </w:tc>
        <w:tc>
          <w:tcPr>
            <w:tcW w:w="1701" w:type="dxa"/>
            <w:tcBorders>
              <w:top w:val="single" w:sz="12" w:space="0" w:color="auto"/>
              <w:bottom w:val="single" w:sz="4" w:space="0" w:color="auto"/>
            </w:tcBorders>
            <w:shd w:val="clear" w:color="auto" w:fill="auto"/>
          </w:tcPr>
          <w:p w:rsidR="00911F79" w:rsidRPr="00BD574A" w:rsidRDefault="00911F79" w:rsidP="004E49F4">
            <w:pPr>
              <w:pStyle w:val="ENoteTableText"/>
            </w:pPr>
          </w:p>
        </w:tc>
      </w:tr>
      <w:tr w:rsidR="00911F79" w:rsidRPr="00BD574A" w:rsidTr="004B33FC">
        <w:trPr>
          <w:cantSplit/>
        </w:trPr>
        <w:tc>
          <w:tcPr>
            <w:tcW w:w="1966"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t>Superannuation Laws Amendment (2004 Measures No.</w:t>
            </w:r>
            <w:r w:rsidR="00BD574A">
              <w:t> </w:t>
            </w:r>
            <w:r w:rsidRPr="00BD574A">
              <w:t>1) Act 2004</w:t>
            </w:r>
          </w:p>
        </w:tc>
        <w:tc>
          <w:tcPr>
            <w:tcW w:w="869" w:type="dxa"/>
            <w:gridSpan w:val="2"/>
            <w:tcBorders>
              <w:top w:val="single" w:sz="4" w:space="0" w:color="auto"/>
              <w:bottom w:val="single" w:sz="4" w:space="0" w:color="auto"/>
            </w:tcBorders>
            <w:shd w:val="clear" w:color="auto" w:fill="auto"/>
          </w:tcPr>
          <w:p w:rsidR="00911F79" w:rsidRPr="00BD574A" w:rsidRDefault="00911F79" w:rsidP="004E49F4">
            <w:pPr>
              <w:pStyle w:val="ENoteTableText"/>
            </w:pPr>
            <w:r w:rsidRPr="00BD574A">
              <w:t>92, 2004</w:t>
            </w:r>
          </w:p>
        </w:tc>
        <w:tc>
          <w:tcPr>
            <w:tcW w:w="979"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t>29</w:t>
            </w:r>
            <w:r w:rsidR="00BD574A">
              <w:t> </w:t>
            </w:r>
            <w:r w:rsidRPr="00BD574A">
              <w:t>June 2004</w:t>
            </w:r>
          </w:p>
        </w:tc>
        <w:tc>
          <w:tcPr>
            <w:tcW w:w="1856" w:type="dxa"/>
            <w:gridSpan w:val="2"/>
            <w:tcBorders>
              <w:top w:val="single" w:sz="4" w:space="0" w:color="auto"/>
              <w:bottom w:val="single" w:sz="4" w:space="0" w:color="auto"/>
            </w:tcBorders>
            <w:shd w:val="clear" w:color="auto" w:fill="auto"/>
          </w:tcPr>
          <w:p w:rsidR="00911F79" w:rsidRPr="00BD574A" w:rsidRDefault="00911F79" w:rsidP="004E49F4">
            <w:pPr>
              <w:pStyle w:val="ENoteTableText"/>
            </w:pPr>
            <w:r w:rsidRPr="00BD574A">
              <w:t>29</w:t>
            </w:r>
            <w:r w:rsidR="00BD574A">
              <w:t> </w:t>
            </w:r>
            <w:r w:rsidRPr="00BD574A">
              <w:t>June 2004</w:t>
            </w:r>
          </w:p>
        </w:tc>
        <w:tc>
          <w:tcPr>
            <w:tcW w:w="1701"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t>Sch. 1 (item</w:t>
            </w:r>
            <w:r w:rsidR="00BD574A">
              <w:t> </w:t>
            </w:r>
            <w:r w:rsidRPr="00BD574A">
              <w:t>6) and Sch. 2 (item</w:t>
            </w:r>
            <w:r w:rsidR="00BD574A">
              <w:t> </w:t>
            </w:r>
            <w:r w:rsidRPr="00BD574A">
              <w:t>17)</w:t>
            </w:r>
          </w:p>
        </w:tc>
      </w:tr>
      <w:tr w:rsidR="00911F79" w:rsidRPr="00BD574A" w:rsidTr="004B33FC">
        <w:trPr>
          <w:cantSplit/>
        </w:trPr>
        <w:tc>
          <w:tcPr>
            <w:tcW w:w="1966"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t>Superannuation Budget Measures Act 2004</w:t>
            </w:r>
          </w:p>
        </w:tc>
        <w:tc>
          <w:tcPr>
            <w:tcW w:w="869" w:type="dxa"/>
            <w:gridSpan w:val="2"/>
            <w:tcBorders>
              <w:top w:val="single" w:sz="4" w:space="0" w:color="auto"/>
              <w:bottom w:val="single" w:sz="4" w:space="0" w:color="auto"/>
            </w:tcBorders>
            <w:shd w:val="clear" w:color="auto" w:fill="auto"/>
          </w:tcPr>
          <w:p w:rsidR="00911F79" w:rsidRPr="00BD574A" w:rsidRDefault="00911F79" w:rsidP="004E49F4">
            <w:pPr>
              <w:pStyle w:val="ENoteTableText"/>
            </w:pPr>
            <w:r w:rsidRPr="00BD574A">
              <w:t>106, 2004</w:t>
            </w:r>
          </w:p>
        </w:tc>
        <w:tc>
          <w:tcPr>
            <w:tcW w:w="979"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t>30</w:t>
            </w:r>
            <w:r w:rsidR="00BD574A">
              <w:t> </w:t>
            </w:r>
            <w:r w:rsidRPr="00BD574A">
              <w:t>June 2004</w:t>
            </w:r>
          </w:p>
        </w:tc>
        <w:tc>
          <w:tcPr>
            <w:tcW w:w="1856" w:type="dxa"/>
            <w:gridSpan w:val="2"/>
            <w:tcBorders>
              <w:top w:val="single" w:sz="4" w:space="0" w:color="auto"/>
              <w:bottom w:val="single" w:sz="4" w:space="0" w:color="auto"/>
            </w:tcBorders>
            <w:shd w:val="clear" w:color="auto" w:fill="auto"/>
          </w:tcPr>
          <w:p w:rsidR="00911F79" w:rsidRPr="00BD574A" w:rsidRDefault="00911F79" w:rsidP="004E49F4">
            <w:pPr>
              <w:pStyle w:val="ENoteTableText"/>
            </w:pPr>
            <w:r w:rsidRPr="00BD574A">
              <w:t>30</w:t>
            </w:r>
            <w:r w:rsidR="00BD574A">
              <w:t> </w:t>
            </w:r>
            <w:r w:rsidRPr="00BD574A">
              <w:t>June 2004</w:t>
            </w:r>
          </w:p>
        </w:tc>
        <w:tc>
          <w:tcPr>
            <w:tcW w:w="1701"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t>Sch. 1 (item</w:t>
            </w:r>
            <w:r w:rsidR="00BD574A">
              <w:t> </w:t>
            </w:r>
            <w:r w:rsidRPr="00BD574A">
              <w:t>6)</w:t>
            </w:r>
          </w:p>
        </w:tc>
      </w:tr>
      <w:tr w:rsidR="00911F79" w:rsidRPr="00BD574A" w:rsidTr="004B33FC">
        <w:trPr>
          <w:cantSplit/>
        </w:trPr>
        <w:tc>
          <w:tcPr>
            <w:tcW w:w="1966"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t>Financial Framework Legislation Amendment Act 2005</w:t>
            </w:r>
          </w:p>
        </w:tc>
        <w:tc>
          <w:tcPr>
            <w:tcW w:w="869" w:type="dxa"/>
            <w:gridSpan w:val="2"/>
            <w:tcBorders>
              <w:top w:val="single" w:sz="4" w:space="0" w:color="auto"/>
              <w:bottom w:val="single" w:sz="4" w:space="0" w:color="auto"/>
            </w:tcBorders>
            <w:shd w:val="clear" w:color="auto" w:fill="auto"/>
          </w:tcPr>
          <w:p w:rsidR="00911F79" w:rsidRPr="00BD574A" w:rsidRDefault="00911F79" w:rsidP="004E49F4">
            <w:pPr>
              <w:pStyle w:val="ENoteTableText"/>
            </w:pPr>
            <w:r w:rsidRPr="00BD574A">
              <w:t>8, 2005</w:t>
            </w:r>
          </w:p>
        </w:tc>
        <w:tc>
          <w:tcPr>
            <w:tcW w:w="979" w:type="dxa"/>
            <w:tcBorders>
              <w:top w:val="single" w:sz="4" w:space="0" w:color="auto"/>
              <w:bottom w:val="single" w:sz="4" w:space="0" w:color="auto"/>
            </w:tcBorders>
            <w:shd w:val="clear" w:color="auto" w:fill="auto"/>
          </w:tcPr>
          <w:p w:rsidR="00911F79" w:rsidRPr="00BD574A" w:rsidRDefault="00911F79" w:rsidP="004E49F4">
            <w:pPr>
              <w:pStyle w:val="ENoteTableText"/>
            </w:pPr>
            <w:smartTag w:uri="urn:schemas-microsoft-com:office:smarttags" w:element="date">
              <w:smartTagPr>
                <w:attr w:name="Year" w:val="2005"/>
                <w:attr w:name="Day" w:val="22"/>
                <w:attr w:name="Month" w:val="2"/>
              </w:smartTagPr>
              <w:r w:rsidRPr="00BD574A">
                <w:t>22 Feb 2005</w:t>
              </w:r>
            </w:smartTag>
          </w:p>
        </w:tc>
        <w:tc>
          <w:tcPr>
            <w:tcW w:w="1856" w:type="dxa"/>
            <w:gridSpan w:val="2"/>
            <w:tcBorders>
              <w:top w:val="single" w:sz="4" w:space="0" w:color="auto"/>
              <w:bottom w:val="single" w:sz="4" w:space="0" w:color="auto"/>
            </w:tcBorders>
            <w:shd w:val="clear" w:color="auto" w:fill="auto"/>
          </w:tcPr>
          <w:p w:rsidR="00911F79" w:rsidRPr="00BD574A" w:rsidRDefault="00911F79" w:rsidP="004E49F4">
            <w:pPr>
              <w:pStyle w:val="ENoteTableText"/>
            </w:pPr>
            <w:r w:rsidRPr="00BD574A">
              <w:t>s. 4 and Schedule</w:t>
            </w:r>
            <w:r w:rsidR="00BD574A">
              <w:t> </w:t>
            </w:r>
            <w:r w:rsidRPr="00BD574A">
              <w:t>1 (items</w:t>
            </w:r>
            <w:r w:rsidR="00BD574A">
              <w:t> </w:t>
            </w:r>
            <w:r w:rsidRPr="00BD574A">
              <w:t>411–416, 496): Royal Assent</w:t>
            </w:r>
          </w:p>
        </w:tc>
        <w:tc>
          <w:tcPr>
            <w:tcW w:w="1701"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t>s. 4 and Sch. 1 (item</w:t>
            </w:r>
            <w:r w:rsidR="00BD574A">
              <w:t> </w:t>
            </w:r>
            <w:r w:rsidRPr="00BD574A">
              <w:t>496)</w:t>
            </w:r>
          </w:p>
        </w:tc>
      </w:tr>
      <w:tr w:rsidR="00911F79" w:rsidRPr="00BD574A" w:rsidTr="004B33FC">
        <w:trPr>
          <w:cantSplit/>
        </w:trPr>
        <w:tc>
          <w:tcPr>
            <w:tcW w:w="1966"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t>Tax Laws Amendment (2006 Measures No.</w:t>
            </w:r>
            <w:r w:rsidR="00BD574A">
              <w:t> </w:t>
            </w:r>
            <w:r w:rsidRPr="00BD574A">
              <w:t>2) Act 2006</w:t>
            </w:r>
          </w:p>
        </w:tc>
        <w:tc>
          <w:tcPr>
            <w:tcW w:w="869" w:type="dxa"/>
            <w:gridSpan w:val="2"/>
            <w:tcBorders>
              <w:top w:val="single" w:sz="4" w:space="0" w:color="auto"/>
              <w:bottom w:val="single" w:sz="4" w:space="0" w:color="auto"/>
            </w:tcBorders>
            <w:shd w:val="clear" w:color="auto" w:fill="auto"/>
          </w:tcPr>
          <w:p w:rsidR="00911F79" w:rsidRPr="00BD574A" w:rsidRDefault="00911F79" w:rsidP="004E49F4">
            <w:pPr>
              <w:pStyle w:val="ENoteTableText"/>
            </w:pPr>
            <w:r w:rsidRPr="00BD574A">
              <w:t>58, 2006</w:t>
            </w:r>
          </w:p>
        </w:tc>
        <w:tc>
          <w:tcPr>
            <w:tcW w:w="979"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t>22</w:t>
            </w:r>
            <w:r w:rsidR="00BD574A">
              <w:t> </w:t>
            </w:r>
            <w:r w:rsidRPr="00BD574A">
              <w:t>June 2006</w:t>
            </w:r>
          </w:p>
        </w:tc>
        <w:tc>
          <w:tcPr>
            <w:tcW w:w="1856" w:type="dxa"/>
            <w:gridSpan w:val="2"/>
            <w:tcBorders>
              <w:top w:val="single" w:sz="4" w:space="0" w:color="auto"/>
              <w:bottom w:val="single" w:sz="4" w:space="0" w:color="auto"/>
            </w:tcBorders>
            <w:shd w:val="clear" w:color="auto" w:fill="auto"/>
          </w:tcPr>
          <w:p w:rsidR="00911F79" w:rsidRPr="00BD574A" w:rsidRDefault="00911F79" w:rsidP="004E49F4">
            <w:pPr>
              <w:pStyle w:val="ENoteTableText"/>
            </w:pPr>
            <w:r w:rsidRPr="00BD574A">
              <w:t>Schedule</w:t>
            </w:r>
            <w:r w:rsidR="00BD574A">
              <w:t> </w:t>
            </w:r>
            <w:r w:rsidRPr="00BD574A">
              <w:t>7 (items</w:t>
            </w:r>
            <w:r w:rsidR="00BD574A">
              <w:t> </w:t>
            </w:r>
            <w:r w:rsidRPr="00BD574A">
              <w:t>268, 269): Royal Assent</w:t>
            </w:r>
          </w:p>
        </w:tc>
        <w:tc>
          <w:tcPr>
            <w:tcW w:w="1701"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t>—</w:t>
            </w:r>
          </w:p>
        </w:tc>
      </w:tr>
      <w:tr w:rsidR="00911F79" w:rsidRPr="00BD574A" w:rsidTr="004B33FC">
        <w:trPr>
          <w:cantSplit/>
        </w:trPr>
        <w:tc>
          <w:tcPr>
            <w:tcW w:w="1966"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t>Tax Laws Amendment (Repeal of Inoperative Provisions) Act 2006</w:t>
            </w:r>
          </w:p>
        </w:tc>
        <w:tc>
          <w:tcPr>
            <w:tcW w:w="869" w:type="dxa"/>
            <w:gridSpan w:val="2"/>
            <w:tcBorders>
              <w:top w:val="single" w:sz="4" w:space="0" w:color="auto"/>
              <w:bottom w:val="single" w:sz="4" w:space="0" w:color="auto"/>
            </w:tcBorders>
            <w:shd w:val="clear" w:color="auto" w:fill="auto"/>
          </w:tcPr>
          <w:p w:rsidR="00911F79" w:rsidRPr="00BD574A" w:rsidRDefault="00911F79" w:rsidP="004E49F4">
            <w:pPr>
              <w:pStyle w:val="ENoteTableText"/>
            </w:pPr>
            <w:r w:rsidRPr="00BD574A">
              <w:t>101, 2006</w:t>
            </w:r>
          </w:p>
        </w:tc>
        <w:tc>
          <w:tcPr>
            <w:tcW w:w="979" w:type="dxa"/>
            <w:tcBorders>
              <w:top w:val="single" w:sz="4" w:space="0" w:color="auto"/>
              <w:bottom w:val="single" w:sz="4" w:space="0" w:color="auto"/>
            </w:tcBorders>
            <w:shd w:val="clear" w:color="auto" w:fill="auto"/>
          </w:tcPr>
          <w:p w:rsidR="00911F79" w:rsidRPr="00BD574A" w:rsidRDefault="00911F79" w:rsidP="004E49F4">
            <w:pPr>
              <w:pStyle w:val="ENoteTableText"/>
            </w:pPr>
            <w:smartTag w:uri="urn:schemas-microsoft-com:office:smarttags" w:element="date">
              <w:smartTagPr>
                <w:attr w:name="Year" w:val="2006"/>
                <w:attr w:name="Day" w:val="14"/>
                <w:attr w:name="Month" w:val="9"/>
              </w:smartTagPr>
              <w:r w:rsidRPr="00BD574A">
                <w:t>14 Sept 2006</w:t>
              </w:r>
            </w:smartTag>
          </w:p>
        </w:tc>
        <w:tc>
          <w:tcPr>
            <w:tcW w:w="1856" w:type="dxa"/>
            <w:gridSpan w:val="2"/>
            <w:tcBorders>
              <w:top w:val="single" w:sz="4" w:space="0" w:color="auto"/>
              <w:bottom w:val="single" w:sz="4" w:space="0" w:color="auto"/>
            </w:tcBorders>
            <w:shd w:val="clear" w:color="auto" w:fill="auto"/>
          </w:tcPr>
          <w:p w:rsidR="00911F79" w:rsidRPr="00BD574A" w:rsidRDefault="00911F79" w:rsidP="004E49F4">
            <w:pPr>
              <w:pStyle w:val="ENoteTableText"/>
            </w:pPr>
            <w:r w:rsidRPr="00BD574A">
              <w:t>Schedule</w:t>
            </w:r>
            <w:r w:rsidR="00BD574A">
              <w:t> </w:t>
            </w:r>
            <w:r w:rsidRPr="00BD574A">
              <w:t>2 (items</w:t>
            </w:r>
            <w:r w:rsidR="00BD574A">
              <w:t> </w:t>
            </w:r>
            <w:r w:rsidRPr="00BD574A">
              <w:t>1017, 1054) and Schedule</w:t>
            </w:r>
            <w:r w:rsidR="00BD574A">
              <w:t> </w:t>
            </w:r>
            <w:r w:rsidRPr="00BD574A">
              <w:t>6 (items</w:t>
            </w:r>
            <w:r w:rsidR="00BD574A">
              <w:t> </w:t>
            </w:r>
            <w:r w:rsidRPr="00BD574A">
              <w:t>1, 6–11): Royal Assent</w:t>
            </w:r>
          </w:p>
        </w:tc>
        <w:tc>
          <w:tcPr>
            <w:tcW w:w="1701"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t>Sch. 6 (items</w:t>
            </w:r>
            <w:r w:rsidR="00BD574A">
              <w:t> </w:t>
            </w:r>
            <w:r w:rsidRPr="00BD574A">
              <w:t>1, 6–11)</w:t>
            </w:r>
          </w:p>
        </w:tc>
      </w:tr>
      <w:tr w:rsidR="00911F79" w:rsidRPr="00BD574A" w:rsidTr="004B33FC">
        <w:trPr>
          <w:cantSplit/>
        </w:trPr>
        <w:tc>
          <w:tcPr>
            <w:tcW w:w="1966"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t>Tax Laws Amendment (Simplified Superannuation) Act 2007</w:t>
            </w:r>
          </w:p>
        </w:tc>
        <w:tc>
          <w:tcPr>
            <w:tcW w:w="869" w:type="dxa"/>
            <w:gridSpan w:val="2"/>
            <w:tcBorders>
              <w:top w:val="single" w:sz="4" w:space="0" w:color="auto"/>
              <w:bottom w:val="single" w:sz="4" w:space="0" w:color="auto"/>
            </w:tcBorders>
            <w:shd w:val="clear" w:color="auto" w:fill="auto"/>
          </w:tcPr>
          <w:p w:rsidR="00911F79" w:rsidRPr="00BD574A" w:rsidRDefault="00911F79" w:rsidP="004E49F4">
            <w:pPr>
              <w:pStyle w:val="ENoteTableText"/>
            </w:pPr>
            <w:r w:rsidRPr="00BD574A">
              <w:t>9, 2007</w:t>
            </w:r>
          </w:p>
        </w:tc>
        <w:tc>
          <w:tcPr>
            <w:tcW w:w="979" w:type="dxa"/>
            <w:tcBorders>
              <w:top w:val="single" w:sz="4" w:space="0" w:color="auto"/>
              <w:bottom w:val="single" w:sz="4" w:space="0" w:color="auto"/>
            </w:tcBorders>
            <w:shd w:val="clear" w:color="auto" w:fill="auto"/>
          </w:tcPr>
          <w:p w:rsidR="00911F79" w:rsidRPr="00BD574A" w:rsidRDefault="00911F79" w:rsidP="004E49F4">
            <w:pPr>
              <w:pStyle w:val="ENoteTableText"/>
            </w:pPr>
            <w:smartTag w:uri="urn:schemas-microsoft-com:office:smarttags" w:element="date">
              <w:smartTagPr>
                <w:attr w:name="Year" w:val="2007"/>
                <w:attr w:name="Day" w:val="15"/>
                <w:attr w:name="Month" w:val="3"/>
              </w:smartTagPr>
              <w:r w:rsidRPr="00BD574A">
                <w:t>15 Mar 2007</w:t>
              </w:r>
            </w:smartTag>
          </w:p>
        </w:tc>
        <w:tc>
          <w:tcPr>
            <w:tcW w:w="1856" w:type="dxa"/>
            <w:gridSpan w:val="2"/>
            <w:tcBorders>
              <w:top w:val="single" w:sz="4" w:space="0" w:color="auto"/>
              <w:bottom w:val="single" w:sz="4" w:space="0" w:color="auto"/>
            </w:tcBorders>
            <w:shd w:val="clear" w:color="auto" w:fill="auto"/>
          </w:tcPr>
          <w:p w:rsidR="00911F79" w:rsidRPr="00BD574A" w:rsidRDefault="00911F79" w:rsidP="004E49F4">
            <w:pPr>
              <w:pStyle w:val="ENoteTableText"/>
            </w:pPr>
            <w:r w:rsidRPr="00BD574A">
              <w:t>Schedule</w:t>
            </w:r>
            <w:r w:rsidR="00BD574A">
              <w:t> </w:t>
            </w:r>
            <w:r w:rsidRPr="00BD574A">
              <w:t>4 (items</w:t>
            </w:r>
            <w:r w:rsidR="00BD574A">
              <w:t> </w:t>
            </w:r>
            <w:r w:rsidRPr="00BD574A">
              <w:t>1–5, 16) and Schedule</w:t>
            </w:r>
            <w:r w:rsidR="00BD574A">
              <w:t> </w:t>
            </w:r>
            <w:r w:rsidRPr="00BD574A">
              <w:t>6: Royal Assent</w:t>
            </w:r>
          </w:p>
        </w:tc>
        <w:tc>
          <w:tcPr>
            <w:tcW w:w="1701"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t>Sch. 4 (item</w:t>
            </w:r>
            <w:r w:rsidR="00BD574A">
              <w:t> </w:t>
            </w:r>
            <w:r w:rsidRPr="00BD574A">
              <w:t>16) and Sch. 6 (item</w:t>
            </w:r>
            <w:r w:rsidR="00BD574A">
              <w:t> </w:t>
            </w:r>
            <w:r w:rsidRPr="00BD574A">
              <w:t>9)</w:t>
            </w:r>
          </w:p>
        </w:tc>
      </w:tr>
      <w:tr w:rsidR="00911F79" w:rsidRPr="00BD574A" w:rsidTr="004B33FC">
        <w:trPr>
          <w:cantSplit/>
        </w:trPr>
        <w:tc>
          <w:tcPr>
            <w:tcW w:w="1966"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t>Superannuation Legislation Amendment (Simplification) Act 2007</w:t>
            </w:r>
          </w:p>
        </w:tc>
        <w:tc>
          <w:tcPr>
            <w:tcW w:w="869" w:type="dxa"/>
            <w:gridSpan w:val="2"/>
            <w:tcBorders>
              <w:top w:val="single" w:sz="4" w:space="0" w:color="auto"/>
              <w:bottom w:val="single" w:sz="4" w:space="0" w:color="auto"/>
            </w:tcBorders>
            <w:shd w:val="clear" w:color="auto" w:fill="auto"/>
          </w:tcPr>
          <w:p w:rsidR="00911F79" w:rsidRPr="00BD574A" w:rsidRDefault="00911F79" w:rsidP="004E49F4">
            <w:pPr>
              <w:pStyle w:val="ENoteTableText"/>
            </w:pPr>
            <w:r w:rsidRPr="00BD574A">
              <w:t>15, 2007</w:t>
            </w:r>
          </w:p>
        </w:tc>
        <w:tc>
          <w:tcPr>
            <w:tcW w:w="979" w:type="dxa"/>
            <w:tcBorders>
              <w:top w:val="single" w:sz="4" w:space="0" w:color="auto"/>
              <w:bottom w:val="single" w:sz="4" w:space="0" w:color="auto"/>
            </w:tcBorders>
            <w:shd w:val="clear" w:color="auto" w:fill="auto"/>
          </w:tcPr>
          <w:p w:rsidR="00911F79" w:rsidRPr="00BD574A" w:rsidRDefault="00911F79" w:rsidP="004E49F4">
            <w:pPr>
              <w:pStyle w:val="ENoteTableText"/>
            </w:pPr>
            <w:smartTag w:uri="urn:schemas-microsoft-com:office:smarttags" w:element="date">
              <w:smartTagPr>
                <w:attr w:name="Month" w:val="3"/>
                <w:attr w:name="Day" w:val="15"/>
                <w:attr w:name="Year" w:val="2007"/>
              </w:smartTagPr>
              <w:r w:rsidRPr="00BD574A">
                <w:t>15 Mar 2007</w:t>
              </w:r>
            </w:smartTag>
          </w:p>
        </w:tc>
        <w:tc>
          <w:tcPr>
            <w:tcW w:w="1856" w:type="dxa"/>
            <w:gridSpan w:val="2"/>
            <w:tcBorders>
              <w:top w:val="single" w:sz="4" w:space="0" w:color="auto"/>
              <w:bottom w:val="single" w:sz="4" w:space="0" w:color="auto"/>
            </w:tcBorders>
            <w:shd w:val="clear" w:color="auto" w:fill="auto"/>
          </w:tcPr>
          <w:p w:rsidR="00911F79" w:rsidRPr="00BD574A" w:rsidRDefault="00911F79" w:rsidP="00FA3B43">
            <w:pPr>
              <w:pStyle w:val="ENoteTableText"/>
            </w:pPr>
            <w:r w:rsidRPr="00BD574A">
              <w:t>Schedule</w:t>
            </w:r>
            <w:r w:rsidR="00BD574A">
              <w:t> </w:t>
            </w:r>
            <w:r w:rsidRPr="00BD574A">
              <w:t>1 (items</w:t>
            </w:r>
            <w:r w:rsidR="00BD574A">
              <w:t> </w:t>
            </w:r>
            <w:r w:rsidRPr="00BD574A">
              <w:t xml:space="preserve">340–345): </w:t>
            </w:r>
            <w:r w:rsidR="00FA3B43" w:rsidRPr="00BD574A">
              <w:t>15 Mar 2007 (s 2(1) item</w:t>
            </w:r>
            <w:r w:rsidR="00BD574A">
              <w:t> </w:t>
            </w:r>
            <w:r w:rsidR="00FA3B43" w:rsidRPr="00BD574A">
              <w:t>2)</w:t>
            </w:r>
          </w:p>
        </w:tc>
        <w:tc>
          <w:tcPr>
            <w:tcW w:w="1701"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t>—</w:t>
            </w:r>
          </w:p>
        </w:tc>
      </w:tr>
      <w:tr w:rsidR="00911F79" w:rsidRPr="00BD574A" w:rsidTr="004B33FC">
        <w:trPr>
          <w:cantSplit/>
        </w:trPr>
        <w:tc>
          <w:tcPr>
            <w:tcW w:w="1966" w:type="dxa"/>
            <w:tcBorders>
              <w:top w:val="single" w:sz="4" w:space="0" w:color="auto"/>
              <w:bottom w:val="single" w:sz="4" w:space="0" w:color="auto"/>
            </w:tcBorders>
            <w:shd w:val="clear" w:color="auto" w:fill="auto"/>
          </w:tcPr>
          <w:p w:rsidR="00911F79" w:rsidRPr="00BD574A" w:rsidRDefault="00911F79" w:rsidP="004E49F4">
            <w:pPr>
              <w:pStyle w:val="ENoteTableText"/>
            </w:pPr>
            <w:bookmarkStart w:id="77" w:name="CU_1079785"/>
            <w:bookmarkEnd w:id="77"/>
            <w:r w:rsidRPr="00BD574A">
              <w:t>Superannuation Laws Amendment (2007 Budget Co</w:t>
            </w:r>
            <w:r w:rsidR="00BD574A">
              <w:noBreakHyphen/>
            </w:r>
            <w:r w:rsidRPr="00BD574A">
              <w:t>contribution Measure) Act 2007</w:t>
            </w:r>
          </w:p>
        </w:tc>
        <w:tc>
          <w:tcPr>
            <w:tcW w:w="869" w:type="dxa"/>
            <w:gridSpan w:val="2"/>
            <w:tcBorders>
              <w:top w:val="single" w:sz="4" w:space="0" w:color="auto"/>
              <w:bottom w:val="single" w:sz="4" w:space="0" w:color="auto"/>
            </w:tcBorders>
            <w:shd w:val="clear" w:color="auto" w:fill="auto"/>
          </w:tcPr>
          <w:p w:rsidR="00911F79" w:rsidRPr="00BD574A" w:rsidRDefault="00911F79" w:rsidP="004E49F4">
            <w:pPr>
              <w:pStyle w:val="ENoteTableText"/>
            </w:pPr>
            <w:r w:rsidRPr="00BD574A">
              <w:t>67, 2007</w:t>
            </w:r>
          </w:p>
        </w:tc>
        <w:tc>
          <w:tcPr>
            <w:tcW w:w="979"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t>15</w:t>
            </w:r>
            <w:r w:rsidR="00BD574A">
              <w:t> </w:t>
            </w:r>
            <w:r w:rsidRPr="00BD574A">
              <w:t>May 2007</w:t>
            </w:r>
          </w:p>
        </w:tc>
        <w:tc>
          <w:tcPr>
            <w:tcW w:w="1856" w:type="dxa"/>
            <w:gridSpan w:val="2"/>
            <w:tcBorders>
              <w:top w:val="single" w:sz="4" w:space="0" w:color="auto"/>
              <w:bottom w:val="single" w:sz="4" w:space="0" w:color="auto"/>
            </w:tcBorders>
            <w:shd w:val="clear" w:color="auto" w:fill="auto"/>
          </w:tcPr>
          <w:p w:rsidR="00911F79" w:rsidRPr="00BD574A" w:rsidRDefault="00911F79" w:rsidP="004E49F4">
            <w:pPr>
              <w:pStyle w:val="ENoteTableText"/>
            </w:pPr>
            <w:r w:rsidRPr="00BD574A">
              <w:t>15</w:t>
            </w:r>
            <w:r w:rsidR="00BD574A">
              <w:t> </w:t>
            </w:r>
            <w:r w:rsidRPr="00BD574A">
              <w:t>May 2007</w:t>
            </w:r>
          </w:p>
        </w:tc>
        <w:tc>
          <w:tcPr>
            <w:tcW w:w="1701"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t>—</w:t>
            </w:r>
          </w:p>
        </w:tc>
      </w:tr>
      <w:tr w:rsidR="00911F79" w:rsidRPr="00BD574A" w:rsidTr="004B33FC">
        <w:trPr>
          <w:cantSplit/>
        </w:trPr>
        <w:tc>
          <w:tcPr>
            <w:tcW w:w="1966"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lastRenderedPageBreak/>
              <w:t>First Home Saver Accounts (Consequential Amendments) Act 2008</w:t>
            </w:r>
          </w:p>
        </w:tc>
        <w:tc>
          <w:tcPr>
            <w:tcW w:w="869" w:type="dxa"/>
            <w:gridSpan w:val="2"/>
            <w:tcBorders>
              <w:top w:val="single" w:sz="4" w:space="0" w:color="auto"/>
              <w:bottom w:val="single" w:sz="4" w:space="0" w:color="auto"/>
            </w:tcBorders>
            <w:shd w:val="clear" w:color="auto" w:fill="auto"/>
          </w:tcPr>
          <w:p w:rsidR="00911F79" w:rsidRPr="00BD574A" w:rsidRDefault="00911F79" w:rsidP="004E49F4">
            <w:pPr>
              <w:pStyle w:val="ENoteTableText"/>
            </w:pPr>
            <w:r w:rsidRPr="00BD574A">
              <w:t>45, 2008</w:t>
            </w:r>
          </w:p>
        </w:tc>
        <w:tc>
          <w:tcPr>
            <w:tcW w:w="979"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t>25</w:t>
            </w:r>
            <w:r w:rsidR="00BD574A">
              <w:t> </w:t>
            </w:r>
            <w:r w:rsidRPr="00BD574A">
              <w:t>June 2008</w:t>
            </w:r>
          </w:p>
        </w:tc>
        <w:tc>
          <w:tcPr>
            <w:tcW w:w="1856" w:type="dxa"/>
            <w:gridSpan w:val="2"/>
            <w:tcBorders>
              <w:top w:val="single" w:sz="4" w:space="0" w:color="auto"/>
              <w:bottom w:val="single" w:sz="4" w:space="0" w:color="auto"/>
            </w:tcBorders>
            <w:shd w:val="clear" w:color="auto" w:fill="auto"/>
          </w:tcPr>
          <w:p w:rsidR="00911F79" w:rsidRPr="00BD574A" w:rsidRDefault="00911F79" w:rsidP="004E49F4">
            <w:pPr>
              <w:pStyle w:val="ENoteTableText"/>
            </w:pPr>
            <w:r w:rsidRPr="00BD574A">
              <w:t>Schedule</w:t>
            </w:r>
            <w:r w:rsidR="00BD574A">
              <w:t> </w:t>
            </w:r>
            <w:r w:rsidRPr="00BD574A">
              <w:t>3 (item</w:t>
            </w:r>
            <w:r w:rsidR="00BD574A">
              <w:t> </w:t>
            </w:r>
            <w:r w:rsidRPr="00BD574A">
              <w:t>37): 26</w:t>
            </w:r>
            <w:r w:rsidR="00BD574A">
              <w:t> </w:t>
            </w:r>
            <w:r w:rsidRPr="00BD574A">
              <w:t>June 2008</w:t>
            </w:r>
          </w:p>
        </w:tc>
        <w:tc>
          <w:tcPr>
            <w:tcW w:w="1701"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t>—</w:t>
            </w:r>
          </w:p>
        </w:tc>
      </w:tr>
      <w:tr w:rsidR="00911F79" w:rsidRPr="00BD574A" w:rsidTr="004B33FC">
        <w:trPr>
          <w:cantSplit/>
        </w:trPr>
        <w:tc>
          <w:tcPr>
            <w:tcW w:w="1966"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t>First Home Saver Accounts (Further Provisions) Amendment Act 2008</w:t>
            </w:r>
          </w:p>
        </w:tc>
        <w:tc>
          <w:tcPr>
            <w:tcW w:w="869" w:type="dxa"/>
            <w:gridSpan w:val="2"/>
            <w:tcBorders>
              <w:top w:val="single" w:sz="4" w:space="0" w:color="auto"/>
              <w:bottom w:val="single" w:sz="4" w:space="0" w:color="auto"/>
            </w:tcBorders>
            <w:shd w:val="clear" w:color="auto" w:fill="auto"/>
          </w:tcPr>
          <w:p w:rsidR="00911F79" w:rsidRPr="00BD574A" w:rsidRDefault="00911F79" w:rsidP="004E49F4">
            <w:pPr>
              <w:pStyle w:val="ENoteTableText"/>
            </w:pPr>
            <w:r w:rsidRPr="00BD574A">
              <w:t>92, 2008</w:t>
            </w:r>
          </w:p>
        </w:tc>
        <w:tc>
          <w:tcPr>
            <w:tcW w:w="979" w:type="dxa"/>
            <w:tcBorders>
              <w:top w:val="single" w:sz="4" w:space="0" w:color="auto"/>
              <w:bottom w:val="single" w:sz="4" w:space="0" w:color="auto"/>
            </w:tcBorders>
            <w:shd w:val="clear" w:color="auto" w:fill="auto"/>
          </w:tcPr>
          <w:p w:rsidR="00911F79" w:rsidRPr="00BD574A" w:rsidRDefault="00911F79" w:rsidP="004E49F4">
            <w:pPr>
              <w:pStyle w:val="ENoteTableText"/>
            </w:pPr>
            <w:smartTag w:uri="urn:schemas-microsoft-com:office:smarttags" w:element="date">
              <w:smartTagPr>
                <w:attr w:name="Month" w:val="9"/>
                <w:attr w:name="Day" w:val="30"/>
                <w:attr w:name="Year" w:val="2008"/>
              </w:smartTagPr>
              <w:r w:rsidRPr="00BD574A">
                <w:t>30 Sept 2008</w:t>
              </w:r>
            </w:smartTag>
          </w:p>
        </w:tc>
        <w:tc>
          <w:tcPr>
            <w:tcW w:w="1856" w:type="dxa"/>
            <w:gridSpan w:val="2"/>
            <w:tcBorders>
              <w:top w:val="single" w:sz="4" w:space="0" w:color="auto"/>
              <w:bottom w:val="single" w:sz="4" w:space="0" w:color="auto"/>
            </w:tcBorders>
            <w:shd w:val="clear" w:color="auto" w:fill="auto"/>
          </w:tcPr>
          <w:p w:rsidR="00911F79" w:rsidRPr="00BD574A" w:rsidRDefault="00911F79" w:rsidP="004E49F4">
            <w:pPr>
              <w:pStyle w:val="ENoteTableText"/>
            </w:pPr>
            <w:r w:rsidRPr="00BD574A">
              <w:t>Schedule</w:t>
            </w:r>
            <w:r w:rsidR="00BD574A">
              <w:t> </w:t>
            </w:r>
            <w:r w:rsidRPr="00BD574A">
              <w:t>1 (items</w:t>
            </w:r>
            <w:r w:rsidR="00BD574A">
              <w:t> </w:t>
            </w:r>
            <w:r w:rsidRPr="00BD574A">
              <w:t xml:space="preserve">23, 26): </w:t>
            </w:r>
            <w:smartTag w:uri="urn:schemas-microsoft-com:office:smarttags" w:element="date">
              <w:smartTagPr>
                <w:attr w:name="Month" w:val="10"/>
                <w:attr w:name="Day" w:val="1"/>
                <w:attr w:name="Year" w:val="2008"/>
              </w:smartTagPr>
              <w:r w:rsidRPr="00BD574A">
                <w:t>1 Oct 2008</w:t>
              </w:r>
            </w:smartTag>
          </w:p>
        </w:tc>
        <w:tc>
          <w:tcPr>
            <w:tcW w:w="1701"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t>Sch. 1 (item</w:t>
            </w:r>
            <w:r w:rsidR="00BD574A">
              <w:t> </w:t>
            </w:r>
            <w:r w:rsidRPr="00BD574A">
              <w:t>26)</w:t>
            </w:r>
          </w:p>
        </w:tc>
      </w:tr>
      <w:tr w:rsidR="00911F79" w:rsidRPr="00BD574A" w:rsidTr="004B33FC">
        <w:trPr>
          <w:cantSplit/>
        </w:trPr>
        <w:tc>
          <w:tcPr>
            <w:tcW w:w="1966"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t>Same</w:t>
            </w:r>
            <w:r w:rsidR="00BD574A">
              <w:noBreakHyphen/>
            </w:r>
            <w:r w:rsidRPr="00BD574A">
              <w:t>Sex Relationships (Equal Treatment in Commonwealth Laws—Superannuation) Act 2008</w:t>
            </w:r>
          </w:p>
        </w:tc>
        <w:tc>
          <w:tcPr>
            <w:tcW w:w="869" w:type="dxa"/>
            <w:gridSpan w:val="2"/>
            <w:tcBorders>
              <w:top w:val="single" w:sz="4" w:space="0" w:color="auto"/>
              <w:bottom w:val="single" w:sz="4" w:space="0" w:color="auto"/>
            </w:tcBorders>
            <w:shd w:val="clear" w:color="auto" w:fill="auto"/>
          </w:tcPr>
          <w:p w:rsidR="00911F79" w:rsidRPr="00BD574A" w:rsidRDefault="00911F79" w:rsidP="004E49F4">
            <w:pPr>
              <w:pStyle w:val="ENoteTableText"/>
            </w:pPr>
            <w:r w:rsidRPr="00BD574A">
              <w:t>134, 2008</w:t>
            </w:r>
          </w:p>
        </w:tc>
        <w:tc>
          <w:tcPr>
            <w:tcW w:w="979" w:type="dxa"/>
            <w:tcBorders>
              <w:top w:val="single" w:sz="4" w:space="0" w:color="auto"/>
              <w:bottom w:val="single" w:sz="4" w:space="0" w:color="auto"/>
            </w:tcBorders>
            <w:shd w:val="clear" w:color="auto" w:fill="auto"/>
          </w:tcPr>
          <w:p w:rsidR="00911F79" w:rsidRPr="00BD574A" w:rsidRDefault="00911F79" w:rsidP="004E49F4">
            <w:pPr>
              <w:pStyle w:val="ENoteTableText"/>
            </w:pPr>
            <w:smartTag w:uri="urn:schemas-microsoft-com:office:smarttags" w:element="date">
              <w:smartTagPr>
                <w:attr w:name="Month" w:val="12"/>
                <w:attr w:name="Day" w:val="4"/>
                <w:attr w:name="Year" w:val="2008"/>
              </w:smartTagPr>
              <w:r w:rsidRPr="00BD574A">
                <w:t>4 Dec 2008</w:t>
              </w:r>
            </w:smartTag>
          </w:p>
        </w:tc>
        <w:tc>
          <w:tcPr>
            <w:tcW w:w="1856" w:type="dxa"/>
            <w:gridSpan w:val="2"/>
            <w:tcBorders>
              <w:top w:val="single" w:sz="4" w:space="0" w:color="auto"/>
              <w:bottom w:val="single" w:sz="4" w:space="0" w:color="auto"/>
            </w:tcBorders>
            <w:shd w:val="clear" w:color="auto" w:fill="auto"/>
          </w:tcPr>
          <w:p w:rsidR="00911F79" w:rsidRPr="00BD574A" w:rsidRDefault="00911F79" w:rsidP="004E49F4">
            <w:pPr>
              <w:pStyle w:val="ENoteTableText"/>
            </w:pPr>
            <w:r w:rsidRPr="00BD574A">
              <w:t>Schedule</w:t>
            </w:r>
            <w:r w:rsidR="00BD574A">
              <w:t> </w:t>
            </w:r>
            <w:r w:rsidRPr="00BD574A">
              <w:t>4 (items</w:t>
            </w:r>
            <w:r w:rsidR="00BD574A">
              <w:t> </w:t>
            </w:r>
            <w:r w:rsidRPr="00BD574A">
              <w:t>6, 7): 1</w:t>
            </w:r>
            <w:r w:rsidR="00BD574A">
              <w:t> </w:t>
            </w:r>
            <w:r w:rsidRPr="00BD574A">
              <w:t>July 2008</w:t>
            </w:r>
          </w:p>
        </w:tc>
        <w:tc>
          <w:tcPr>
            <w:tcW w:w="1701"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t>Sch. 4 (item</w:t>
            </w:r>
            <w:r w:rsidR="00BD574A">
              <w:t> </w:t>
            </w:r>
            <w:r w:rsidRPr="00BD574A">
              <w:t>7)</w:t>
            </w:r>
          </w:p>
        </w:tc>
      </w:tr>
      <w:tr w:rsidR="00911F79" w:rsidRPr="00BD574A" w:rsidTr="004B33FC">
        <w:trPr>
          <w:cantSplit/>
        </w:trPr>
        <w:tc>
          <w:tcPr>
            <w:tcW w:w="1966"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t>Tax Laws Amendment (2009 Measures No.</w:t>
            </w:r>
            <w:r w:rsidR="00BD574A">
              <w:t> </w:t>
            </w:r>
            <w:r w:rsidRPr="00BD574A">
              <w:t>1) Act 2009</w:t>
            </w:r>
          </w:p>
        </w:tc>
        <w:tc>
          <w:tcPr>
            <w:tcW w:w="869" w:type="dxa"/>
            <w:gridSpan w:val="2"/>
            <w:tcBorders>
              <w:top w:val="single" w:sz="4" w:space="0" w:color="auto"/>
              <w:bottom w:val="single" w:sz="4" w:space="0" w:color="auto"/>
            </w:tcBorders>
            <w:shd w:val="clear" w:color="auto" w:fill="auto"/>
          </w:tcPr>
          <w:p w:rsidR="00911F79" w:rsidRPr="00BD574A" w:rsidRDefault="00911F79" w:rsidP="004E49F4">
            <w:pPr>
              <w:pStyle w:val="ENoteTableText"/>
            </w:pPr>
            <w:r w:rsidRPr="00BD574A">
              <w:t>27, 2009</w:t>
            </w:r>
          </w:p>
        </w:tc>
        <w:tc>
          <w:tcPr>
            <w:tcW w:w="979" w:type="dxa"/>
            <w:tcBorders>
              <w:top w:val="single" w:sz="4" w:space="0" w:color="auto"/>
              <w:bottom w:val="single" w:sz="4" w:space="0" w:color="auto"/>
            </w:tcBorders>
            <w:shd w:val="clear" w:color="auto" w:fill="auto"/>
          </w:tcPr>
          <w:p w:rsidR="00911F79" w:rsidRPr="00BD574A" w:rsidRDefault="00911F79" w:rsidP="004E49F4">
            <w:pPr>
              <w:pStyle w:val="ENoteTableText"/>
            </w:pPr>
            <w:smartTag w:uri="urn:schemas-microsoft-com:office:smarttags" w:element="date">
              <w:smartTagPr>
                <w:attr w:name="Month" w:val="3"/>
                <w:attr w:name="Day" w:val="26"/>
                <w:attr w:name="Year" w:val="2009"/>
              </w:smartTagPr>
              <w:r w:rsidRPr="00BD574A">
                <w:t>26 Mar 2009</w:t>
              </w:r>
            </w:smartTag>
          </w:p>
        </w:tc>
        <w:tc>
          <w:tcPr>
            <w:tcW w:w="1856" w:type="dxa"/>
            <w:gridSpan w:val="2"/>
            <w:tcBorders>
              <w:top w:val="single" w:sz="4" w:space="0" w:color="auto"/>
              <w:bottom w:val="single" w:sz="4" w:space="0" w:color="auto"/>
            </w:tcBorders>
            <w:shd w:val="clear" w:color="auto" w:fill="auto"/>
          </w:tcPr>
          <w:p w:rsidR="00911F79" w:rsidRPr="00BD574A" w:rsidRDefault="00911F79" w:rsidP="004E49F4">
            <w:pPr>
              <w:pStyle w:val="ENoteTableText"/>
            </w:pPr>
            <w:r w:rsidRPr="00BD574A">
              <w:t>Schedule</w:t>
            </w:r>
            <w:r w:rsidR="00BD574A">
              <w:t> </w:t>
            </w:r>
            <w:r w:rsidRPr="00BD574A">
              <w:t>2 (items</w:t>
            </w:r>
            <w:r w:rsidR="00BD574A">
              <w:t> </w:t>
            </w:r>
            <w:r w:rsidRPr="00BD574A">
              <w:t>58, 59, 71) and Schedule</w:t>
            </w:r>
            <w:r w:rsidR="00BD574A">
              <w:t> </w:t>
            </w:r>
            <w:r w:rsidRPr="00BD574A">
              <w:t>3 (items</w:t>
            </w:r>
            <w:r w:rsidR="00BD574A">
              <w:t> </w:t>
            </w:r>
            <w:r w:rsidRPr="00BD574A">
              <w:t xml:space="preserve">88, 102(1)): </w:t>
            </w:r>
            <w:smartTag w:uri="urn:schemas-microsoft-com:office:smarttags" w:element="date">
              <w:smartTagPr>
                <w:attr w:name="Month" w:val="3"/>
                <w:attr w:name="Day" w:val="27"/>
                <w:attr w:name="Year" w:val="2009"/>
              </w:smartTagPr>
              <w:r w:rsidRPr="00BD574A">
                <w:t>27 Mar 2009</w:t>
              </w:r>
            </w:smartTag>
          </w:p>
        </w:tc>
        <w:tc>
          <w:tcPr>
            <w:tcW w:w="1701"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t>Sch. 2 (item</w:t>
            </w:r>
            <w:r w:rsidR="00BD574A">
              <w:t> </w:t>
            </w:r>
            <w:r w:rsidRPr="00BD574A">
              <w:t>71) and Sch. 3 (item</w:t>
            </w:r>
            <w:r w:rsidR="00BD574A">
              <w:t> </w:t>
            </w:r>
            <w:r w:rsidRPr="00BD574A">
              <w:t>102(1))</w:t>
            </w:r>
          </w:p>
        </w:tc>
      </w:tr>
      <w:tr w:rsidR="00911F79" w:rsidRPr="00BD574A" w:rsidTr="004B33FC">
        <w:trPr>
          <w:cantSplit/>
        </w:trPr>
        <w:tc>
          <w:tcPr>
            <w:tcW w:w="1966"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t>Tax Laws Amendment (2009 Budget Measures No.</w:t>
            </w:r>
            <w:r w:rsidR="00BD574A">
              <w:t> </w:t>
            </w:r>
            <w:r w:rsidRPr="00BD574A">
              <w:t>1) Act 2009</w:t>
            </w:r>
          </w:p>
        </w:tc>
        <w:tc>
          <w:tcPr>
            <w:tcW w:w="869" w:type="dxa"/>
            <w:gridSpan w:val="2"/>
            <w:tcBorders>
              <w:top w:val="single" w:sz="4" w:space="0" w:color="auto"/>
              <w:bottom w:val="single" w:sz="4" w:space="0" w:color="auto"/>
            </w:tcBorders>
            <w:shd w:val="clear" w:color="auto" w:fill="auto"/>
          </w:tcPr>
          <w:p w:rsidR="00911F79" w:rsidRPr="00BD574A" w:rsidRDefault="00911F79" w:rsidP="004E49F4">
            <w:pPr>
              <w:pStyle w:val="ENoteTableText"/>
            </w:pPr>
            <w:r w:rsidRPr="00BD574A">
              <w:t>62, 2009</w:t>
            </w:r>
          </w:p>
        </w:tc>
        <w:tc>
          <w:tcPr>
            <w:tcW w:w="979"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t>29</w:t>
            </w:r>
            <w:r w:rsidR="00BD574A">
              <w:t> </w:t>
            </w:r>
            <w:r w:rsidRPr="00BD574A">
              <w:t>June 2009</w:t>
            </w:r>
          </w:p>
        </w:tc>
        <w:tc>
          <w:tcPr>
            <w:tcW w:w="1856" w:type="dxa"/>
            <w:gridSpan w:val="2"/>
            <w:tcBorders>
              <w:top w:val="single" w:sz="4" w:space="0" w:color="auto"/>
              <w:bottom w:val="single" w:sz="4" w:space="0" w:color="auto"/>
            </w:tcBorders>
            <w:shd w:val="clear" w:color="auto" w:fill="auto"/>
          </w:tcPr>
          <w:p w:rsidR="00911F79" w:rsidRPr="00BD574A" w:rsidRDefault="00911F79" w:rsidP="004E49F4">
            <w:pPr>
              <w:pStyle w:val="ENoteTableText"/>
            </w:pPr>
            <w:r w:rsidRPr="00BD574A">
              <w:t>Schedule</w:t>
            </w:r>
            <w:r w:rsidR="00BD574A">
              <w:t> </w:t>
            </w:r>
            <w:r w:rsidRPr="00BD574A">
              <w:t>2: Royal Assent</w:t>
            </w:r>
          </w:p>
        </w:tc>
        <w:tc>
          <w:tcPr>
            <w:tcW w:w="1701"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t>Sch. 2 (item</w:t>
            </w:r>
            <w:r w:rsidR="00BD574A">
              <w:t> </w:t>
            </w:r>
            <w:r w:rsidRPr="00BD574A">
              <w:t>7)</w:t>
            </w:r>
          </w:p>
        </w:tc>
      </w:tr>
      <w:tr w:rsidR="00911F79" w:rsidRPr="00BD574A" w:rsidTr="004B33FC">
        <w:trPr>
          <w:cantSplit/>
        </w:trPr>
        <w:tc>
          <w:tcPr>
            <w:tcW w:w="1966"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t>Tax Laws Amendment (2010 Measures No.</w:t>
            </w:r>
            <w:r w:rsidR="00BD574A">
              <w:t> </w:t>
            </w:r>
            <w:r w:rsidRPr="00BD574A">
              <w:t>3) Act 2010</w:t>
            </w:r>
          </w:p>
        </w:tc>
        <w:tc>
          <w:tcPr>
            <w:tcW w:w="869" w:type="dxa"/>
            <w:gridSpan w:val="2"/>
            <w:tcBorders>
              <w:top w:val="single" w:sz="4" w:space="0" w:color="auto"/>
              <w:bottom w:val="single" w:sz="4" w:space="0" w:color="auto"/>
            </w:tcBorders>
            <w:shd w:val="clear" w:color="auto" w:fill="auto"/>
          </w:tcPr>
          <w:p w:rsidR="00911F79" w:rsidRPr="00BD574A" w:rsidRDefault="00911F79" w:rsidP="004E49F4">
            <w:pPr>
              <w:pStyle w:val="ENoteTableText"/>
            </w:pPr>
            <w:r w:rsidRPr="00BD574A">
              <w:t>90, 2010</w:t>
            </w:r>
          </w:p>
        </w:tc>
        <w:tc>
          <w:tcPr>
            <w:tcW w:w="979"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t>29</w:t>
            </w:r>
            <w:r w:rsidR="00BD574A">
              <w:t> </w:t>
            </w:r>
            <w:r w:rsidRPr="00BD574A">
              <w:t>June 2010</w:t>
            </w:r>
          </w:p>
        </w:tc>
        <w:tc>
          <w:tcPr>
            <w:tcW w:w="1856" w:type="dxa"/>
            <w:gridSpan w:val="2"/>
            <w:tcBorders>
              <w:top w:val="single" w:sz="4" w:space="0" w:color="auto"/>
              <w:bottom w:val="single" w:sz="4" w:space="0" w:color="auto"/>
            </w:tcBorders>
            <w:shd w:val="clear" w:color="auto" w:fill="auto"/>
          </w:tcPr>
          <w:p w:rsidR="00911F79" w:rsidRPr="00BD574A" w:rsidRDefault="00911F79" w:rsidP="004E49F4">
            <w:pPr>
              <w:pStyle w:val="ENoteTableText"/>
            </w:pPr>
            <w:r w:rsidRPr="00BD574A">
              <w:t>Schedule</w:t>
            </w:r>
            <w:r w:rsidR="00BD574A">
              <w:t> </w:t>
            </w:r>
            <w:r w:rsidRPr="00BD574A">
              <w:t>1: 1</w:t>
            </w:r>
            <w:r w:rsidR="00BD574A">
              <w:t> </w:t>
            </w:r>
            <w:r w:rsidRPr="00BD574A">
              <w:t>July 2010</w:t>
            </w:r>
          </w:p>
        </w:tc>
        <w:tc>
          <w:tcPr>
            <w:tcW w:w="1701"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t>Sch. 1 (item</w:t>
            </w:r>
            <w:r w:rsidR="00BD574A">
              <w:t> </w:t>
            </w:r>
            <w:r w:rsidRPr="00BD574A">
              <w:t>7)</w:t>
            </w:r>
          </w:p>
        </w:tc>
      </w:tr>
      <w:tr w:rsidR="00911F79" w:rsidRPr="00BD574A" w:rsidTr="004B33FC">
        <w:trPr>
          <w:cantSplit/>
        </w:trPr>
        <w:tc>
          <w:tcPr>
            <w:tcW w:w="1966"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t>Tax Laws Amendment (Confidentiality of Taxpayer Information) Act 2010</w:t>
            </w:r>
          </w:p>
        </w:tc>
        <w:tc>
          <w:tcPr>
            <w:tcW w:w="869" w:type="dxa"/>
            <w:gridSpan w:val="2"/>
            <w:tcBorders>
              <w:top w:val="single" w:sz="4" w:space="0" w:color="auto"/>
              <w:bottom w:val="single" w:sz="4" w:space="0" w:color="auto"/>
            </w:tcBorders>
            <w:shd w:val="clear" w:color="auto" w:fill="auto"/>
          </w:tcPr>
          <w:p w:rsidR="00911F79" w:rsidRPr="00BD574A" w:rsidRDefault="00911F79" w:rsidP="004E49F4">
            <w:pPr>
              <w:pStyle w:val="ENoteTableText"/>
            </w:pPr>
            <w:r w:rsidRPr="00BD574A">
              <w:t>145, 2010</w:t>
            </w:r>
          </w:p>
        </w:tc>
        <w:tc>
          <w:tcPr>
            <w:tcW w:w="979"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t>16 Dec 2010</w:t>
            </w:r>
          </w:p>
        </w:tc>
        <w:tc>
          <w:tcPr>
            <w:tcW w:w="1856" w:type="dxa"/>
            <w:gridSpan w:val="2"/>
            <w:tcBorders>
              <w:top w:val="single" w:sz="4" w:space="0" w:color="auto"/>
              <w:bottom w:val="single" w:sz="4" w:space="0" w:color="auto"/>
            </w:tcBorders>
            <w:shd w:val="clear" w:color="auto" w:fill="auto"/>
          </w:tcPr>
          <w:p w:rsidR="00911F79" w:rsidRPr="00BD574A" w:rsidRDefault="00911F79" w:rsidP="004E49F4">
            <w:pPr>
              <w:pStyle w:val="ENoteTableText"/>
            </w:pPr>
            <w:r w:rsidRPr="00BD574A">
              <w:t>Schedule</w:t>
            </w:r>
            <w:r w:rsidR="00BD574A">
              <w:t> </w:t>
            </w:r>
            <w:r w:rsidRPr="00BD574A">
              <w:t>2 (items</w:t>
            </w:r>
            <w:r w:rsidR="00BD574A">
              <w:t> </w:t>
            </w:r>
            <w:r w:rsidRPr="00BD574A">
              <w:t>74–79): 17 Dec 2010</w:t>
            </w:r>
          </w:p>
        </w:tc>
        <w:tc>
          <w:tcPr>
            <w:tcW w:w="1701"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t>—</w:t>
            </w:r>
          </w:p>
        </w:tc>
      </w:tr>
      <w:tr w:rsidR="00911F79" w:rsidRPr="00BD574A" w:rsidTr="004B33FC">
        <w:trPr>
          <w:cantSplit/>
        </w:trPr>
        <w:tc>
          <w:tcPr>
            <w:tcW w:w="1966"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t>Acts Interpretation Amendment Act 2011</w:t>
            </w:r>
          </w:p>
        </w:tc>
        <w:tc>
          <w:tcPr>
            <w:tcW w:w="869" w:type="dxa"/>
            <w:gridSpan w:val="2"/>
            <w:tcBorders>
              <w:top w:val="single" w:sz="4" w:space="0" w:color="auto"/>
              <w:bottom w:val="single" w:sz="4" w:space="0" w:color="auto"/>
            </w:tcBorders>
            <w:shd w:val="clear" w:color="auto" w:fill="auto"/>
          </w:tcPr>
          <w:p w:rsidR="00911F79" w:rsidRPr="00BD574A" w:rsidRDefault="00911F79" w:rsidP="004E49F4">
            <w:pPr>
              <w:pStyle w:val="ENoteTableText"/>
            </w:pPr>
            <w:r w:rsidRPr="00BD574A">
              <w:t>46, 2011</w:t>
            </w:r>
          </w:p>
        </w:tc>
        <w:tc>
          <w:tcPr>
            <w:tcW w:w="979"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t>27</w:t>
            </w:r>
            <w:r w:rsidR="00BD574A">
              <w:t> </w:t>
            </w:r>
            <w:r w:rsidRPr="00BD574A">
              <w:t>June 2011</w:t>
            </w:r>
          </w:p>
        </w:tc>
        <w:tc>
          <w:tcPr>
            <w:tcW w:w="1856" w:type="dxa"/>
            <w:gridSpan w:val="2"/>
            <w:tcBorders>
              <w:top w:val="single" w:sz="4" w:space="0" w:color="auto"/>
              <w:bottom w:val="single" w:sz="4" w:space="0" w:color="auto"/>
            </w:tcBorders>
            <w:shd w:val="clear" w:color="auto" w:fill="auto"/>
          </w:tcPr>
          <w:p w:rsidR="00911F79" w:rsidRPr="00BD574A" w:rsidRDefault="00911F79" w:rsidP="004E49F4">
            <w:pPr>
              <w:pStyle w:val="ENoteTableText"/>
            </w:pPr>
            <w:r w:rsidRPr="00BD574A">
              <w:t>Schedule</w:t>
            </w:r>
            <w:r w:rsidR="00BD574A">
              <w:t> </w:t>
            </w:r>
            <w:r w:rsidRPr="00BD574A">
              <w:t>2 (item</w:t>
            </w:r>
            <w:r w:rsidR="00BD574A">
              <w:t> </w:t>
            </w:r>
            <w:r w:rsidRPr="00BD574A">
              <w:t>1087) and Schedule</w:t>
            </w:r>
            <w:r w:rsidR="00BD574A">
              <w:t> </w:t>
            </w:r>
            <w:r w:rsidRPr="00BD574A">
              <w:t>3 (items</w:t>
            </w:r>
            <w:r w:rsidR="00BD574A">
              <w:t> </w:t>
            </w:r>
            <w:r w:rsidRPr="00BD574A">
              <w:t>10, 11): 27 Dec 2011</w:t>
            </w:r>
          </w:p>
        </w:tc>
        <w:tc>
          <w:tcPr>
            <w:tcW w:w="1701"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t>Sch. 3 (items</w:t>
            </w:r>
            <w:r w:rsidR="00BD574A">
              <w:t> </w:t>
            </w:r>
            <w:r w:rsidRPr="00BD574A">
              <w:t>10, 11)</w:t>
            </w:r>
          </w:p>
        </w:tc>
      </w:tr>
      <w:tr w:rsidR="00911F79" w:rsidRPr="00BD574A" w:rsidTr="004B33FC">
        <w:trPr>
          <w:cantSplit/>
        </w:trPr>
        <w:tc>
          <w:tcPr>
            <w:tcW w:w="1966" w:type="dxa"/>
            <w:tcBorders>
              <w:top w:val="single" w:sz="4" w:space="0" w:color="auto"/>
              <w:bottom w:val="single" w:sz="4" w:space="0" w:color="auto"/>
            </w:tcBorders>
            <w:shd w:val="clear" w:color="auto" w:fill="auto"/>
          </w:tcPr>
          <w:p w:rsidR="00911F79" w:rsidRPr="00BD574A" w:rsidRDefault="00911F79" w:rsidP="004E49F4">
            <w:pPr>
              <w:pStyle w:val="ENoteTableText"/>
            </w:pPr>
            <w:bookmarkStart w:id="78" w:name="CU_1981033"/>
            <w:bookmarkEnd w:id="78"/>
            <w:r w:rsidRPr="00BD574A">
              <w:t>Tax Laws Amendment (Stronger, Fairer, Simpler and Other Measures) Act 2012</w:t>
            </w:r>
          </w:p>
        </w:tc>
        <w:tc>
          <w:tcPr>
            <w:tcW w:w="869" w:type="dxa"/>
            <w:gridSpan w:val="2"/>
            <w:tcBorders>
              <w:top w:val="single" w:sz="4" w:space="0" w:color="auto"/>
              <w:bottom w:val="single" w:sz="4" w:space="0" w:color="auto"/>
            </w:tcBorders>
            <w:shd w:val="clear" w:color="auto" w:fill="auto"/>
          </w:tcPr>
          <w:p w:rsidR="00911F79" w:rsidRPr="00BD574A" w:rsidRDefault="00911F79" w:rsidP="004E49F4">
            <w:pPr>
              <w:pStyle w:val="ENoteTableText"/>
            </w:pPr>
            <w:r w:rsidRPr="00BD574A">
              <w:t>23, 2012</w:t>
            </w:r>
          </w:p>
        </w:tc>
        <w:tc>
          <w:tcPr>
            <w:tcW w:w="979"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t>29 Mar 2012</w:t>
            </w:r>
          </w:p>
        </w:tc>
        <w:tc>
          <w:tcPr>
            <w:tcW w:w="1856" w:type="dxa"/>
            <w:gridSpan w:val="2"/>
            <w:tcBorders>
              <w:top w:val="single" w:sz="4" w:space="0" w:color="auto"/>
              <w:bottom w:val="single" w:sz="4" w:space="0" w:color="auto"/>
            </w:tcBorders>
            <w:shd w:val="clear" w:color="auto" w:fill="auto"/>
          </w:tcPr>
          <w:p w:rsidR="00911F79" w:rsidRPr="00BD574A" w:rsidRDefault="00911F79" w:rsidP="004E49F4">
            <w:pPr>
              <w:pStyle w:val="ENoteTableText"/>
            </w:pPr>
            <w:r w:rsidRPr="00BD574A">
              <w:t>Schedule</w:t>
            </w:r>
            <w:r w:rsidR="00BD574A">
              <w:t> </w:t>
            </w:r>
            <w:r w:rsidRPr="00BD574A">
              <w:t>4: 29 Mar 2012</w:t>
            </w:r>
          </w:p>
        </w:tc>
        <w:tc>
          <w:tcPr>
            <w:tcW w:w="1701"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t>Sch. 4 (item</w:t>
            </w:r>
            <w:r w:rsidR="00BD574A">
              <w:t> </w:t>
            </w:r>
            <w:r w:rsidRPr="00BD574A">
              <w:t>7)</w:t>
            </w:r>
          </w:p>
        </w:tc>
      </w:tr>
      <w:tr w:rsidR="00911F79" w:rsidRPr="00BD574A" w:rsidTr="004B33FC">
        <w:trPr>
          <w:cantSplit/>
        </w:trPr>
        <w:tc>
          <w:tcPr>
            <w:tcW w:w="1966"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lastRenderedPageBreak/>
              <w:t>Tax and Superannuation Laws Amendment (2012 Measures No.</w:t>
            </w:r>
            <w:r w:rsidR="00BD574A">
              <w:t> </w:t>
            </w:r>
            <w:r w:rsidRPr="00BD574A">
              <w:t>1) Act 2012</w:t>
            </w:r>
          </w:p>
        </w:tc>
        <w:tc>
          <w:tcPr>
            <w:tcW w:w="869" w:type="dxa"/>
            <w:gridSpan w:val="2"/>
            <w:tcBorders>
              <w:top w:val="single" w:sz="4" w:space="0" w:color="auto"/>
              <w:bottom w:val="single" w:sz="4" w:space="0" w:color="auto"/>
            </w:tcBorders>
            <w:shd w:val="clear" w:color="auto" w:fill="auto"/>
          </w:tcPr>
          <w:p w:rsidR="00911F79" w:rsidRPr="00BD574A" w:rsidRDefault="00911F79" w:rsidP="004E49F4">
            <w:pPr>
              <w:pStyle w:val="ENoteTableText"/>
            </w:pPr>
            <w:r w:rsidRPr="00BD574A">
              <w:t>75, 2012</w:t>
            </w:r>
          </w:p>
        </w:tc>
        <w:tc>
          <w:tcPr>
            <w:tcW w:w="979"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t>27</w:t>
            </w:r>
            <w:r w:rsidR="00BD574A">
              <w:t> </w:t>
            </w:r>
            <w:r w:rsidRPr="00BD574A">
              <w:t>June 2012</w:t>
            </w:r>
          </w:p>
        </w:tc>
        <w:tc>
          <w:tcPr>
            <w:tcW w:w="1856" w:type="dxa"/>
            <w:gridSpan w:val="2"/>
            <w:tcBorders>
              <w:top w:val="single" w:sz="4" w:space="0" w:color="auto"/>
              <w:bottom w:val="single" w:sz="4" w:space="0" w:color="auto"/>
            </w:tcBorders>
            <w:shd w:val="clear" w:color="auto" w:fill="auto"/>
          </w:tcPr>
          <w:p w:rsidR="00911F79" w:rsidRPr="00BD574A" w:rsidRDefault="00911F79" w:rsidP="004E49F4">
            <w:pPr>
              <w:pStyle w:val="ENoteTableText"/>
            </w:pPr>
            <w:r w:rsidRPr="00BD574A">
              <w:t>Schedule</w:t>
            </w:r>
            <w:r w:rsidR="00BD574A">
              <w:t> </w:t>
            </w:r>
            <w:r w:rsidRPr="00BD574A">
              <w:t>4 (items</w:t>
            </w:r>
            <w:r w:rsidR="00BD574A">
              <w:t> </w:t>
            </w:r>
            <w:r w:rsidRPr="00BD574A">
              <w:t>11, 12, 20)</w:t>
            </w:r>
            <w:r w:rsidR="005761B2" w:rsidRPr="00BD574A">
              <w:t>:</w:t>
            </w:r>
            <w:r w:rsidRPr="00BD574A">
              <w:t xml:space="preserve"> Royal Assent</w:t>
            </w:r>
          </w:p>
        </w:tc>
        <w:tc>
          <w:tcPr>
            <w:tcW w:w="1701"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t>Sch. 4 (item</w:t>
            </w:r>
            <w:r w:rsidR="00BD574A">
              <w:t> </w:t>
            </w:r>
            <w:r w:rsidRPr="00BD574A">
              <w:t>20)</w:t>
            </w:r>
          </w:p>
        </w:tc>
      </w:tr>
      <w:tr w:rsidR="00911F79" w:rsidRPr="00BD574A" w:rsidTr="004B33FC">
        <w:trPr>
          <w:cantSplit/>
        </w:trPr>
        <w:tc>
          <w:tcPr>
            <w:tcW w:w="1966"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t>Superannuation Legislation Amendment (New Zealand Arrangement) Act 2012</w:t>
            </w:r>
          </w:p>
        </w:tc>
        <w:tc>
          <w:tcPr>
            <w:tcW w:w="869" w:type="dxa"/>
            <w:gridSpan w:val="2"/>
            <w:tcBorders>
              <w:top w:val="single" w:sz="4" w:space="0" w:color="auto"/>
              <w:bottom w:val="single" w:sz="4" w:space="0" w:color="auto"/>
            </w:tcBorders>
            <w:shd w:val="clear" w:color="auto" w:fill="auto"/>
          </w:tcPr>
          <w:p w:rsidR="00911F79" w:rsidRPr="00BD574A" w:rsidRDefault="00911F79" w:rsidP="004E49F4">
            <w:pPr>
              <w:pStyle w:val="ENoteTableText"/>
            </w:pPr>
            <w:r w:rsidRPr="00BD574A">
              <w:t>181, 2012</w:t>
            </w:r>
          </w:p>
        </w:tc>
        <w:tc>
          <w:tcPr>
            <w:tcW w:w="979"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t>10 Dec 2012</w:t>
            </w:r>
          </w:p>
        </w:tc>
        <w:tc>
          <w:tcPr>
            <w:tcW w:w="1856" w:type="dxa"/>
            <w:gridSpan w:val="2"/>
            <w:tcBorders>
              <w:top w:val="single" w:sz="4" w:space="0" w:color="auto"/>
              <w:bottom w:val="single" w:sz="4" w:space="0" w:color="auto"/>
            </w:tcBorders>
            <w:shd w:val="clear" w:color="auto" w:fill="auto"/>
          </w:tcPr>
          <w:p w:rsidR="00911F79" w:rsidRPr="00BD574A" w:rsidRDefault="00911F79" w:rsidP="007E3A7A">
            <w:pPr>
              <w:pStyle w:val="ENoteTableText"/>
            </w:pPr>
            <w:r w:rsidRPr="00BD574A">
              <w:t>Schedule</w:t>
            </w:r>
            <w:r w:rsidR="00BD574A">
              <w:t> </w:t>
            </w:r>
            <w:r w:rsidRPr="00BD574A">
              <w:t>1 (items</w:t>
            </w:r>
            <w:r w:rsidR="00BD574A">
              <w:t> </w:t>
            </w:r>
            <w:r w:rsidRPr="00BD574A">
              <w:t xml:space="preserve">9, 12): </w:t>
            </w:r>
            <w:r w:rsidR="00934FF1" w:rsidRPr="00BD574A">
              <w:t>1</w:t>
            </w:r>
            <w:r w:rsidR="00BD574A">
              <w:t> </w:t>
            </w:r>
            <w:r w:rsidR="00934FF1" w:rsidRPr="00BD574A">
              <w:t>July 2013</w:t>
            </w:r>
            <w:r w:rsidR="005761B2" w:rsidRPr="00BD574A">
              <w:t xml:space="preserve"> (</w:t>
            </w:r>
            <w:r w:rsidR="005761B2" w:rsidRPr="00BD574A">
              <w:rPr>
                <w:i/>
              </w:rPr>
              <w:t>see</w:t>
            </w:r>
            <w:r w:rsidR="005761B2" w:rsidRPr="00BD574A">
              <w:t xml:space="preserve"> </w:t>
            </w:r>
            <w:r w:rsidR="005761B2" w:rsidRPr="00BD574A">
              <w:rPr>
                <w:i/>
              </w:rPr>
              <w:t>Gazette</w:t>
            </w:r>
            <w:r w:rsidR="005761B2" w:rsidRPr="00BD574A">
              <w:t xml:space="preserve"> 2013, No GN25)</w:t>
            </w:r>
          </w:p>
        </w:tc>
        <w:tc>
          <w:tcPr>
            <w:tcW w:w="1701"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t>Sch. 1 (item</w:t>
            </w:r>
            <w:r w:rsidR="00BD574A">
              <w:t> </w:t>
            </w:r>
            <w:r w:rsidRPr="00BD574A">
              <w:t>12)</w:t>
            </w:r>
          </w:p>
        </w:tc>
      </w:tr>
      <w:tr w:rsidR="00911F79" w:rsidRPr="00BD574A" w:rsidTr="004B33FC">
        <w:trPr>
          <w:cantSplit/>
        </w:trPr>
        <w:tc>
          <w:tcPr>
            <w:tcW w:w="1966"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t>Tax and Superannuation Laws Amendment (Increased Concessional Contributions Cap and Other Measures) Act 2013</w:t>
            </w:r>
          </w:p>
        </w:tc>
        <w:tc>
          <w:tcPr>
            <w:tcW w:w="869" w:type="dxa"/>
            <w:gridSpan w:val="2"/>
            <w:tcBorders>
              <w:top w:val="single" w:sz="4" w:space="0" w:color="auto"/>
              <w:bottom w:val="single" w:sz="4" w:space="0" w:color="auto"/>
            </w:tcBorders>
            <w:shd w:val="clear" w:color="auto" w:fill="auto"/>
          </w:tcPr>
          <w:p w:rsidR="00911F79" w:rsidRPr="00BD574A" w:rsidRDefault="00911F79" w:rsidP="004E49F4">
            <w:pPr>
              <w:pStyle w:val="ENoteTableText"/>
            </w:pPr>
            <w:r w:rsidRPr="00BD574A">
              <w:t>82, 2013</w:t>
            </w:r>
          </w:p>
        </w:tc>
        <w:tc>
          <w:tcPr>
            <w:tcW w:w="979"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t>28</w:t>
            </w:r>
            <w:r w:rsidR="00BD574A">
              <w:t> </w:t>
            </w:r>
            <w:r w:rsidRPr="00BD574A">
              <w:t>June 2013</w:t>
            </w:r>
          </w:p>
        </w:tc>
        <w:tc>
          <w:tcPr>
            <w:tcW w:w="1856" w:type="dxa"/>
            <w:gridSpan w:val="2"/>
            <w:tcBorders>
              <w:top w:val="single" w:sz="4" w:space="0" w:color="auto"/>
              <w:bottom w:val="single" w:sz="4" w:space="0" w:color="auto"/>
            </w:tcBorders>
            <w:shd w:val="clear" w:color="auto" w:fill="auto"/>
          </w:tcPr>
          <w:p w:rsidR="00911F79" w:rsidRPr="00BD574A" w:rsidRDefault="00911F79" w:rsidP="004E49F4">
            <w:pPr>
              <w:pStyle w:val="ENoteTableText"/>
            </w:pPr>
            <w:r w:rsidRPr="00BD574A">
              <w:t>Schedule</w:t>
            </w:r>
            <w:r w:rsidR="00BD574A">
              <w:t> </w:t>
            </w:r>
            <w:r w:rsidRPr="00BD574A">
              <w:t>2: Royal Assent</w:t>
            </w:r>
          </w:p>
        </w:tc>
        <w:tc>
          <w:tcPr>
            <w:tcW w:w="1701"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t>Sch. 2 (item</w:t>
            </w:r>
            <w:r w:rsidR="00BD574A">
              <w:t> </w:t>
            </w:r>
            <w:r w:rsidRPr="00BD574A">
              <w:t>15)</w:t>
            </w:r>
          </w:p>
        </w:tc>
      </w:tr>
      <w:tr w:rsidR="00B452F4" w:rsidRPr="00BD574A" w:rsidTr="004B33FC">
        <w:trPr>
          <w:cantSplit/>
        </w:trPr>
        <w:tc>
          <w:tcPr>
            <w:tcW w:w="1966"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t>Tax and Superannuation Laws Amendment (2013 Measures No.</w:t>
            </w:r>
            <w:r w:rsidR="00BD574A">
              <w:t> </w:t>
            </w:r>
            <w:r w:rsidRPr="00BD574A">
              <w:t>2) Act 2013</w:t>
            </w:r>
          </w:p>
        </w:tc>
        <w:tc>
          <w:tcPr>
            <w:tcW w:w="869" w:type="dxa"/>
            <w:gridSpan w:val="2"/>
            <w:tcBorders>
              <w:top w:val="single" w:sz="4" w:space="0" w:color="auto"/>
              <w:bottom w:val="single" w:sz="4" w:space="0" w:color="auto"/>
            </w:tcBorders>
            <w:shd w:val="clear" w:color="auto" w:fill="auto"/>
          </w:tcPr>
          <w:p w:rsidR="00911F79" w:rsidRPr="00BD574A" w:rsidRDefault="00911F79" w:rsidP="004E49F4">
            <w:pPr>
              <w:pStyle w:val="ENoteTableText"/>
            </w:pPr>
            <w:r w:rsidRPr="00BD574A">
              <w:t>85, 2013</w:t>
            </w:r>
          </w:p>
        </w:tc>
        <w:tc>
          <w:tcPr>
            <w:tcW w:w="979"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t>28</w:t>
            </w:r>
            <w:r w:rsidR="00BD574A">
              <w:t> </w:t>
            </w:r>
            <w:r w:rsidRPr="00BD574A">
              <w:t>June 2013</w:t>
            </w:r>
          </w:p>
        </w:tc>
        <w:tc>
          <w:tcPr>
            <w:tcW w:w="1856" w:type="dxa"/>
            <w:gridSpan w:val="2"/>
            <w:tcBorders>
              <w:top w:val="single" w:sz="4" w:space="0" w:color="auto"/>
              <w:bottom w:val="single" w:sz="4" w:space="0" w:color="auto"/>
            </w:tcBorders>
            <w:shd w:val="clear" w:color="auto" w:fill="auto"/>
          </w:tcPr>
          <w:p w:rsidR="00911F79" w:rsidRPr="00BD574A" w:rsidRDefault="00911F79" w:rsidP="004E49F4">
            <w:pPr>
              <w:pStyle w:val="ENoteTableText"/>
            </w:pPr>
            <w:r w:rsidRPr="00BD574A">
              <w:t>Schedule</w:t>
            </w:r>
            <w:r w:rsidR="00BD574A">
              <w:t> </w:t>
            </w:r>
            <w:r w:rsidRPr="00BD574A">
              <w:t>6: Royal Assent</w:t>
            </w:r>
          </w:p>
        </w:tc>
        <w:tc>
          <w:tcPr>
            <w:tcW w:w="1701" w:type="dxa"/>
            <w:tcBorders>
              <w:top w:val="single" w:sz="4" w:space="0" w:color="auto"/>
              <w:bottom w:val="single" w:sz="4" w:space="0" w:color="auto"/>
            </w:tcBorders>
            <w:shd w:val="clear" w:color="auto" w:fill="auto"/>
          </w:tcPr>
          <w:p w:rsidR="00911F79" w:rsidRPr="00BD574A" w:rsidRDefault="00911F79" w:rsidP="004E49F4">
            <w:pPr>
              <w:pStyle w:val="ENoteTableText"/>
            </w:pPr>
            <w:r w:rsidRPr="00BD574A">
              <w:t>Sch. 6 (item</w:t>
            </w:r>
            <w:r w:rsidR="00BD574A">
              <w:t> </w:t>
            </w:r>
            <w:r w:rsidRPr="00BD574A">
              <w:t>10)</w:t>
            </w:r>
          </w:p>
        </w:tc>
      </w:tr>
      <w:tr w:rsidR="00B452F4" w:rsidRPr="00BD574A" w:rsidTr="004B33FC">
        <w:trPr>
          <w:cantSplit/>
        </w:trPr>
        <w:tc>
          <w:tcPr>
            <w:tcW w:w="1966" w:type="dxa"/>
            <w:tcBorders>
              <w:top w:val="single" w:sz="4" w:space="0" w:color="auto"/>
              <w:bottom w:val="single" w:sz="4" w:space="0" w:color="auto"/>
            </w:tcBorders>
            <w:shd w:val="clear" w:color="auto" w:fill="auto"/>
          </w:tcPr>
          <w:p w:rsidR="00B452F4" w:rsidRPr="00BD574A" w:rsidRDefault="00B452F4" w:rsidP="004E49F4">
            <w:pPr>
              <w:pStyle w:val="ENoteTableText"/>
            </w:pPr>
            <w:r w:rsidRPr="00BD574A">
              <w:t>Tax Laws Amendment (Fairer Taxation of Excess Concessional Contributions) Act 2013</w:t>
            </w:r>
          </w:p>
        </w:tc>
        <w:tc>
          <w:tcPr>
            <w:tcW w:w="869" w:type="dxa"/>
            <w:gridSpan w:val="2"/>
            <w:tcBorders>
              <w:top w:val="single" w:sz="4" w:space="0" w:color="auto"/>
              <w:bottom w:val="single" w:sz="4" w:space="0" w:color="auto"/>
            </w:tcBorders>
            <w:shd w:val="clear" w:color="auto" w:fill="auto"/>
          </w:tcPr>
          <w:p w:rsidR="00B452F4" w:rsidRPr="00BD574A" w:rsidRDefault="00B452F4" w:rsidP="004E49F4">
            <w:pPr>
              <w:pStyle w:val="ENoteTableText"/>
            </w:pPr>
            <w:r w:rsidRPr="00BD574A">
              <w:t>118, 2013</w:t>
            </w:r>
          </w:p>
        </w:tc>
        <w:tc>
          <w:tcPr>
            <w:tcW w:w="979" w:type="dxa"/>
            <w:tcBorders>
              <w:top w:val="single" w:sz="4" w:space="0" w:color="auto"/>
              <w:bottom w:val="single" w:sz="4" w:space="0" w:color="auto"/>
            </w:tcBorders>
            <w:shd w:val="clear" w:color="auto" w:fill="auto"/>
          </w:tcPr>
          <w:p w:rsidR="00B452F4" w:rsidRPr="00BD574A" w:rsidRDefault="00767D85" w:rsidP="004E49F4">
            <w:pPr>
              <w:pStyle w:val="ENoteTableText"/>
            </w:pPr>
            <w:r w:rsidRPr="00BD574A">
              <w:t>29</w:t>
            </w:r>
            <w:r w:rsidR="00BD574A">
              <w:t> </w:t>
            </w:r>
            <w:r w:rsidR="00B452F4" w:rsidRPr="00BD574A">
              <w:t>June 2013</w:t>
            </w:r>
          </w:p>
        </w:tc>
        <w:tc>
          <w:tcPr>
            <w:tcW w:w="1856" w:type="dxa"/>
            <w:gridSpan w:val="2"/>
            <w:tcBorders>
              <w:top w:val="single" w:sz="4" w:space="0" w:color="auto"/>
              <w:bottom w:val="single" w:sz="4" w:space="0" w:color="auto"/>
            </w:tcBorders>
            <w:shd w:val="clear" w:color="auto" w:fill="auto"/>
          </w:tcPr>
          <w:p w:rsidR="00B452F4" w:rsidRPr="00BD574A" w:rsidRDefault="00B452F4" w:rsidP="00767D85">
            <w:pPr>
              <w:pStyle w:val="ENoteTableText"/>
            </w:pPr>
            <w:r w:rsidRPr="00BD574A">
              <w:t>Sch 1 (items</w:t>
            </w:r>
            <w:r w:rsidR="00BD574A">
              <w:t> </w:t>
            </w:r>
            <w:r w:rsidRPr="00BD574A">
              <w:t>27, 28</w:t>
            </w:r>
            <w:r w:rsidR="00767D85" w:rsidRPr="00BD574A">
              <w:t>, 110</w:t>
            </w:r>
            <w:r w:rsidRPr="00BD574A">
              <w:t xml:space="preserve">): </w:t>
            </w:r>
            <w:r w:rsidR="00767D85" w:rsidRPr="00BD574A">
              <w:t>Royal Assent</w:t>
            </w:r>
          </w:p>
        </w:tc>
        <w:tc>
          <w:tcPr>
            <w:tcW w:w="1701" w:type="dxa"/>
            <w:tcBorders>
              <w:top w:val="single" w:sz="4" w:space="0" w:color="auto"/>
              <w:bottom w:val="single" w:sz="4" w:space="0" w:color="auto"/>
            </w:tcBorders>
            <w:shd w:val="clear" w:color="auto" w:fill="auto"/>
          </w:tcPr>
          <w:p w:rsidR="00B452F4" w:rsidRPr="00BD574A" w:rsidRDefault="00B452F4" w:rsidP="004E49F4">
            <w:pPr>
              <w:pStyle w:val="ENoteTableText"/>
            </w:pPr>
            <w:r w:rsidRPr="00BD574A">
              <w:t>Sch 1 (item</w:t>
            </w:r>
            <w:r w:rsidR="00BD574A">
              <w:t> </w:t>
            </w:r>
            <w:r w:rsidRPr="00BD574A">
              <w:t>110)</w:t>
            </w:r>
          </w:p>
        </w:tc>
      </w:tr>
      <w:tr w:rsidR="00252CFD" w:rsidRPr="00BD574A" w:rsidTr="004B33FC">
        <w:trPr>
          <w:cantSplit/>
        </w:trPr>
        <w:tc>
          <w:tcPr>
            <w:tcW w:w="1966" w:type="dxa"/>
            <w:tcBorders>
              <w:top w:val="single" w:sz="4" w:space="0" w:color="auto"/>
              <w:bottom w:val="single" w:sz="4" w:space="0" w:color="auto"/>
            </w:tcBorders>
            <w:shd w:val="clear" w:color="auto" w:fill="auto"/>
          </w:tcPr>
          <w:p w:rsidR="00252CFD" w:rsidRPr="00BD574A" w:rsidRDefault="00252CFD" w:rsidP="004E49F4">
            <w:pPr>
              <w:pStyle w:val="ENoteTableText"/>
            </w:pPr>
            <w:r w:rsidRPr="00BD574A">
              <w:t>Tax Laws Amendment (2013 Measures No.</w:t>
            </w:r>
            <w:r w:rsidR="00BD574A">
              <w:t> </w:t>
            </w:r>
            <w:r w:rsidRPr="00BD574A">
              <w:t>2) Act 2013</w:t>
            </w:r>
          </w:p>
        </w:tc>
        <w:tc>
          <w:tcPr>
            <w:tcW w:w="869" w:type="dxa"/>
            <w:gridSpan w:val="2"/>
            <w:tcBorders>
              <w:top w:val="single" w:sz="4" w:space="0" w:color="auto"/>
              <w:bottom w:val="single" w:sz="4" w:space="0" w:color="auto"/>
            </w:tcBorders>
            <w:shd w:val="clear" w:color="auto" w:fill="auto"/>
          </w:tcPr>
          <w:p w:rsidR="00252CFD" w:rsidRPr="00BD574A" w:rsidRDefault="00252CFD" w:rsidP="004E49F4">
            <w:pPr>
              <w:pStyle w:val="ENoteTableText"/>
            </w:pPr>
            <w:r w:rsidRPr="00BD574A">
              <w:t>124, 2013</w:t>
            </w:r>
          </w:p>
        </w:tc>
        <w:tc>
          <w:tcPr>
            <w:tcW w:w="979" w:type="dxa"/>
            <w:tcBorders>
              <w:top w:val="single" w:sz="4" w:space="0" w:color="auto"/>
              <w:bottom w:val="single" w:sz="4" w:space="0" w:color="auto"/>
            </w:tcBorders>
            <w:shd w:val="clear" w:color="auto" w:fill="auto"/>
          </w:tcPr>
          <w:p w:rsidR="00252CFD" w:rsidRPr="00BD574A" w:rsidRDefault="00252CFD" w:rsidP="004E49F4">
            <w:pPr>
              <w:pStyle w:val="ENoteTableText"/>
            </w:pPr>
            <w:r w:rsidRPr="00BD574A">
              <w:t>29</w:t>
            </w:r>
            <w:r w:rsidR="00BD574A">
              <w:t> </w:t>
            </w:r>
            <w:r w:rsidRPr="00BD574A">
              <w:t>June 2013</w:t>
            </w:r>
          </w:p>
        </w:tc>
        <w:tc>
          <w:tcPr>
            <w:tcW w:w="1856" w:type="dxa"/>
            <w:gridSpan w:val="2"/>
            <w:tcBorders>
              <w:top w:val="single" w:sz="4" w:space="0" w:color="auto"/>
              <w:bottom w:val="single" w:sz="4" w:space="0" w:color="auto"/>
            </w:tcBorders>
            <w:shd w:val="clear" w:color="auto" w:fill="auto"/>
          </w:tcPr>
          <w:p w:rsidR="00252CFD" w:rsidRPr="00BD574A" w:rsidRDefault="00252CFD" w:rsidP="00767D85">
            <w:pPr>
              <w:pStyle w:val="ENoteTableText"/>
            </w:pPr>
            <w:r w:rsidRPr="00BD574A">
              <w:t>Sch 1 (items</w:t>
            </w:r>
            <w:r w:rsidR="00BD574A">
              <w:t> </w:t>
            </w:r>
            <w:r w:rsidRPr="00BD574A">
              <w:t>29, 32(2)): 30</w:t>
            </w:r>
            <w:r w:rsidR="00BD574A">
              <w:t> </w:t>
            </w:r>
            <w:r w:rsidRPr="00BD574A">
              <w:t>June 2013</w:t>
            </w:r>
          </w:p>
        </w:tc>
        <w:tc>
          <w:tcPr>
            <w:tcW w:w="1701" w:type="dxa"/>
            <w:tcBorders>
              <w:top w:val="single" w:sz="4" w:space="0" w:color="auto"/>
              <w:bottom w:val="single" w:sz="4" w:space="0" w:color="auto"/>
            </w:tcBorders>
            <w:shd w:val="clear" w:color="auto" w:fill="auto"/>
          </w:tcPr>
          <w:p w:rsidR="00252CFD" w:rsidRPr="00BD574A" w:rsidRDefault="00252CFD" w:rsidP="004E49F4">
            <w:pPr>
              <w:pStyle w:val="ENoteTableText"/>
            </w:pPr>
            <w:r w:rsidRPr="00BD574A">
              <w:t>Sch 1 (item</w:t>
            </w:r>
            <w:r w:rsidR="00BD574A">
              <w:t> </w:t>
            </w:r>
            <w:r w:rsidRPr="00BD574A">
              <w:t>32(2))</w:t>
            </w:r>
          </w:p>
        </w:tc>
      </w:tr>
      <w:tr w:rsidR="00BB3950" w:rsidRPr="00BD574A" w:rsidTr="004B33FC">
        <w:trPr>
          <w:cantSplit/>
        </w:trPr>
        <w:tc>
          <w:tcPr>
            <w:tcW w:w="1966" w:type="dxa"/>
            <w:tcBorders>
              <w:top w:val="single" w:sz="4" w:space="0" w:color="auto"/>
              <w:bottom w:val="nil"/>
            </w:tcBorders>
            <w:shd w:val="clear" w:color="auto" w:fill="auto"/>
          </w:tcPr>
          <w:p w:rsidR="00BB3950" w:rsidRPr="00BD574A" w:rsidRDefault="00BB3950" w:rsidP="004E49F4">
            <w:pPr>
              <w:pStyle w:val="ENoteTableText"/>
            </w:pPr>
            <w:r w:rsidRPr="00BD574A">
              <w:t>Minerals Resource Rent Tax Repeal and Other Measures Act 2014</w:t>
            </w:r>
          </w:p>
        </w:tc>
        <w:tc>
          <w:tcPr>
            <w:tcW w:w="869" w:type="dxa"/>
            <w:gridSpan w:val="2"/>
            <w:tcBorders>
              <w:top w:val="single" w:sz="4" w:space="0" w:color="auto"/>
              <w:bottom w:val="nil"/>
            </w:tcBorders>
            <w:shd w:val="clear" w:color="auto" w:fill="auto"/>
          </w:tcPr>
          <w:p w:rsidR="00BB3950" w:rsidRPr="00BD574A" w:rsidRDefault="00BB3950" w:rsidP="004E49F4">
            <w:pPr>
              <w:pStyle w:val="ENoteTableText"/>
            </w:pPr>
            <w:r w:rsidRPr="00BD574A">
              <w:t>96, 2014</w:t>
            </w:r>
          </w:p>
        </w:tc>
        <w:tc>
          <w:tcPr>
            <w:tcW w:w="979" w:type="dxa"/>
            <w:tcBorders>
              <w:top w:val="single" w:sz="4" w:space="0" w:color="auto"/>
              <w:bottom w:val="nil"/>
            </w:tcBorders>
            <w:shd w:val="clear" w:color="auto" w:fill="auto"/>
          </w:tcPr>
          <w:p w:rsidR="00BB3950" w:rsidRPr="00BD574A" w:rsidRDefault="00BB3950" w:rsidP="004E49F4">
            <w:pPr>
              <w:pStyle w:val="ENoteTableText"/>
            </w:pPr>
            <w:r w:rsidRPr="00BD574A">
              <w:t>5 Sept 2014</w:t>
            </w:r>
          </w:p>
        </w:tc>
        <w:tc>
          <w:tcPr>
            <w:tcW w:w="1856" w:type="dxa"/>
            <w:gridSpan w:val="2"/>
            <w:tcBorders>
              <w:top w:val="single" w:sz="4" w:space="0" w:color="auto"/>
              <w:bottom w:val="nil"/>
            </w:tcBorders>
            <w:shd w:val="clear" w:color="auto" w:fill="auto"/>
          </w:tcPr>
          <w:p w:rsidR="00BB3950" w:rsidRPr="00BD574A" w:rsidRDefault="00BB3950" w:rsidP="00630A75">
            <w:pPr>
              <w:pStyle w:val="ENoteTableText"/>
            </w:pPr>
            <w:r w:rsidRPr="00BD574A">
              <w:t>Sch 7: 1</w:t>
            </w:r>
            <w:r w:rsidR="00BD574A">
              <w:t> </w:t>
            </w:r>
            <w:r w:rsidRPr="00BD574A">
              <w:t>July 2017 (s</w:t>
            </w:r>
            <w:r w:rsidR="00630A75" w:rsidRPr="00BD574A">
              <w:t> </w:t>
            </w:r>
            <w:r w:rsidRPr="00BD574A">
              <w:t>2(1) item</w:t>
            </w:r>
            <w:r w:rsidR="00BD574A">
              <w:t> </w:t>
            </w:r>
            <w:r w:rsidRPr="00BD574A">
              <w:t>4)</w:t>
            </w:r>
          </w:p>
        </w:tc>
        <w:tc>
          <w:tcPr>
            <w:tcW w:w="1701" w:type="dxa"/>
            <w:tcBorders>
              <w:top w:val="single" w:sz="4" w:space="0" w:color="auto"/>
              <w:bottom w:val="nil"/>
            </w:tcBorders>
            <w:shd w:val="clear" w:color="auto" w:fill="auto"/>
          </w:tcPr>
          <w:p w:rsidR="00BB3950" w:rsidRPr="00BD574A" w:rsidRDefault="00630A75" w:rsidP="004E49F4">
            <w:pPr>
              <w:pStyle w:val="ENoteTableText"/>
            </w:pPr>
            <w:r w:rsidRPr="00BD574A">
              <w:t>Sch 7 (item</w:t>
            </w:r>
            <w:r w:rsidR="00E47FA5" w:rsidRPr="00BD574A">
              <w:t>s</w:t>
            </w:r>
            <w:r w:rsidR="00BD574A">
              <w:t> </w:t>
            </w:r>
            <w:r w:rsidRPr="00BD574A">
              <w:t>7–9)</w:t>
            </w:r>
          </w:p>
        </w:tc>
      </w:tr>
      <w:tr w:rsidR="002C21E5" w:rsidRPr="00BD574A" w:rsidTr="004B33FC">
        <w:trPr>
          <w:cantSplit/>
        </w:trPr>
        <w:tc>
          <w:tcPr>
            <w:tcW w:w="1966" w:type="dxa"/>
            <w:tcBorders>
              <w:top w:val="nil"/>
              <w:bottom w:val="nil"/>
            </w:tcBorders>
            <w:shd w:val="clear" w:color="auto" w:fill="auto"/>
          </w:tcPr>
          <w:p w:rsidR="002C21E5" w:rsidRPr="00BD574A" w:rsidRDefault="002C21E5" w:rsidP="006106FF">
            <w:pPr>
              <w:pStyle w:val="ENoteTTIndentHeading"/>
              <w:keepNext w:val="0"/>
            </w:pPr>
            <w:r w:rsidRPr="00BD574A">
              <w:t>as amended by</w:t>
            </w:r>
          </w:p>
        </w:tc>
        <w:tc>
          <w:tcPr>
            <w:tcW w:w="869" w:type="dxa"/>
            <w:gridSpan w:val="2"/>
            <w:tcBorders>
              <w:top w:val="nil"/>
              <w:bottom w:val="nil"/>
            </w:tcBorders>
            <w:shd w:val="clear" w:color="auto" w:fill="auto"/>
          </w:tcPr>
          <w:p w:rsidR="002C21E5" w:rsidRPr="00BD574A" w:rsidRDefault="002C21E5" w:rsidP="006106FF">
            <w:pPr>
              <w:pStyle w:val="ENoteTTIndentHeading"/>
              <w:keepNext w:val="0"/>
            </w:pPr>
          </w:p>
        </w:tc>
        <w:tc>
          <w:tcPr>
            <w:tcW w:w="979" w:type="dxa"/>
            <w:tcBorders>
              <w:top w:val="nil"/>
              <w:bottom w:val="nil"/>
            </w:tcBorders>
            <w:shd w:val="clear" w:color="auto" w:fill="auto"/>
          </w:tcPr>
          <w:p w:rsidR="002C21E5" w:rsidRPr="00BD574A" w:rsidRDefault="002C21E5" w:rsidP="006106FF">
            <w:pPr>
              <w:pStyle w:val="ENoteTTIndentHeading"/>
              <w:keepNext w:val="0"/>
            </w:pPr>
          </w:p>
        </w:tc>
        <w:tc>
          <w:tcPr>
            <w:tcW w:w="1856" w:type="dxa"/>
            <w:gridSpan w:val="2"/>
            <w:tcBorders>
              <w:top w:val="nil"/>
              <w:bottom w:val="nil"/>
            </w:tcBorders>
            <w:shd w:val="clear" w:color="auto" w:fill="auto"/>
          </w:tcPr>
          <w:p w:rsidR="002C21E5" w:rsidRPr="00BD574A" w:rsidRDefault="002C21E5" w:rsidP="006106FF">
            <w:pPr>
              <w:pStyle w:val="ENoteTTIndentHeading"/>
              <w:keepNext w:val="0"/>
            </w:pPr>
          </w:p>
        </w:tc>
        <w:tc>
          <w:tcPr>
            <w:tcW w:w="1701" w:type="dxa"/>
            <w:tcBorders>
              <w:top w:val="nil"/>
              <w:bottom w:val="nil"/>
            </w:tcBorders>
            <w:shd w:val="clear" w:color="auto" w:fill="auto"/>
          </w:tcPr>
          <w:p w:rsidR="002C21E5" w:rsidRPr="00BD574A" w:rsidRDefault="002C21E5" w:rsidP="006106FF">
            <w:pPr>
              <w:pStyle w:val="ENoteTTIndentHeading"/>
              <w:keepNext w:val="0"/>
            </w:pPr>
          </w:p>
        </w:tc>
      </w:tr>
      <w:tr w:rsidR="004B33FC" w:rsidRPr="00BD574A" w:rsidTr="004B33FC">
        <w:trPr>
          <w:cantSplit/>
        </w:trPr>
        <w:tc>
          <w:tcPr>
            <w:tcW w:w="1966" w:type="dxa"/>
            <w:tcBorders>
              <w:top w:val="nil"/>
              <w:bottom w:val="single" w:sz="4" w:space="0" w:color="auto"/>
            </w:tcBorders>
            <w:shd w:val="clear" w:color="auto" w:fill="auto"/>
          </w:tcPr>
          <w:p w:rsidR="004B33FC" w:rsidRPr="00BD574A" w:rsidRDefault="004B33FC" w:rsidP="006106FF">
            <w:pPr>
              <w:pStyle w:val="ENoteTTi"/>
              <w:keepNext w:val="0"/>
            </w:pPr>
            <w:r w:rsidRPr="00BD574A">
              <w:t>Treasury Laws Amendment (Fair and Sustainable Superannuation) Act 2016</w:t>
            </w:r>
          </w:p>
        </w:tc>
        <w:tc>
          <w:tcPr>
            <w:tcW w:w="869" w:type="dxa"/>
            <w:gridSpan w:val="2"/>
            <w:tcBorders>
              <w:top w:val="nil"/>
              <w:bottom w:val="single" w:sz="4" w:space="0" w:color="auto"/>
            </w:tcBorders>
            <w:shd w:val="clear" w:color="auto" w:fill="auto"/>
          </w:tcPr>
          <w:p w:rsidR="004B33FC" w:rsidRPr="00BD574A" w:rsidRDefault="004B33FC" w:rsidP="006106FF">
            <w:pPr>
              <w:pStyle w:val="ENoteTableText"/>
            </w:pPr>
            <w:r w:rsidRPr="00BD574A">
              <w:t>81, 2016</w:t>
            </w:r>
          </w:p>
        </w:tc>
        <w:tc>
          <w:tcPr>
            <w:tcW w:w="979" w:type="dxa"/>
            <w:tcBorders>
              <w:top w:val="nil"/>
              <w:bottom w:val="single" w:sz="4" w:space="0" w:color="auto"/>
            </w:tcBorders>
            <w:shd w:val="clear" w:color="auto" w:fill="auto"/>
          </w:tcPr>
          <w:p w:rsidR="004B33FC" w:rsidRPr="00BD574A" w:rsidRDefault="004B33FC" w:rsidP="006106FF">
            <w:pPr>
              <w:pStyle w:val="ENoteTTi"/>
              <w:keepNext w:val="0"/>
            </w:pPr>
            <w:r w:rsidRPr="00BD574A">
              <w:t>29 Nov 2016</w:t>
            </w:r>
          </w:p>
        </w:tc>
        <w:tc>
          <w:tcPr>
            <w:tcW w:w="1856" w:type="dxa"/>
            <w:gridSpan w:val="2"/>
            <w:tcBorders>
              <w:top w:val="nil"/>
              <w:bottom w:val="single" w:sz="4" w:space="0" w:color="auto"/>
            </w:tcBorders>
            <w:shd w:val="clear" w:color="auto" w:fill="auto"/>
          </w:tcPr>
          <w:p w:rsidR="004B33FC" w:rsidRPr="00BD574A" w:rsidRDefault="004B33FC" w:rsidP="006106FF">
            <w:pPr>
              <w:pStyle w:val="ENoteTableText"/>
            </w:pPr>
            <w:r w:rsidRPr="00BD574A">
              <w:t>Sch 4 (items</w:t>
            </w:r>
            <w:r w:rsidR="00BD574A">
              <w:t> </w:t>
            </w:r>
            <w:r w:rsidRPr="00BD574A">
              <w:t>7, 8): 2</w:t>
            </w:r>
            <w:r w:rsidR="00BD574A">
              <w:t> </w:t>
            </w:r>
            <w:r w:rsidRPr="00BD574A">
              <w:t>July 2017 (s 2(1) item</w:t>
            </w:r>
            <w:r w:rsidR="00BD574A">
              <w:t> </w:t>
            </w:r>
            <w:r w:rsidRPr="00BD574A">
              <w:t>3)</w:t>
            </w:r>
          </w:p>
        </w:tc>
        <w:tc>
          <w:tcPr>
            <w:tcW w:w="1701" w:type="dxa"/>
            <w:tcBorders>
              <w:top w:val="nil"/>
              <w:bottom w:val="single" w:sz="4" w:space="0" w:color="auto"/>
            </w:tcBorders>
            <w:shd w:val="clear" w:color="auto" w:fill="auto"/>
          </w:tcPr>
          <w:p w:rsidR="004B33FC" w:rsidRPr="00BD574A" w:rsidRDefault="004B33FC" w:rsidP="006106FF">
            <w:pPr>
              <w:pStyle w:val="ENoteTTi"/>
              <w:keepNext w:val="0"/>
            </w:pPr>
            <w:r w:rsidRPr="00BD574A">
              <w:t>—</w:t>
            </w:r>
          </w:p>
        </w:tc>
      </w:tr>
      <w:tr w:rsidR="004B33FC" w:rsidRPr="00BD574A" w:rsidTr="004B33FC">
        <w:trPr>
          <w:cantSplit/>
        </w:trPr>
        <w:tc>
          <w:tcPr>
            <w:tcW w:w="1966" w:type="dxa"/>
            <w:tcBorders>
              <w:top w:val="single" w:sz="4" w:space="0" w:color="auto"/>
              <w:bottom w:val="nil"/>
            </w:tcBorders>
            <w:shd w:val="clear" w:color="auto" w:fill="auto"/>
          </w:tcPr>
          <w:p w:rsidR="004B33FC" w:rsidRPr="00BD574A" w:rsidRDefault="004B33FC" w:rsidP="004E49F4">
            <w:pPr>
              <w:pStyle w:val="ENoteTableText"/>
            </w:pPr>
            <w:r w:rsidRPr="00BD574A">
              <w:lastRenderedPageBreak/>
              <w:t>Treasury Legislation Amendment (Repeal Day) Act 2015</w:t>
            </w:r>
          </w:p>
        </w:tc>
        <w:tc>
          <w:tcPr>
            <w:tcW w:w="869" w:type="dxa"/>
            <w:gridSpan w:val="2"/>
            <w:tcBorders>
              <w:top w:val="single" w:sz="4" w:space="0" w:color="auto"/>
              <w:bottom w:val="nil"/>
            </w:tcBorders>
            <w:shd w:val="clear" w:color="auto" w:fill="auto"/>
          </w:tcPr>
          <w:p w:rsidR="004B33FC" w:rsidRPr="00BD574A" w:rsidRDefault="004B33FC" w:rsidP="004E49F4">
            <w:pPr>
              <w:pStyle w:val="ENoteTableText"/>
            </w:pPr>
            <w:r w:rsidRPr="00BD574A">
              <w:t>2, 2015</w:t>
            </w:r>
          </w:p>
        </w:tc>
        <w:tc>
          <w:tcPr>
            <w:tcW w:w="979" w:type="dxa"/>
            <w:tcBorders>
              <w:top w:val="single" w:sz="4" w:space="0" w:color="auto"/>
              <w:bottom w:val="nil"/>
            </w:tcBorders>
            <w:shd w:val="clear" w:color="auto" w:fill="auto"/>
          </w:tcPr>
          <w:p w:rsidR="004B33FC" w:rsidRPr="00BD574A" w:rsidRDefault="004B33FC" w:rsidP="004E49F4">
            <w:pPr>
              <w:pStyle w:val="ENoteTableText"/>
            </w:pPr>
            <w:r w:rsidRPr="00BD574A">
              <w:t>25 Feb 2015</w:t>
            </w:r>
          </w:p>
        </w:tc>
        <w:tc>
          <w:tcPr>
            <w:tcW w:w="1856" w:type="dxa"/>
            <w:gridSpan w:val="2"/>
            <w:tcBorders>
              <w:top w:val="single" w:sz="4" w:space="0" w:color="auto"/>
              <w:bottom w:val="nil"/>
            </w:tcBorders>
            <w:shd w:val="clear" w:color="auto" w:fill="auto"/>
          </w:tcPr>
          <w:p w:rsidR="004B33FC" w:rsidRPr="00BD574A" w:rsidRDefault="004B33FC" w:rsidP="00F55286">
            <w:pPr>
              <w:pStyle w:val="ENoteTableText"/>
            </w:pPr>
            <w:r w:rsidRPr="00BD574A">
              <w:t>Sch 2 (items</w:t>
            </w:r>
            <w:r w:rsidR="00BD574A">
              <w:t> </w:t>
            </w:r>
            <w:r w:rsidRPr="00BD574A">
              <w:t>7, 73, 112, 113): 25 Feb 2015 (s 2(1) items</w:t>
            </w:r>
            <w:r w:rsidR="00BD574A">
              <w:t> </w:t>
            </w:r>
            <w:r w:rsidRPr="00BD574A">
              <w:t>3, 5)</w:t>
            </w:r>
            <w:r w:rsidRPr="00BD574A">
              <w:br/>
              <w:t>Sch 2 (items</w:t>
            </w:r>
            <w:r w:rsidR="00BD574A">
              <w:t> </w:t>
            </w:r>
            <w:r w:rsidRPr="00BD574A">
              <w:t>55–61): 1</w:t>
            </w:r>
            <w:r w:rsidR="00BD574A">
              <w:t> </w:t>
            </w:r>
            <w:r w:rsidRPr="00BD574A">
              <w:t>July 2015 (s 2(1) item</w:t>
            </w:r>
            <w:r w:rsidR="00BD574A">
              <w:t> </w:t>
            </w:r>
            <w:r w:rsidRPr="00BD574A">
              <w:t>4)</w:t>
            </w:r>
          </w:p>
        </w:tc>
        <w:tc>
          <w:tcPr>
            <w:tcW w:w="1701" w:type="dxa"/>
            <w:tcBorders>
              <w:top w:val="single" w:sz="4" w:space="0" w:color="auto"/>
              <w:bottom w:val="nil"/>
            </w:tcBorders>
            <w:shd w:val="clear" w:color="auto" w:fill="auto"/>
          </w:tcPr>
          <w:p w:rsidR="004B33FC" w:rsidRPr="00BD574A" w:rsidRDefault="004B33FC" w:rsidP="004E49F4">
            <w:pPr>
              <w:pStyle w:val="ENoteTableText"/>
            </w:pPr>
            <w:r w:rsidRPr="00BD574A">
              <w:t>Sch 2 (item</w:t>
            </w:r>
            <w:r w:rsidR="00BD574A">
              <w:t> </w:t>
            </w:r>
            <w:r w:rsidRPr="00BD574A">
              <w:t>73)</w:t>
            </w:r>
          </w:p>
        </w:tc>
      </w:tr>
      <w:tr w:rsidR="004B33FC" w:rsidRPr="00BD574A" w:rsidTr="004B33FC">
        <w:trPr>
          <w:cantSplit/>
        </w:trPr>
        <w:tc>
          <w:tcPr>
            <w:tcW w:w="1983" w:type="dxa"/>
            <w:gridSpan w:val="2"/>
            <w:tcBorders>
              <w:top w:val="nil"/>
              <w:bottom w:val="nil"/>
            </w:tcBorders>
            <w:shd w:val="clear" w:color="auto" w:fill="auto"/>
          </w:tcPr>
          <w:p w:rsidR="004B33FC" w:rsidRPr="00BD574A" w:rsidRDefault="004B33FC" w:rsidP="008B10DA">
            <w:pPr>
              <w:pStyle w:val="ENoteTTIndentHeading"/>
            </w:pPr>
            <w:r w:rsidRPr="00BD574A">
              <w:t>as amended by</w:t>
            </w:r>
          </w:p>
        </w:tc>
        <w:tc>
          <w:tcPr>
            <w:tcW w:w="852" w:type="dxa"/>
            <w:tcBorders>
              <w:top w:val="nil"/>
              <w:bottom w:val="nil"/>
            </w:tcBorders>
            <w:shd w:val="clear" w:color="auto" w:fill="auto"/>
          </w:tcPr>
          <w:p w:rsidR="004B33FC" w:rsidRPr="00BD574A" w:rsidRDefault="004B33FC" w:rsidP="008B10DA">
            <w:pPr>
              <w:pStyle w:val="ENoteTableText"/>
            </w:pPr>
          </w:p>
        </w:tc>
        <w:tc>
          <w:tcPr>
            <w:tcW w:w="991" w:type="dxa"/>
            <w:gridSpan w:val="2"/>
            <w:tcBorders>
              <w:top w:val="nil"/>
              <w:bottom w:val="nil"/>
            </w:tcBorders>
            <w:shd w:val="clear" w:color="auto" w:fill="auto"/>
          </w:tcPr>
          <w:p w:rsidR="004B33FC" w:rsidRPr="00BD574A" w:rsidRDefault="004B33FC" w:rsidP="008B10DA">
            <w:pPr>
              <w:pStyle w:val="ENoteTableText"/>
            </w:pPr>
          </w:p>
        </w:tc>
        <w:tc>
          <w:tcPr>
            <w:tcW w:w="1844" w:type="dxa"/>
            <w:tcBorders>
              <w:top w:val="nil"/>
              <w:bottom w:val="nil"/>
            </w:tcBorders>
            <w:shd w:val="clear" w:color="auto" w:fill="auto"/>
          </w:tcPr>
          <w:p w:rsidR="004B33FC" w:rsidRPr="00BD574A" w:rsidRDefault="004B33FC" w:rsidP="008B10DA">
            <w:pPr>
              <w:pStyle w:val="ENoteTableText"/>
            </w:pPr>
          </w:p>
        </w:tc>
        <w:tc>
          <w:tcPr>
            <w:tcW w:w="1701" w:type="dxa"/>
            <w:tcBorders>
              <w:top w:val="nil"/>
              <w:bottom w:val="nil"/>
            </w:tcBorders>
            <w:shd w:val="clear" w:color="auto" w:fill="auto"/>
          </w:tcPr>
          <w:p w:rsidR="004B33FC" w:rsidRPr="00BD574A" w:rsidRDefault="004B33FC" w:rsidP="008B10DA">
            <w:pPr>
              <w:pStyle w:val="ENoteTableText"/>
            </w:pPr>
          </w:p>
        </w:tc>
      </w:tr>
      <w:tr w:rsidR="004B33FC" w:rsidRPr="00BD574A" w:rsidTr="004B33FC">
        <w:trPr>
          <w:cantSplit/>
        </w:trPr>
        <w:tc>
          <w:tcPr>
            <w:tcW w:w="1983" w:type="dxa"/>
            <w:gridSpan w:val="2"/>
            <w:tcBorders>
              <w:top w:val="nil"/>
              <w:bottom w:val="single" w:sz="4" w:space="0" w:color="auto"/>
            </w:tcBorders>
            <w:shd w:val="clear" w:color="auto" w:fill="auto"/>
          </w:tcPr>
          <w:p w:rsidR="004B33FC" w:rsidRPr="00BD574A" w:rsidRDefault="004B33FC" w:rsidP="008B10DA">
            <w:pPr>
              <w:pStyle w:val="ENoteTTi"/>
            </w:pPr>
            <w:r w:rsidRPr="00BD574A">
              <w:t>Tax and Superannuation Laws Amendment (2015 Measures No.</w:t>
            </w:r>
            <w:r w:rsidR="00BD574A">
              <w:t> </w:t>
            </w:r>
            <w:r w:rsidRPr="00BD574A">
              <w:t>1) Act 2015</w:t>
            </w:r>
          </w:p>
        </w:tc>
        <w:tc>
          <w:tcPr>
            <w:tcW w:w="852" w:type="dxa"/>
            <w:tcBorders>
              <w:top w:val="nil"/>
              <w:bottom w:val="single" w:sz="4" w:space="0" w:color="auto"/>
            </w:tcBorders>
            <w:shd w:val="clear" w:color="auto" w:fill="auto"/>
          </w:tcPr>
          <w:p w:rsidR="004B33FC" w:rsidRPr="00BD574A" w:rsidRDefault="004B33FC" w:rsidP="008B10DA">
            <w:pPr>
              <w:pStyle w:val="ENoteTableText"/>
            </w:pPr>
            <w:r w:rsidRPr="00BD574A">
              <w:t>70, 2015</w:t>
            </w:r>
          </w:p>
        </w:tc>
        <w:tc>
          <w:tcPr>
            <w:tcW w:w="991" w:type="dxa"/>
            <w:gridSpan w:val="2"/>
            <w:tcBorders>
              <w:top w:val="nil"/>
              <w:bottom w:val="single" w:sz="4" w:space="0" w:color="auto"/>
            </w:tcBorders>
            <w:shd w:val="clear" w:color="auto" w:fill="auto"/>
          </w:tcPr>
          <w:p w:rsidR="004B33FC" w:rsidRPr="00BD574A" w:rsidRDefault="004B33FC" w:rsidP="008B10DA">
            <w:pPr>
              <w:pStyle w:val="ENoteTableText"/>
            </w:pPr>
            <w:r w:rsidRPr="00BD574A">
              <w:t>25</w:t>
            </w:r>
            <w:r w:rsidR="00BD574A">
              <w:t> </w:t>
            </w:r>
            <w:r w:rsidRPr="00BD574A">
              <w:t>June 2015</w:t>
            </w:r>
          </w:p>
        </w:tc>
        <w:tc>
          <w:tcPr>
            <w:tcW w:w="1844" w:type="dxa"/>
            <w:tcBorders>
              <w:top w:val="nil"/>
              <w:bottom w:val="single" w:sz="4" w:space="0" w:color="auto"/>
            </w:tcBorders>
            <w:shd w:val="clear" w:color="auto" w:fill="auto"/>
          </w:tcPr>
          <w:p w:rsidR="004B33FC" w:rsidRPr="00BD574A" w:rsidRDefault="004B33FC" w:rsidP="008B10DA">
            <w:pPr>
              <w:pStyle w:val="ENoteTableText"/>
            </w:pPr>
            <w:r w:rsidRPr="00BD574A">
              <w:t>Sch 6 (item</w:t>
            </w:r>
            <w:r w:rsidR="00BD574A">
              <w:t> </w:t>
            </w:r>
            <w:r w:rsidRPr="00BD574A">
              <w:t>64): 25 Feb 2015 (s 2(1) item</w:t>
            </w:r>
            <w:r w:rsidR="00BD574A">
              <w:t> </w:t>
            </w:r>
            <w:r w:rsidRPr="00BD574A">
              <w:t>19)</w:t>
            </w:r>
          </w:p>
        </w:tc>
        <w:tc>
          <w:tcPr>
            <w:tcW w:w="1701" w:type="dxa"/>
            <w:tcBorders>
              <w:top w:val="nil"/>
              <w:bottom w:val="single" w:sz="4" w:space="0" w:color="auto"/>
            </w:tcBorders>
            <w:shd w:val="clear" w:color="auto" w:fill="auto"/>
          </w:tcPr>
          <w:p w:rsidR="004B33FC" w:rsidRPr="00BD574A" w:rsidRDefault="004B33FC" w:rsidP="008B10DA">
            <w:pPr>
              <w:pStyle w:val="ENoteTableText"/>
            </w:pPr>
            <w:r w:rsidRPr="00BD574A">
              <w:t>—</w:t>
            </w:r>
          </w:p>
        </w:tc>
      </w:tr>
      <w:tr w:rsidR="004B33FC" w:rsidRPr="00BD574A" w:rsidTr="00967D1C">
        <w:trPr>
          <w:cantSplit/>
        </w:trPr>
        <w:tc>
          <w:tcPr>
            <w:tcW w:w="1966" w:type="dxa"/>
            <w:tcBorders>
              <w:top w:val="single" w:sz="4" w:space="0" w:color="auto"/>
              <w:bottom w:val="single" w:sz="4" w:space="0" w:color="auto"/>
            </w:tcBorders>
            <w:shd w:val="clear" w:color="auto" w:fill="auto"/>
          </w:tcPr>
          <w:p w:rsidR="004B33FC" w:rsidRPr="00BD574A" w:rsidRDefault="004B33FC" w:rsidP="004E49F4">
            <w:pPr>
              <w:pStyle w:val="ENoteTableText"/>
            </w:pPr>
            <w:r w:rsidRPr="00BD574A">
              <w:t>Tax and Superannuation Laws Amendment (2015 Measures No.</w:t>
            </w:r>
            <w:r w:rsidR="00BD574A">
              <w:t> </w:t>
            </w:r>
            <w:r w:rsidRPr="00BD574A">
              <w:t>1) Act 2015</w:t>
            </w:r>
          </w:p>
        </w:tc>
        <w:tc>
          <w:tcPr>
            <w:tcW w:w="869" w:type="dxa"/>
            <w:gridSpan w:val="2"/>
            <w:tcBorders>
              <w:top w:val="single" w:sz="4" w:space="0" w:color="auto"/>
              <w:bottom w:val="single" w:sz="4" w:space="0" w:color="auto"/>
            </w:tcBorders>
            <w:shd w:val="clear" w:color="auto" w:fill="auto"/>
          </w:tcPr>
          <w:p w:rsidR="004B33FC" w:rsidRPr="00BD574A" w:rsidRDefault="004B33FC" w:rsidP="004E49F4">
            <w:pPr>
              <w:pStyle w:val="ENoteTableText"/>
            </w:pPr>
            <w:r w:rsidRPr="00BD574A">
              <w:t>70, 2015</w:t>
            </w:r>
          </w:p>
        </w:tc>
        <w:tc>
          <w:tcPr>
            <w:tcW w:w="979" w:type="dxa"/>
            <w:tcBorders>
              <w:top w:val="single" w:sz="4" w:space="0" w:color="auto"/>
              <w:bottom w:val="single" w:sz="4" w:space="0" w:color="auto"/>
            </w:tcBorders>
            <w:shd w:val="clear" w:color="auto" w:fill="auto"/>
          </w:tcPr>
          <w:p w:rsidR="004B33FC" w:rsidRPr="00BD574A" w:rsidRDefault="004B33FC" w:rsidP="004E49F4">
            <w:pPr>
              <w:pStyle w:val="ENoteTableText"/>
            </w:pPr>
            <w:r w:rsidRPr="00BD574A">
              <w:t>25</w:t>
            </w:r>
            <w:r w:rsidR="00BD574A">
              <w:t> </w:t>
            </w:r>
            <w:r w:rsidRPr="00BD574A">
              <w:t>June 2015</w:t>
            </w:r>
          </w:p>
        </w:tc>
        <w:tc>
          <w:tcPr>
            <w:tcW w:w="1856" w:type="dxa"/>
            <w:gridSpan w:val="2"/>
            <w:tcBorders>
              <w:top w:val="single" w:sz="4" w:space="0" w:color="auto"/>
              <w:bottom w:val="single" w:sz="4" w:space="0" w:color="auto"/>
            </w:tcBorders>
            <w:shd w:val="clear" w:color="auto" w:fill="auto"/>
          </w:tcPr>
          <w:p w:rsidR="004B33FC" w:rsidRPr="00BD574A" w:rsidRDefault="004B33FC" w:rsidP="00002E9D">
            <w:pPr>
              <w:pStyle w:val="ENoteTableText"/>
            </w:pPr>
            <w:r w:rsidRPr="00BD574A">
              <w:t>Sch 1 (items</w:t>
            </w:r>
            <w:r w:rsidR="00BD574A">
              <w:t> </w:t>
            </w:r>
            <w:r w:rsidRPr="00BD574A">
              <w:t>145, 146, 195–205): 1</w:t>
            </w:r>
            <w:r w:rsidR="00BD574A">
              <w:t> </w:t>
            </w:r>
            <w:r w:rsidRPr="00BD574A">
              <w:t>July 2015 (s 2(1) items</w:t>
            </w:r>
            <w:r w:rsidR="00BD574A">
              <w:t> </w:t>
            </w:r>
            <w:r w:rsidRPr="00BD574A">
              <w:t>3, 6)</w:t>
            </w:r>
            <w:r w:rsidRPr="00BD574A">
              <w:br/>
              <w:t>Sch 6 (items</w:t>
            </w:r>
            <w:r w:rsidR="00BD574A">
              <w:t> </w:t>
            </w:r>
            <w:r w:rsidRPr="00BD574A">
              <w:t>43–46): 25</w:t>
            </w:r>
            <w:r w:rsidR="00BD574A">
              <w:t> </w:t>
            </w:r>
            <w:r w:rsidRPr="00BD574A">
              <w:t>June 2015 (s 2(1) item</w:t>
            </w:r>
            <w:r w:rsidR="00BD574A">
              <w:t> </w:t>
            </w:r>
            <w:r w:rsidRPr="00BD574A">
              <w:t>15)</w:t>
            </w:r>
          </w:p>
        </w:tc>
        <w:tc>
          <w:tcPr>
            <w:tcW w:w="1701" w:type="dxa"/>
            <w:tcBorders>
              <w:top w:val="single" w:sz="4" w:space="0" w:color="auto"/>
              <w:bottom w:val="single" w:sz="4" w:space="0" w:color="auto"/>
            </w:tcBorders>
            <w:shd w:val="clear" w:color="auto" w:fill="auto"/>
          </w:tcPr>
          <w:p w:rsidR="004B33FC" w:rsidRPr="00BD574A" w:rsidRDefault="004B33FC" w:rsidP="005944C4">
            <w:pPr>
              <w:pStyle w:val="ENoteTableText"/>
            </w:pPr>
            <w:r w:rsidRPr="00BD574A">
              <w:t>Sch 1 (items</w:t>
            </w:r>
            <w:r w:rsidR="00BD574A">
              <w:t> </w:t>
            </w:r>
            <w:r w:rsidRPr="00BD574A">
              <w:t>195–205)</w:t>
            </w:r>
          </w:p>
        </w:tc>
      </w:tr>
      <w:tr w:rsidR="004B33FC" w:rsidRPr="00BD574A" w:rsidTr="004B33FC">
        <w:trPr>
          <w:cantSplit/>
        </w:trPr>
        <w:tc>
          <w:tcPr>
            <w:tcW w:w="1966" w:type="dxa"/>
            <w:tcBorders>
              <w:top w:val="single" w:sz="4" w:space="0" w:color="auto"/>
              <w:bottom w:val="single" w:sz="12" w:space="0" w:color="auto"/>
            </w:tcBorders>
            <w:shd w:val="clear" w:color="auto" w:fill="auto"/>
          </w:tcPr>
          <w:p w:rsidR="004B33FC" w:rsidRPr="00BD574A" w:rsidRDefault="004B33FC" w:rsidP="004E49F4">
            <w:pPr>
              <w:pStyle w:val="ENoteTableText"/>
            </w:pPr>
            <w:r w:rsidRPr="00BD574A">
              <w:t>Treasury Laws Amendment (Fair and Sustainable Superannuation) Act 2016</w:t>
            </w:r>
          </w:p>
        </w:tc>
        <w:tc>
          <w:tcPr>
            <w:tcW w:w="869" w:type="dxa"/>
            <w:gridSpan w:val="2"/>
            <w:tcBorders>
              <w:top w:val="single" w:sz="4" w:space="0" w:color="auto"/>
              <w:bottom w:val="single" w:sz="12" w:space="0" w:color="auto"/>
            </w:tcBorders>
            <w:shd w:val="clear" w:color="auto" w:fill="auto"/>
          </w:tcPr>
          <w:p w:rsidR="004B33FC" w:rsidRPr="00BD574A" w:rsidRDefault="004B33FC" w:rsidP="004E49F4">
            <w:pPr>
              <w:pStyle w:val="ENoteTableText"/>
            </w:pPr>
            <w:r w:rsidRPr="00BD574A">
              <w:t>81, 2016</w:t>
            </w:r>
          </w:p>
        </w:tc>
        <w:tc>
          <w:tcPr>
            <w:tcW w:w="979" w:type="dxa"/>
            <w:tcBorders>
              <w:top w:val="single" w:sz="4" w:space="0" w:color="auto"/>
              <w:bottom w:val="single" w:sz="12" w:space="0" w:color="auto"/>
            </w:tcBorders>
            <w:shd w:val="clear" w:color="auto" w:fill="auto"/>
          </w:tcPr>
          <w:p w:rsidR="004B33FC" w:rsidRPr="00BD574A" w:rsidRDefault="004B33FC" w:rsidP="004E49F4">
            <w:pPr>
              <w:pStyle w:val="ENoteTableText"/>
            </w:pPr>
            <w:r w:rsidRPr="00BD574A">
              <w:t>29 Nov 2016</w:t>
            </w:r>
          </w:p>
        </w:tc>
        <w:tc>
          <w:tcPr>
            <w:tcW w:w="1856" w:type="dxa"/>
            <w:gridSpan w:val="2"/>
            <w:tcBorders>
              <w:top w:val="single" w:sz="4" w:space="0" w:color="auto"/>
              <w:bottom w:val="single" w:sz="12" w:space="0" w:color="auto"/>
            </w:tcBorders>
            <w:shd w:val="clear" w:color="auto" w:fill="auto"/>
          </w:tcPr>
          <w:p w:rsidR="004B33FC" w:rsidRPr="00BD574A" w:rsidRDefault="004B33FC" w:rsidP="00002E9D">
            <w:pPr>
              <w:pStyle w:val="ENoteTableText"/>
            </w:pPr>
            <w:r w:rsidRPr="00BD574A">
              <w:t>Sch 3 (items</w:t>
            </w:r>
            <w:r w:rsidR="00BD574A">
              <w:t> </w:t>
            </w:r>
            <w:r w:rsidRPr="00BD574A">
              <w:t>7–9): 1 Jan 2017 (s 2(1) item</w:t>
            </w:r>
            <w:r w:rsidR="00BD574A">
              <w:t> </w:t>
            </w:r>
            <w:r w:rsidRPr="00BD574A">
              <w:t>2)</w:t>
            </w:r>
            <w:r w:rsidRPr="00BD574A">
              <w:br/>
              <w:t>Sch 4 (items</w:t>
            </w:r>
            <w:r w:rsidR="00BD574A">
              <w:t> </w:t>
            </w:r>
            <w:r w:rsidRPr="00BD574A">
              <w:t>1–6): 2</w:t>
            </w:r>
            <w:r w:rsidR="00BD574A">
              <w:t> </w:t>
            </w:r>
            <w:r w:rsidRPr="00BD574A">
              <w:t>July 2017 (s 2(1) item</w:t>
            </w:r>
            <w:r w:rsidR="00BD574A">
              <w:t> </w:t>
            </w:r>
            <w:r w:rsidRPr="00BD574A">
              <w:t>3)</w:t>
            </w:r>
          </w:p>
        </w:tc>
        <w:tc>
          <w:tcPr>
            <w:tcW w:w="1701" w:type="dxa"/>
            <w:tcBorders>
              <w:top w:val="single" w:sz="4" w:space="0" w:color="auto"/>
              <w:bottom w:val="single" w:sz="12" w:space="0" w:color="auto"/>
            </w:tcBorders>
            <w:shd w:val="clear" w:color="auto" w:fill="auto"/>
          </w:tcPr>
          <w:p w:rsidR="004B33FC" w:rsidRPr="00BD574A" w:rsidRDefault="004B33FC" w:rsidP="005944C4">
            <w:pPr>
              <w:pStyle w:val="ENoteTableText"/>
            </w:pPr>
            <w:r w:rsidRPr="00BD574A">
              <w:t>Sch 3 (item</w:t>
            </w:r>
            <w:r w:rsidR="00BD574A">
              <w:t> </w:t>
            </w:r>
            <w:r w:rsidRPr="00BD574A">
              <w:t>9) and Sch 4 (item</w:t>
            </w:r>
            <w:r w:rsidR="00BD574A">
              <w:t> </w:t>
            </w:r>
            <w:r w:rsidRPr="00BD574A">
              <w:t>6)</w:t>
            </w:r>
          </w:p>
        </w:tc>
      </w:tr>
    </w:tbl>
    <w:p w:rsidR="00911F79" w:rsidRPr="00BD574A" w:rsidRDefault="00911F79" w:rsidP="00911F79">
      <w:pPr>
        <w:pStyle w:val="Tabletext"/>
      </w:pPr>
    </w:p>
    <w:p w:rsidR="00E32347" w:rsidRPr="00BD574A" w:rsidRDefault="00E32347" w:rsidP="00D80377">
      <w:pPr>
        <w:pStyle w:val="ENotesHeading2"/>
        <w:pageBreakBefore/>
        <w:outlineLvl w:val="9"/>
      </w:pPr>
      <w:bookmarkStart w:id="79" w:name="_Toc487718165"/>
      <w:r w:rsidRPr="00BD574A">
        <w:lastRenderedPageBreak/>
        <w:t>Endnote 4—Amendment history</w:t>
      </w:r>
      <w:bookmarkEnd w:id="79"/>
    </w:p>
    <w:p w:rsidR="00E32347" w:rsidRPr="00BD574A" w:rsidRDefault="00E32347" w:rsidP="004E49F4">
      <w:pPr>
        <w:pStyle w:val="Tabletext"/>
      </w:pPr>
    </w:p>
    <w:tbl>
      <w:tblPr>
        <w:tblW w:w="7073" w:type="dxa"/>
        <w:tblInd w:w="122" w:type="dxa"/>
        <w:tblLayout w:type="fixed"/>
        <w:tblLook w:val="0000" w:firstRow="0" w:lastRow="0" w:firstColumn="0" w:lastColumn="0" w:noHBand="0" w:noVBand="0"/>
      </w:tblPr>
      <w:tblGrid>
        <w:gridCol w:w="2128"/>
        <w:gridCol w:w="4945"/>
      </w:tblGrid>
      <w:tr w:rsidR="00E32347" w:rsidRPr="00BD574A" w:rsidTr="00911F79">
        <w:trPr>
          <w:cantSplit/>
          <w:tblHeader/>
        </w:trPr>
        <w:tc>
          <w:tcPr>
            <w:tcW w:w="2128" w:type="dxa"/>
            <w:tcBorders>
              <w:top w:val="single" w:sz="12" w:space="0" w:color="auto"/>
              <w:bottom w:val="single" w:sz="12" w:space="0" w:color="auto"/>
            </w:tcBorders>
            <w:shd w:val="clear" w:color="auto" w:fill="auto"/>
          </w:tcPr>
          <w:p w:rsidR="00E32347" w:rsidRPr="00BD574A" w:rsidRDefault="00E32347" w:rsidP="004E49F4">
            <w:pPr>
              <w:pStyle w:val="ENoteTableHeading"/>
            </w:pPr>
            <w:r w:rsidRPr="00BD574A">
              <w:t>Provision affected</w:t>
            </w:r>
          </w:p>
        </w:tc>
        <w:tc>
          <w:tcPr>
            <w:tcW w:w="4945" w:type="dxa"/>
            <w:tcBorders>
              <w:top w:val="single" w:sz="12" w:space="0" w:color="auto"/>
              <w:bottom w:val="single" w:sz="12" w:space="0" w:color="auto"/>
            </w:tcBorders>
            <w:shd w:val="clear" w:color="auto" w:fill="auto"/>
          </w:tcPr>
          <w:p w:rsidR="00E32347" w:rsidRPr="00BD574A" w:rsidRDefault="00E32347" w:rsidP="004E49F4">
            <w:pPr>
              <w:pStyle w:val="ENoteTableHeading"/>
            </w:pPr>
            <w:r w:rsidRPr="00BD574A">
              <w:t>How affected</w:t>
            </w:r>
          </w:p>
        </w:tc>
      </w:tr>
      <w:tr w:rsidR="00911F79" w:rsidRPr="00BD574A" w:rsidTr="00FA3B43">
        <w:trPr>
          <w:cantSplit/>
        </w:trPr>
        <w:tc>
          <w:tcPr>
            <w:tcW w:w="2128" w:type="dxa"/>
            <w:tcBorders>
              <w:top w:val="single" w:sz="12" w:space="0" w:color="auto"/>
            </w:tcBorders>
            <w:shd w:val="clear" w:color="auto" w:fill="auto"/>
          </w:tcPr>
          <w:p w:rsidR="00911F79" w:rsidRPr="00BD574A" w:rsidRDefault="00911F79" w:rsidP="004E49F4">
            <w:pPr>
              <w:pStyle w:val="ENoteTableText"/>
            </w:pPr>
            <w:r w:rsidRPr="00BD574A">
              <w:rPr>
                <w:b/>
              </w:rPr>
              <w:t>Part</w:t>
            </w:r>
            <w:r w:rsidR="00BD574A">
              <w:rPr>
                <w:b/>
              </w:rPr>
              <w:t> </w:t>
            </w:r>
            <w:r w:rsidRPr="00BD574A">
              <w:rPr>
                <w:b/>
              </w:rPr>
              <w:t>1</w:t>
            </w:r>
          </w:p>
        </w:tc>
        <w:tc>
          <w:tcPr>
            <w:tcW w:w="4945" w:type="dxa"/>
            <w:tcBorders>
              <w:top w:val="single" w:sz="12" w:space="0" w:color="auto"/>
            </w:tcBorders>
            <w:shd w:val="clear" w:color="auto" w:fill="auto"/>
          </w:tcPr>
          <w:p w:rsidR="00911F79" w:rsidRPr="00BD574A" w:rsidRDefault="00911F79" w:rsidP="004E49F4">
            <w:pPr>
              <w:pStyle w:val="ENoteTableText"/>
            </w:pPr>
          </w:p>
        </w:tc>
      </w:tr>
      <w:tr w:rsidR="00911F79" w:rsidRPr="00BD574A" w:rsidTr="00FA3B43">
        <w:trPr>
          <w:cantSplit/>
        </w:trPr>
        <w:tc>
          <w:tcPr>
            <w:tcW w:w="2128" w:type="dxa"/>
            <w:shd w:val="clear" w:color="auto" w:fill="auto"/>
          </w:tcPr>
          <w:p w:rsidR="00911F79" w:rsidRPr="00BD574A" w:rsidRDefault="00911F79" w:rsidP="004E49F4">
            <w:pPr>
              <w:pStyle w:val="ENoteTableText"/>
              <w:tabs>
                <w:tab w:val="center" w:leader="dot" w:pos="2268"/>
              </w:tabs>
            </w:pPr>
            <w:r w:rsidRPr="00BD574A">
              <w:t>s 5</w:t>
            </w:r>
            <w:r w:rsidRPr="00BD574A">
              <w:tab/>
            </w:r>
          </w:p>
        </w:tc>
        <w:tc>
          <w:tcPr>
            <w:tcW w:w="4945" w:type="dxa"/>
            <w:shd w:val="clear" w:color="auto" w:fill="auto"/>
          </w:tcPr>
          <w:p w:rsidR="00911F79" w:rsidRPr="00BD574A" w:rsidRDefault="00911F79" w:rsidP="004E49F4">
            <w:pPr>
              <w:pStyle w:val="ENoteTableText"/>
            </w:pPr>
            <w:r w:rsidRPr="00BD574A">
              <w:t>am No</w:t>
            </w:r>
            <w:r w:rsidR="004A4139" w:rsidRPr="00BD574A">
              <w:t> </w:t>
            </w:r>
            <w:r w:rsidRPr="00BD574A">
              <w:t>92, 2004; No</w:t>
            </w:r>
            <w:r w:rsidR="004A4139" w:rsidRPr="00BD574A">
              <w:t> </w:t>
            </w:r>
            <w:r w:rsidRPr="00BD574A">
              <w:t>15, 2007; No</w:t>
            </w:r>
            <w:r w:rsidR="004A4139" w:rsidRPr="00BD574A">
              <w:t> </w:t>
            </w:r>
            <w:r w:rsidRPr="00BD574A">
              <w:t>23, 2012; No</w:t>
            </w:r>
            <w:r w:rsidR="004A4139" w:rsidRPr="00BD574A">
              <w:t> </w:t>
            </w:r>
            <w:r w:rsidRPr="00BD574A">
              <w:t>82, 2013</w:t>
            </w:r>
            <w:r w:rsidR="000C7E67" w:rsidRPr="00BD574A">
              <w:t>;</w:t>
            </w:r>
            <w:r w:rsidR="00617613" w:rsidRPr="00BD574A">
              <w:t xml:space="preserve"> No 96, 2014;</w:t>
            </w:r>
            <w:r w:rsidR="000C7E67" w:rsidRPr="00BD574A">
              <w:t xml:space="preserve"> No 2, 2015</w:t>
            </w:r>
            <w:r w:rsidR="00E47FA5" w:rsidRPr="00BD574A">
              <w:t>; No 81, 2016</w:t>
            </w:r>
          </w:p>
        </w:tc>
      </w:tr>
      <w:tr w:rsidR="00911F79" w:rsidRPr="00BD574A" w:rsidTr="00FA3B43">
        <w:trPr>
          <w:cantSplit/>
        </w:trPr>
        <w:tc>
          <w:tcPr>
            <w:tcW w:w="2128" w:type="dxa"/>
            <w:shd w:val="clear" w:color="auto" w:fill="auto"/>
          </w:tcPr>
          <w:p w:rsidR="00911F79" w:rsidRPr="00BD574A" w:rsidRDefault="00911F79" w:rsidP="004E49F4">
            <w:pPr>
              <w:pStyle w:val="ENoteTableText"/>
            </w:pPr>
            <w:r w:rsidRPr="00BD574A">
              <w:rPr>
                <w:b/>
              </w:rPr>
              <w:t>Part</w:t>
            </w:r>
            <w:r w:rsidR="00BD574A">
              <w:rPr>
                <w:b/>
              </w:rPr>
              <w:t> </w:t>
            </w:r>
            <w:r w:rsidRPr="00BD574A">
              <w:rPr>
                <w:b/>
              </w:rPr>
              <w:t>2</w:t>
            </w:r>
          </w:p>
        </w:tc>
        <w:tc>
          <w:tcPr>
            <w:tcW w:w="4945" w:type="dxa"/>
            <w:shd w:val="clear" w:color="auto" w:fill="auto"/>
          </w:tcPr>
          <w:p w:rsidR="00911F79" w:rsidRPr="00BD574A" w:rsidRDefault="00911F79" w:rsidP="004E49F4">
            <w:pPr>
              <w:pStyle w:val="ENoteTableText"/>
            </w:pPr>
          </w:p>
        </w:tc>
      </w:tr>
      <w:tr w:rsidR="00911F79" w:rsidRPr="00BD574A" w:rsidTr="00FA3B43">
        <w:trPr>
          <w:cantSplit/>
        </w:trPr>
        <w:tc>
          <w:tcPr>
            <w:tcW w:w="2128" w:type="dxa"/>
            <w:shd w:val="clear" w:color="auto" w:fill="auto"/>
          </w:tcPr>
          <w:p w:rsidR="00911F79" w:rsidRPr="00BD574A" w:rsidRDefault="00911F79" w:rsidP="004E49F4">
            <w:pPr>
              <w:pStyle w:val="ENoteTableText"/>
            </w:pPr>
            <w:r w:rsidRPr="00BD574A">
              <w:rPr>
                <w:b/>
              </w:rPr>
              <w:t>Division</w:t>
            </w:r>
            <w:r w:rsidR="00BD574A">
              <w:rPr>
                <w:b/>
              </w:rPr>
              <w:t> </w:t>
            </w:r>
            <w:r w:rsidRPr="00BD574A">
              <w:rPr>
                <w:b/>
              </w:rPr>
              <w:t>1</w:t>
            </w:r>
          </w:p>
        </w:tc>
        <w:tc>
          <w:tcPr>
            <w:tcW w:w="4945" w:type="dxa"/>
            <w:shd w:val="clear" w:color="auto" w:fill="auto"/>
          </w:tcPr>
          <w:p w:rsidR="00911F79" w:rsidRPr="00BD574A" w:rsidRDefault="00911F79" w:rsidP="004E49F4">
            <w:pPr>
              <w:pStyle w:val="ENoteTableText"/>
            </w:pPr>
          </w:p>
        </w:tc>
      </w:tr>
      <w:tr w:rsidR="00911F79" w:rsidRPr="00BD574A" w:rsidTr="00FA3B43">
        <w:trPr>
          <w:cantSplit/>
        </w:trPr>
        <w:tc>
          <w:tcPr>
            <w:tcW w:w="2128" w:type="dxa"/>
            <w:shd w:val="clear" w:color="auto" w:fill="auto"/>
          </w:tcPr>
          <w:p w:rsidR="00911F79" w:rsidRPr="00BD574A" w:rsidRDefault="00911F79" w:rsidP="004E49F4">
            <w:pPr>
              <w:pStyle w:val="ENoteTableText"/>
              <w:tabs>
                <w:tab w:val="center" w:leader="dot" w:pos="2268"/>
              </w:tabs>
            </w:pPr>
            <w:r w:rsidRPr="00BD574A">
              <w:t>s. 6</w:t>
            </w:r>
            <w:r w:rsidRPr="00BD574A">
              <w:tab/>
            </w:r>
          </w:p>
        </w:tc>
        <w:tc>
          <w:tcPr>
            <w:tcW w:w="4945" w:type="dxa"/>
            <w:shd w:val="clear" w:color="auto" w:fill="auto"/>
          </w:tcPr>
          <w:p w:rsidR="00911F79" w:rsidRPr="00BD574A" w:rsidRDefault="00911F79" w:rsidP="004E49F4">
            <w:pPr>
              <w:pStyle w:val="ENoteTableText"/>
            </w:pPr>
            <w:r w:rsidRPr="00BD574A">
              <w:t>am. No.</w:t>
            </w:r>
            <w:r w:rsidR="00BD574A">
              <w:t> </w:t>
            </w:r>
            <w:r w:rsidRPr="00BD574A">
              <w:t>92, 2004; No.</w:t>
            </w:r>
            <w:r w:rsidR="00BD574A">
              <w:t> </w:t>
            </w:r>
            <w:r w:rsidRPr="00BD574A">
              <w:t>9, 2007; No.</w:t>
            </w:r>
            <w:r w:rsidR="00BD574A">
              <w:t> </w:t>
            </w:r>
            <w:r w:rsidRPr="00BD574A">
              <w:t>27, 2009; No.</w:t>
            </w:r>
            <w:r w:rsidR="00BD574A">
              <w:t> </w:t>
            </w:r>
            <w:r w:rsidRPr="00BD574A">
              <w:t>75, 2012</w:t>
            </w:r>
            <w:r w:rsidR="00B452F4" w:rsidRPr="00BD574A">
              <w:t>; No 118, 2013</w:t>
            </w:r>
            <w:r w:rsidR="00E47FA5" w:rsidRPr="00BD574A">
              <w:t>; No 81, 2016</w:t>
            </w:r>
          </w:p>
        </w:tc>
      </w:tr>
      <w:tr w:rsidR="00911F79" w:rsidRPr="00BD574A" w:rsidTr="00FA3B43">
        <w:trPr>
          <w:cantSplit/>
        </w:trPr>
        <w:tc>
          <w:tcPr>
            <w:tcW w:w="2128" w:type="dxa"/>
            <w:shd w:val="clear" w:color="auto" w:fill="auto"/>
          </w:tcPr>
          <w:p w:rsidR="00911F79" w:rsidRPr="00BD574A" w:rsidRDefault="00911F79" w:rsidP="004E49F4">
            <w:pPr>
              <w:pStyle w:val="ENoteTableText"/>
              <w:tabs>
                <w:tab w:val="center" w:leader="dot" w:pos="2268"/>
              </w:tabs>
            </w:pPr>
            <w:r w:rsidRPr="00BD574A">
              <w:t>s. 7</w:t>
            </w:r>
            <w:r w:rsidRPr="00BD574A">
              <w:tab/>
            </w:r>
          </w:p>
        </w:tc>
        <w:tc>
          <w:tcPr>
            <w:tcW w:w="4945" w:type="dxa"/>
            <w:shd w:val="clear" w:color="auto" w:fill="auto"/>
          </w:tcPr>
          <w:p w:rsidR="00911F79" w:rsidRPr="00BD574A" w:rsidRDefault="00911F79" w:rsidP="004E49F4">
            <w:pPr>
              <w:pStyle w:val="ENoteTableText"/>
            </w:pPr>
            <w:r w:rsidRPr="00BD574A">
              <w:t>am. Nos. 9 and 15, 2007; Nos. 45 and 92, 2008</w:t>
            </w:r>
            <w:r w:rsidR="00934FF1" w:rsidRPr="00BD574A">
              <w:t>; No 181, 2012</w:t>
            </w:r>
            <w:r w:rsidR="000C7E67" w:rsidRPr="00BD574A">
              <w:t>; No 70, 2015</w:t>
            </w:r>
          </w:p>
        </w:tc>
      </w:tr>
      <w:tr w:rsidR="00911F79" w:rsidRPr="00BD574A" w:rsidTr="00FA3B43">
        <w:trPr>
          <w:cantSplit/>
        </w:trPr>
        <w:tc>
          <w:tcPr>
            <w:tcW w:w="2128" w:type="dxa"/>
            <w:shd w:val="clear" w:color="auto" w:fill="auto"/>
          </w:tcPr>
          <w:p w:rsidR="00911F79" w:rsidRPr="00BD574A" w:rsidRDefault="00911F79" w:rsidP="004E49F4">
            <w:pPr>
              <w:pStyle w:val="ENoteTableText"/>
              <w:tabs>
                <w:tab w:val="center" w:leader="dot" w:pos="2268"/>
              </w:tabs>
            </w:pPr>
            <w:r w:rsidRPr="00BD574A">
              <w:t>s. 8</w:t>
            </w:r>
            <w:r w:rsidRPr="00BD574A">
              <w:tab/>
            </w:r>
          </w:p>
        </w:tc>
        <w:tc>
          <w:tcPr>
            <w:tcW w:w="4945" w:type="dxa"/>
            <w:shd w:val="clear" w:color="auto" w:fill="auto"/>
          </w:tcPr>
          <w:p w:rsidR="00911F79" w:rsidRPr="00BD574A" w:rsidRDefault="00911F79" w:rsidP="004E49F4">
            <w:pPr>
              <w:pStyle w:val="ENoteTableText"/>
            </w:pPr>
            <w:r w:rsidRPr="00BD574A">
              <w:t>am. No.</w:t>
            </w:r>
            <w:r w:rsidR="00BD574A">
              <w:t> </w:t>
            </w:r>
            <w:r w:rsidRPr="00BD574A">
              <w:t>9, 2007; No.</w:t>
            </w:r>
            <w:r w:rsidR="00BD574A">
              <w:t> </w:t>
            </w:r>
            <w:r w:rsidRPr="00BD574A">
              <w:t>27, 2009; No.</w:t>
            </w:r>
            <w:r w:rsidR="00BD574A">
              <w:t> </w:t>
            </w:r>
            <w:r w:rsidRPr="00BD574A">
              <w:t>75, 2012</w:t>
            </w:r>
            <w:r w:rsidR="00B452F4" w:rsidRPr="00BD574A">
              <w:t>; No 118, 2013</w:t>
            </w:r>
          </w:p>
        </w:tc>
      </w:tr>
      <w:tr w:rsidR="00911F79" w:rsidRPr="00BD574A" w:rsidTr="00FA3B43">
        <w:trPr>
          <w:cantSplit/>
        </w:trPr>
        <w:tc>
          <w:tcPr>
            <w:tcW w:w="2128" w:type="dxa"/>
            <w:shd w:val="clear" w:color="auto" w:fill="auto"/>
          </w:tcPr>
          <w:p w:rsidR="00911F79" w:rsidRPr="00BD574A" w:rsidRDefault="00911F79" w:rsidP="004E49F4">
            <w:pPr>
              <w:pStyle w:val="ENoteTableText"/>
            </w:pPr>
            <w:r w:rsidRPr="00BD574A">
              <w:rPr>
                <w:b/>
              </w:rPr>
              <w:t>Division</w:t>
            </w:r>
            <w:r w:rsidR="00BD574A">
              <w:rPr>
                <w:b/>
              </w:rPr>
              <w:t> </w:t>
            </w:r>
            <w:r w:rsidRPr="00BD574A">
              <w:rPr>
                <w:b/>
              </w:rPr>
              <w:t>2</w:t>
            </w:r>
          </w:p>
        </w:tc>
        <w:tc>
          <w:tcPr>
            <w:tcW w:w="4945" w:type="dxa"/>
            <w:shd w:val="clear" w:color="auto" w:fill="auto"/>
          </w:tcPr>
          <w:p w:rsidR="00911F79" w:rsidRPr="00BD574A" w:rsidRDefault="00911F79" w:rsidP="004E49F4">
            <w:pPr>
              <w:pStyle w:val="ENoteTableText"/>
            </w:pPr>
          </w:p>
        </w:tc>
      </w:tr>
      <w:tr w:rsidR="00911F79" w:rsidRPr="00BD574A" w:rsidTr="00FA3B43">
        <w:trPr>
          <w:cantSplit/>
        </w:trPr>
        <w:tc>
          <w:tcPr>
            <w:tcW w:w="2128" w:type="dxa"/>
            <w:shd w:val="clear" w:color="auto" w:fill="auto"/>
          </w:tcPr>
          <w:p w:rsidR="00911F79" w:rsidRPr="00BD574A" w:rsidRDefault="00911F79" w:rsidP="004E49F4">
            <w:pPr>
              <w:pStyle w:val="ENoteTableText"/>
              <w:tabs>
                <w:tab w:val="center" w:leader="dot" w:pos="2268"/>
              </w:tabs>
            </w:pPr>
            <w:r w:rsidRPr="00BD574A">
              <w:t>s. 9</w:t>
            </w:r>
            <w:r w:rsidRPr="00BD574A">
              <w:tab/>
            </w:r>
          </w:p>
        </w:tc>
        <w:tc>
          <w:tcPr>
            <w:tcW w:w="4945" w:type="dxa"/>
            <w:shd w:val="clear" w:color="auto" w:fill="auto"/>
          </w:tcPr>
          <w:p w:rsidR="00911F79" w:rsidRPr="00BD574A" w:rsidRDefault="00911F79" w:rsidP="004E49F4">
            <w:pPr>
              <w:pStyle w:val="ENoteTableText"/>
            </w:pPr>
            <w:r w:rsidRPr="00BD574A">
              <w:t>am. No.</w:t>
            </w:r>
            <w:r w:rsidR="00BD574A">
              <w:t> </w:t>
            </w:r>
            <w:r w:rsidRPr="00BD574A">
              <w:t>106, 2004; No.</w:t>
            </w:r>
            <w:r w:rsidR="00BD574A">
              <w:t> </w:t>
            </w:r>
            <w:r w:rsidRPr="00BD574A">
              <w:t>62, 2009; No.</w:t>
            </w:r>
            <w:r w:rsidR="00BD574A">
              <w:t> </w:t>
            </w:r>
            <w:r w:rsidRPr="00BD574A">
              <w:t>90, 2010; No.</w:t>
            </w:r>
            <w:r w:rsidR="00BD574A">
              <w:t> </w:t>
            </w:r>
            <w:r w:rsidRPr="00BD574A">
              <w:t>85, 2013</w:t>
            </w:r>
          </w:p>
        </w:tc>
      </w:tr>
      <w:tr w:rsidR="00911F79" w:rsidRPr="00BD574A" w:rsidTr="00FA3B43">
        <w:trPr>
          <w:cantSplit/>
        </w:trPr>
        <w:tc>
          <w:tcPr>
            <w:tcW w:w="2128" w:type="dxa"/>
            <w:shd w:val="clear" w:color="auto" w:fill="auto"/>
          </w:tcPr>
          <w:p w:rsidR="00911F79" w:rsidRPr="00BD574A" w:rsidRDefault="00911F79" w:rsidP="004E49F4">
            <w:pPr>
              <w:pStyle w:val="ENoteTableText"/>
              <w:tabs>
                <w:tab w:val="center" w:leader="dot" w:pos="2268"/>
              </w:tabs>
            </w:pPr>
            <w:r w:rsidRPr="00BD574A">
              <w:t>s. 10</w:t>
            </w:r>
            <w:r w:rsidRPr="00BD574A">
              <w:tab/>
            </w:r>
          </w:p>
        </w:tc>
        <w:tc>
          <w:tcPr>
            <w:tcW w:w="4945" w:type="dxa"/>
            <w:shd w:val="clear" w:color="auto" w:fill="auto"/>
          </w:tcPr>
          <w:p w:rsidR="00911F79" w:rsidRPr="00BD574A" w:rsidRDefault="00911F79" w:rsidP="004E49F4">
            <w:pPr>
              <w:pStyle w:val="ENoteTableText"/>
            </w:pPr>
            <w:r w:rsidRPr="00BD574A">
              <w:t>am. No.</w:t>
            </w:r>
            <w:r w:rsidR="00BD574A">
              <w:t> </w:t>
            </w:r>
            <w:r w:rsidRPr="00BD574A">
              <w:t>106, 2004; No.</w:t>
            </w:r>
            <w:r w:rsidR="00BD574A">
              <w:t> </w:t>
            </w:r>
            <w:r w:rsidRPr="00BD574A">
              <w:t>62, 2009; No.</w:t>
            </w:r>
            <w:r w:rsidR="00BD574A">
              <w:t> </w:t>
            </w:r>
            <w:r w:rsidRPr="00BD574A">
              <w:t>90, 2010; No.</w:t>
            </w:r>
            <w:r w:rsidR="00BD574A">
              <w:t> </w:t>
            </w:r>
            <w:r w:rsidRPr="00BD574A">
              <w:t>85, 2013</w:t>
            </w:r>
          </w:p>
        </w:tc>
      </w:tr>
      <w:tr w:rsidR="00911F79" w:rsidRPr="00BD574A" w:rsidTr="00FA3B43">
        <w:trPr>
          <w:cantSplit/>
        </w:trPr>
        <w:tc>
          <w:tcPr>
            <w:tcW w:w="2128" w:type="dxa"/>
            <w:shd w:val="clear" w:color="auto" w:fill="auto"/>
          </w:tcPr>
          <w:p w:rsidR="00911F79" w:rsidRPr="00BD574A" w:rsidRDefault="00911F79" w:rsidP="004E49F4">
            <w:pPr>
              <w:pStyle w:val="ENoteTableText"/>
              <w:tabs>
                <w:tab w:val="center" w:leader="dot" w:pos="2268"/>
              </w:tabs>
            </w:pPr>
            <w:r w:rsidRPr="00BD574A">
              <w:t>s. 10A</w:t>
            </w:r>
            <w:r w:rsidRPr="00BD574A">
              <w:tab/>
            </w:r>
          </w:p>
        </w:tc>
        <w:tc>
          <w:tcPr>
            <w:tcW w:w="4945" w:type="dxa"/>
            <w:shd w:val="clear" w:color="auto" w:fill="auto"/>
          </w:tcPr>
          <w:p w:rsidR="00911F79" w:rsidRPr="00BD574A" w:rsidRDefault="00911F79" w:rsidP="00DD7998">
            <w:pPr>
              <w:pStyle w:val="ENoteTableText"/>
            </w:pPr>
            <w:r w:rsidRPr="00BD574A">
              <w:t>am. No.</w:t>
            </w:r>
            <w:r w:rsidR="00BD574A">
              <w:t> </w:t>
            </w:r>
            <w:r w:rsidRPr="00BD574A">
              <w:t>106, 2004; No.</w:t>
            </w:r>
            <w:r w:rsidR="00BD574A">
              <w:t> </w:t>
            </w:r>
            <w:r w:rsidRPr="00BD574A">
              <w:t>90, 2010; No</w:t>
            </w:r>
            <w:r w:rsidR="00D575FB" w:rsidRPr="00BD574A">
              <w:t>s</w:t>
            </w:r>
            <w:r w:rsidR="00DD7998" w:rsidRPr="00BD574A">
              <w:t xml:space="preserve"> </w:t>
            </w:r>
            <w:r w:rsidRPr="00BD574A">
              <w:t>85</w:t>
            </w:r>
            <w:r w:rsidR="00D575FB" w:rsidRPr="00BD574A">
              <w:t xml:space="preserve"> and 124</w:t>
            </w:r>
            <w:r w:rsidRPr="00BD574A">
              <w:t>, 2013</w:t>
            </w:r>
          </w:p>
        </w:tc>
      </w:tr>
      <w:tr w:rsidR="00911F79" w:rsidRPr="00BD574A" w:rsidTr="00FA3B43">
        <w:trPr>
          <w:cantSplit/>
        </w:trPr>
        <w:tc>
          <w:tcPr>
            <w:tcW w:w="2128" w:type="dxa"/>
            <w:shd w:val="clear" w:color="auto" w:fill="auto"/>
          </w:tcPr>
          <w:p w:rsidR="00911F79" w:rsidRPr="00BD574A" w:rsidRDefault="00911F79" w:rsidP="004E49F4">
            <w:pPr>
              <w:pStyle w:val="ENoteTableText"/>
              <w:tabs>
                <w:tab w:val="center" w:leader="dot" w:pos="2268"/>
              </w:tabs>
            </w:pPr>
            <w:r w:rsidRPr="00BD574A">
              <w:t>s. 12</w:t>
            </w:r>
            <w:r w:rsidRPr="00BD574A">
              <w:tab/>
            </w:r>
          </w:p>
        </w:tc>
        <w:tc>
          <w:tcPr>
            <w:tcW w:w="4945" w:type="dxa"/>
            <w:shd w:val="clear" w:color="auto" w:fill="auto"/>
          </w:tcPr>
          <w:p w:rsidR="00911F79" w:rsidRPr="00BD574A" w:rsidRDefault="00911F79" w:rsidP="004E49F4">
            <w:pPr>
              <w:pStyle w:val="ENoteTableText"/>
            </w:pPr>
            <w:r w:rsidRPr="00BD574A">
              <w:t>am. No.</w:t>
            </w:r>
            <w:r w:rsidR="00BD574A">
              <w:t> </w:t>
            </w:r>
            <w:r w:rsidRPr="00BD574A">
              <w:t>92, 2004</w:t>
            </w:r>
          </w:p>
        </w:tc>
      </w:tr>
      <w:tr w:rsidR="00911F79" w:rsidRPr="00BD574A" w:rsidTr="00FA3B43">
        <w:trPr>
          <w:cantSplit/>
        </w:trPr>
        <w:tc>
          <w:tcPr>
            <w:tcW w:w="2128" w:type="dxa"/>
            <w:shd w:val="clear" w:color="auto" w:fill="auto"/>
          </w:tcPr>
          <w:p w:rsidR="00911F79" w:rsidRPr="00BD574A" w:rsidRDefault="00911F79" w:rsidP="004E49F4">
            <w:pPr>
              <w:pStyle w:val="ENoteTableText"/>
              <w:tabs>
                <w:tab w:val="center" w:leader="dot" w:pos="2268"/>
              </w:tabs>
            </w:pPr>
            <w:r w:rsidRPr="00BD574A">
              <w:t>s. 12A</w:t>
            </w:r>
            <w:r w:rsidRPr="00BD574A">
              <w:tab/>
            </w:r>
          </w:p>
        </w:tc>
        <w:tc>
          <w:tcPr>
            <w:tcW w:w="4945" w:type="dxa"/>
            <w:shd w:val="clear" w:color="auto" w:fill="auto"/>
          </w:tcPr>
          <w:p w:rsidR="00911F79" w:rsidRPr="00BD574A" w:rsidRDefault="00911F79" w:rsidP="004E49F4">
            <w:pPr>
              <w:pStyle w:val="ENoteTableText"/>
            </w:pPr>
            <w:r w:rsidRPr="00BD574A">
              <w:t>ad. No.</w:t>
            </w:r>
            <w:r w:rsidR="00BD574A">
              <w:t> </w:t>
            </w:r>
            <w:r w:rsidRPr="00BD574A">
              <w:t>67, 2007</w:t>
            </w:r>
          </w:p>
        </w:tc>
      </w:tr>
      <w:tr w:rsidR="00911F79" w:rsidRPr="00BD574A" w:rsidTr="00FA3B43">
        <w:trPr>
          <w:cantSplit/>
        </w:trPr>
        <w:tc>
          <w:tcPr>
            <w:tcW w:w="2128" w:type="dxa"/>
            <w:shd w:val="clear" w:color="auto" w:fill="auto"/>
          </w:tcPr>
          <w:p w:rsidR="00911F79" w:rsidRPr="00BD574A" w:rsidRDefault="00911F79" w:rsidP="004E49F4">
            <w:pPr>
              <w:pStyle w:val="ENoteTableText"/>
            </w:pPr>
            <w:r w:rsidRPr="00BD574A">
              <w:rPr>
                <w:b/>
              </w:rPr>
              <w:t>Part</w:t>
            </w:r>
            <w:r w:rsidR="00BD574A">
              <w:rPr>
                <w:b/>
              </w:rPr>
              <w:t> </w:t>
            </w:r>
            <w:r w:rsidRPr="00BD574A">
              <w:rPr>
                <w:b/>
              </w:rPr>
              <w:t>2A</w:t>
            </w:r>
          </w:p>
        </w:tc>
        <w:tc>
          <w:tcPr>
            <w:tcW w:w="4945" w:type="dxa"/>
            <w:shd w:val="clear" w:color="auto" w:fill="auto"/>
          </w:tcPr>
          <w:p w:rsidR="00911F79" w:rsidRPr="00BD574A" w:rsidRDefault="00911F79" w:rsidP="004E49F4">
            <w:pPr>
              <w:pStyle w:val="ENoteTableText"/>
            </w:pPr>
          </w:p>
        </w:tc>
      </w:tr>
      <w:tr w:rsidR="00911F79" w:rsidRPr="00BD574A" w:rsidTr="00FA3B43">
        <w:trPr>
          <w:cantSplit/>
        </w:trPr>
        <w:tc>
          <w:tcPr>
            <w:tcW w:w="2128" w:type="dxa"/>
            <w:shd w:val="clear" w:color="auto" w:fill="auto"/>
          </w:tcPr>
          <w:p w:rsidR="00911F79" w:rsidRPr="00BD574A" w:rsidRDefault="00911F79" w:rsidP="004E49F4">
            <w:pPr>
              <w:pStyle w:val="ENoteTableText"/>
              <w:tabs>
                <w:tab w:val="center" w:leader="dot" w:pos="2268"/>
              </w:tabs>
            </w:pPr>
            <w:r w:rsidRPr="00BD574A">
              <w:t>Part</w:t>
            </w:r>
            <w:r w:rsidR="00BD574A">
              <w:t> </w:t>
            </w:r>
            <w:r w:rsidRPr="00BD574A">
              <w:t>2A</w:t>
            </w:r>
            <w:r w:rsidRPr="00BD574A">
              <w:tab/>
            </w:r>
          </w:p>
        </w:tc>
        <w:tc>
          <w:tcPr>
            <w:tcW w:w="4945" w:type="dxa"/>
            <w:shd w:val="clear" w:color="auto" w:fill="auto"/>
          </w:tcPr>
          <w:p w:rsidR="00911F79" w:rsidRPr="00BD574A" w:rsidRDefault="00911F79" w:rsidP="004E49F4">
            <w:pPr>
              <w:pStyle w:val="ENoteTableText"/>
            </w:pPr>
            <w:r w:rsidRPr="00BD574A">
              <w:t>ad No</w:t>
            </w:r>
            <w:r w:rsidR="004A4139" w:rsidRPr="00BD574A">
              <w:t> </w:t>
            </w:r>
            <w:r w:rsidRPr="00BD574A">
              <w:t>23, 2012</w:t>
            </w:r>
          </w:p>
        </w:tc>
      </w:tr>
      <w:tr w:rsidR="006A3BD1" w:rsidRPr="00BD574A" w:rsidTr="00FA3B43">
        <w:trPr>
          <w:cantSplit/>
        </w:trPr>
        <w:tc>
          <w:tcPr>
            <w:tcW w:w="2128" w:type="dxa"/>
            <w:shd w:val="clear" w:color="auto" w:fill="auto"/>
          </w:tcPr>
          <w:p w:rsidR="006A3BD1" w:rsidRPr="00BD574A" w:rsidRDefault="006A3BD1" w:rsidP="004E49F4">
            <w:pPr>
              <w:pStyle w:val="ENoteTableText"/>
              <w:tabs>
                <w:tab w:val="center" w:leader="dot" w:pos="2268"/>
              </w:tabs>
            </w:pPr>
          </w:p>
        </w:tc>
        <w:tc>
          <w:tcPr>
            <w:tcW w:w="4945" w:type="dxa"/>
            <w:shd w:val="clear" w:color="auto" w:fill="auto"/>
          </w:tcPr>
          <w:p w:rsidR="006A3BD1" w:rsidRPr="00BD574A" w:rsidRDefault="006A3BD1" w:rsidP="004E49F4">
            <w:pPr>
              <w:pStyle w:val="ENoteTableText"/>
            </w:pPr>
            <w:r w:rsidRPr="00BD574A">
              <w:t>rep No 96, 2014</w:t>
            </w:r>
          </w:p>
        </w:tc>
      </w:tr>
      <w:tr w:rsidR="00E47FA5" w:rsidRPr="00BD574A" w:rsidTr="00FA3B43">
        <w:trPr>
          <w:cantSplit/>
        </w:trPr>
        <w:tc>
          <w:tcPr>
            <w:tcW w:w="2128" w:type="dxa"/>
            <w:shd w:val="clear" w:color="auto" w:fill="auto"/>
          </w:tcPr>
          <w:p w:rsidR="00E47FA5" w:rsidRPr="00BD574A" w:rsidRDefault="00E47FA5" w:rsidP="004E49F4">
            <w:pPr>
              <w:pStyle w:val="ENoteTableText"/>
              <w:tabs>
                <w:tab w:val="center" w:leader="dot" w:pos="2268"/>
              </w:tabs>
            </w:pPr>
          </w:p>
        </w:tc>
        <w:tc>
          <w:tcPr>
            <w:tcW w:w="4945" w:type="dxa"/>
            <w:shd w:val="clear" w:color="auto" w:fill="auto"/>
          </w:tcPr>
          <w:p w:rsidR="00E47FA5" w:rsidRPr="00BD574A" w:rsidRDefault="00E47FA5" w:rsidP="004E49F4">
            <w:pPr>
              <w:pStyle w:val="ENoteTableText"/>
            </w:pPr>
            <w:r w:rsidRPr="00BD574A">
              <w:t>ad No 81, 2016</w:t>
            </w:r>
          </w:p>
        </w:tc>
      </w:tr>
      <w:tr w:rsidR="00911F79" w:rsidRPr="00BD574A" w:rsidTr="00FA3B43">
        <w:trPr>
          <w:cantSplit/>
        </w:trPr>
        <w:tc>
          <w:tcPr>
            <w:tcW w:w="2128" w:type="dxa"/>
            <w:shd w:val="clear" w:color="auto" w:fill="auto"/>
          </w:tcPr>
          <w:p w:rsidR="00911F79" w:rsidRPr="00BD574A" w:rsidRDefault="00911F79" w:rsidP="004E49F4">
            <w:pPr>
              <w:pStyle w:val="ENoteTableText"/>
              <w:tabs>
                <w:tab w:val="center" w:leader="dot" w:pos="2268"/>
              </w:tabs>
            </w:pPr>
            <w:r w:rsidRPr="00BD574A">
              <w:t>s 12B</w:t>
            </w:r>
            <w:r w:rsidRPr="00BD574A">
              <w:tab/>
            </w:r>
          </w:p>
        </w:tc>
        <w:tc>
          <w:tcPr>
            <w:tcW w:w="4945" w:type="dxa"/>
            <w:shd w:val="clear" w:color="auto" w:fill="auto"/>
          </w:tcPr>
          <w:p w:rsidR="00911F79" w:rsidRPr="00BD574A" w:rsidRDefault="00911F79" w:rsidP="004E49F4">
            <w:pPr>
              <w:pStyle w:val="ENoteTableText"/>
            </w:pPr>
            <w:r w:rsidRPr="00BD574A">
              <w:t>ad No</w:t>
            </w:r>
            <w:r w:rsidR="004A4139" w:rsidRPr="00BD574A">
              <w:t> </w:t>
            </w:r>
            <w:r w:rsidRPr="00BD574A">
              <w:t>23, 2012</w:t>
            </w:r>
          </w:p>
        </w:tc>
      </w:tr>
      <w:tr w:rsidR="00911F79" w:rsidRPr="00BD574A" w:rsidTr="00FA3B43">
        <w:trPr>
          <w:cantSplit/>
        </w:trPr>
        <w:tc>
          <w:tcPr>
            <w:tcW w:w="2128" w:type="dxa"/>
            <w:shd w:val="clear" w:color="auto" w:fill="auto"/>
          </w:tcPr>
          <w:p w:rsidR="00911F79" w:rsidRPr="00BD574A" w:rsidRDefault="00911F79" w:rsidP="004E49F4">
            <w:pPr>
              <w:pStyle w:val="ENoteTableText"/>
              <w:tabs>
                <w:tab w:val="center" w:leader="dot" w:pos="2268"/>
              </w:tabs>
            </w:pPr>
          </w:p>
        </w:tc>
        <w:tc>
          <w:tcPr>
            <w:tcW w:w="4945" w:type="dxa"/>
            <w:shd w:val="clear" w:color="auto" w:fill="auto"/>
          </w:tcPr>
          <w:p w:rsidR="00911F79" w:rsidRPr="00BD574A" w:rsidRDefault="00911F79" w:rsidP="004E49F4">
            <w:pPr>
              <w:pStyle w:val="ENoteTableText"/>
            </w:pPr>
            <w:r w:rsidRPr="00BD574A">
              <w:t>am No</w:t>
            </w:r>
            <w:r w:rsidR="004A4139" w:rsidRPr="00BD574A">
              <w:t> </w:t>
            </w:r>
            <w:r w:rsidRPr="00BD574A">
              <w:t>82, 2013</w:t>
            </w:r>
          </w:p>
        </w:tc>
      </w:tr>
      <w:tr w:rsidR="00464DD7" w:rsidRPr="00BD574A" w:rsidTr="003336B6">
        <w:trPr>
          <w:cantSplit/>
        </w:trPr>
        <w:tc>
          <w:tcPr>
            <w:tcW w:w="2128" w:type="dxa"/>
            <w:shd w:val="clear" w:color="auto" w:fill="auto"/>
          </w:tcPr>
          <w:p w:rsidR="00464DD7" w:rsidRPr="00BD574A" w:rsidRDefault="00464DD7" w:rsidP="003336B6">
            <w:pPr>
              <w:pStyle w:val="ENoteTableText"/>
              <w:tabs>
                <w:tab w:val="center" w:leader="dot" w:pos="2268"/>
              </w:tabs>
            </w:pPr>
          </w:p>
        </w:tc>
        <w:tc>
          <w:tcPr>
            <w:tcW w:w="4945" w:type="dxa"/>
            <w:shd w:val="clear" w:color="auto" w:fill="auto"/>
          </w:tcPr>
          <w:p w:rsidR="00464DD7" w:rsidRPr="00BD574A" w:rsidRDefault="00464DD7" w:rsidP="003336B6">
            <w:pPr>
              <w:pStyle w:val="ENoteTableText"/>
            </w:pPr>
            <w:r w:rsidRPr="00BD574A">
              <w:t>rep No 96, 2014</w:t>
            </w:r>
          </w:p>
        </w:tc>
      </w:tr>
      <w:tr w:rsidR="00E47FA5" w:rsidRPr="00BD574A" w:rsidTr="003336B6">
        <w:trPr>
          <w:cantSplit/>
        </w:trPr>
        <w:tc>
          <w:tcPr>
            <w:tcW w:w="2128" w:type="dxa"/>
            <w:shd w:val="clear" w:color="auto" w:fill="auto"/>
          </w:tcPr>
          <w:p w:rsidR="00E47FA5" w:rsidRPr="00BD574A" w:rsidRDefault="00E47FA5" w:rsidP="003336B6">
            <w:pPr>
              <w:pStyle w:val="ENoteTableText"/>
              <w:tabs>
                <w:tab w:val="center" w:leader="dot" w:pos="2268"/>
              </w:tabs>
            </w:pPr>
          </w:p>
        </w:tc>
        <w:tc>
          <w:tcPr>
            <w:tcW w:w="4945" w:type="dxa"/>
            <w:shd w:val="clear" w:color="auto" w:fill="auto"/>
          </w:tcPr>
          <w:p w:rsidR="00E47FA5" w:rsidRPr="00BD574A" w:rsidRDefault="00E47FA5" w:rsidP="003336B6">
            <w:pPr>
              <w:pStyle w:val="ENoteTableText"/>
            </w:pPr>
            <w:r w:rsidRPr="00BD574A">
              <w:t>ad No 81, 2016</w:t>
            </w:r>
          </w:p>
        </w:tc>
      </w:tr>
      <w:tr w:rsidR="00911F79" w:rsidRPr="00BD574A" w:rsidTr="00FA3B43">
        <w:trPr>
          <w:cantSplit/>
        </w:trPr>
        <w:tc>
          <w:tcPr>
            <w:tcW w:w="2128" w:type="dxa"/>
            <w:shd w:val="clear" w:color="auto" w:fill="auto"/>
          </w:tcPr>
          <w:p w:rsidR="00911F79" w:rsidRPr="00BD574A" w:rsidRDefault="00911F79" w:rsidP="004E49F4">
            <w:pPr>
              <w:pStyle w:val="ENoteTableText"/>
              <w:tabs>
                <w:tab w:val="center" w:leader="dot" w:pos="2268"/>
              </w:tabs>
            </w:pPr>
            <w:r w:rsidRPr="00BD574A">
              <w:t>s 12C</w:t>
            </w:r>
            <w:r w:rsidRPr="00BD574A">
              <w:tab/>
            </w:r>
          </w:p>
        </w:tc>
        <w:tc>
          <w:tcPr>
            <w:tcW w:w="4945" w:type="dxa"/>
            <w:shd w:val="clear" w:color="auto" w:fill="auto"/>
          </w:tcPr>
          <w:p w:rsidR="00911F79" w:rsidRPr="00BD574A" w:rsidRDefault="00911F79" w:rsidP="004E49F4">
            <w:pPr>
              <w:pStyle w:val="ENoteTableText"/>
            </w:pPr>
            <w:r w:rsidRPr="00BD574A">
              <w:t>ad No</w:t>
            </w:r>
            <w:r w:rsidR="004A4139" w:rsidRPr="00BD574A">
              <w:t> </w:t>
            </w:r>
            <w:r w:rsidRPr="00BD574A">
              <w:t>23, 2012</w:t>
            </w:r>
          </w:p>
        </w:tc>
      </w:tr>
      <w:tr w:rsidR="00911F79" w:rsidRPr="00BD574A" w:rsidTr="00FA3B43">
        <w:trPr>
          <w:cantSplit/>
        </w:trPr>
        <w:tc>
          <w:tcPr>
            <w:tcW w:w="2128" w:type="dxa"/>
            <w:shd w:val="clear" w:color="auto" w:fill="auto"/>
          </w:tcPr>
          <w:p w:rsidR="00911F79" w:rsidRPr="00BD574A" w:rsidRDefault="00911F79" w:rsidP="004E49F4">
            <w:pPr>
              <w:pStyle w:val="ENoteTableText"/>
              <w:tabs>
                <w:tab w:val="center" w:leader="dot" w:pos="2268"/>
              </w:tabs>
            </w:pPr>
          </w:p>
        </w:tc>
        <w:tc>
          <w:tcPr>
            <w:tcW w:w="4945" w:type="dxa"/>
            <w:shd w:val="clear" w:color="auto" w:fill="auto"/>
          </w:tcPr>
          <w:p w:rsidR="00911F79" w:rsidRPr="00BD574A" w:rsidRDefault="00911F79" w:rsidP="004E49F4">
            <w:pPr>
              <w:pStyle w:val="ENoteTableText"/>
            </w:pPr>
            <w:r w:rsidRPr="00BD574A">
              <w:t>am. No.</w:t>
            </w:r>
            <w:r w:rsidR="00BD574A">
              <w:t> </w:t>
            </w:r>
            <w:r w:rsidRPr="00BD574A">
              <w:t>82, 2013</w:t>
            </w:r>
          </w:p>
        </w:tc>
      </w:tr>
      <w:tr w:rsidR="00464DD7" w:rsidRPr="00BD574A" w:rsidTr="003336B6">
        <w:trPr>
          <w:cantSplit/>
        </w:trPr>
        <w:tc>
          <w:tcPr>
            <w:tcW w:w="2128" w:type="dxa"/>
            <w:shd w:val="clear" w:color="auto" w:fill="auto"/>
          </w:tcPr>
          <w:p w:rsidR="00464DD7" w:rsidRPr="00BD574A" w:rsidRDefault="00464DD7" w:rsidP="003336B6">
            <w:pPr>
              <w:pStyle w:val="ENoteTableText"/>
              <w:tabs>
                <w:tab w:val="center" w:leader="dot" w:pos="2268"/>
              </w:tabs>
            </w:pPr>
          </w:p>
        </w:tc>
        <w:tc>
          <w:tcPr>
            <w:tcW w:w="4945" w:type="dxa"/>
            <w:shd w:val="clear" w:color="auto" w:fill="auto"/>
          </w:tcPr>
          <w:p w:rsidR="00464DD7" w:rsidRPr="00BD574A" w:rsidRDefault="00464DD7" w:rsidP="003336B6">
            <w:pPr>
              <w:pStyle w:val="ENoteTableText"/>
            </w:pPr>
            <w:r w:rsidRPr="00BD574A">
              <w:t>rep No 96, 2014</w:t>
            </w:r>
          </w:p>
        </w:tc>
      </w:tr>
      <w:tr w:rsidR="00E47FA5" w:rsidRPr="00BD574A" w:rsidTr="003336B6">
        <w:trPr>
          <w:cantSplit/>
        </w:trPr>
        <w:tc>
          <w:tcPr>
            <w:tcW w:w="2128" w:type="dxa"/>
            <w:shd w:val="clear" w:color="auto" w:fill="auto"/>
          </w:tcPr>
          <w:p w:rsidR="00E47FA5" w:rsidRPr="00BD574A" w:rsidRDefault="00E47FA5" w:rsidP="003336B6">
            <w:pPr>
              <w:pStyle w:val="ENoteTableText"/>
              <w:tabs>
                <w:tab w:val="center" w:leader="dot" w:pos="2268"/>
              </w:tabs>
            </w:pPr>
          </w:p>
        </w:tc>
        <w:tc>
          <w:tcPr>
            <w:tcW w:w="4945" w:type="dxa"/>
            <w:shd w:val="clear" w:color="auto" w:fill="auto"/>
          </w:tcPr>
          <w:p w:rsidR="00E47FA5" w:rsidRPr="00BD574A" w:rsidRDefault="00E47FA5" w:rsidP="003336B6">
            <w:pPr>
              <w:pStyle w:val="ENoteTableText"/>
            </w:pPr>
            <w:r w:rsidRPr="00BD574A">
              <w:t>ad No 81, 2016</w:t>
            </w:r>
          </w:p>
        </w:tc>
      </w:tr>
      <w:tr w:rsidR="00911F79" w:rsidRPr="00BD574A" w:rsidTr="00FA3B43">
        <w:trPr>
          <w:cantSplit/>
        </w:trPr>
        <w:tc>
          <w:tcPr>
            <w:tcW w:w="2128" w:type="dxa"/>
            <w:shd w:val="clear" w:color="auto" w:fill="auto"/>
          </w:tcPr>
          <w:p w:rsidR="00911F79" w:rsidRPr="00BD574A" w:rsidRDefault="00911F79" w:rsidP="004E49F4">
            <w:pPr>
              <w:pStyle w:val="ENoteTableText"/>
              <w:tabs>
                <w:tab w:val="center" w:leader="dot" w:pos="2268"/>
              </w:tabs>
            </w:pPr>
            <w:r w:rsidRPr="00BD574A">
              <w:lastRenderedPageBreak/>
              <w:t>s 12D</w:t>
            </w:r>
            <w:r w:rsidRPr="00BD574A">
              <w:tab/>
            </w:r>
          </w:p>
        </w:tc>
        <w:tc>
          <w:tcPr>
            <w:tcW w:w="4945" w:type="dxa"/>
            <w:shd w:val="clear" w:color="auto" w:fill="auto"/>
          </w:tcPr>
          <w:p w:rsidR="00911F79" w:rsidRPr="00BD574A" w:rsidRDefault="00911F79" w:rsidP="004E49F4">
            <w:pPr>
              <w:pStyle w:val="ENoteTableText"/>
            </w:pPr>
            <w:r w:rsidRPr="00BD574A">
              <w:t>ad No</w:t>
            </w:r>
            <w:r w:rsidR="004A4139" w:rsidRPr="00BD574A">
              <w:t> </w:t>
            </w:r>
            <w:r w:rsidRPr="00BD574A">
              <w:t>23, 2012</w:t>
            </w:r>
          </w:p>
        </w:tc>
      </w:tr>
      <w:tr w:rsidR="00911F79" w:rsidRPr="00BD574A" w:rsidTr="00FA3B43">
        <w:trPr>
          <w:cantSplit/>
        </w:trPr>
        <w:tc>
          <w:tcPr>
            <w:tcW w:w="2128" w:type="dxa"/>
            <w:shd w:val="clear" w:color="auto" w:fill="auto"/>
          </w:tcPr>
          <w:p w:rsidR="00911F79" w:rsidRPr="00BD574A" w:rsidRDefault="00911F79" w:rsidP="004E49F4">
            <w:pPr>
              <w:pStyle w:val="ENoteTableText"/>
              <w:tabs>
                <w:tab w:val="center" w:leader="dot" w:pos="2268"/>
              </w:tabs>
            </w:pPr>
          </w:p>
        </w:tc>
        <w:tc>
          <w:tcPr>
            <w:tcW w:w="4945" w:type="dxa"/>
            <w:shd w:val="clear" w:color="auto" w:fill="auto"/>
          </w:tcPr>
          <w:p w:rsidR="00911F79" w:rsidRPr="00BD574A" w:rsidRDefault="00911F79" w:rsidP="004E49F4">
            <w:pPr>
              <w:pStyle w:val="ENoteTableText"/>
            </w:pPr>
            <w:r w:rsidRPr="00BD574A">
              <w:t>rep No</w:t>
            </w:r>
            <w:r w:rsidR="004A4139" w:rsidRPr="00BD574A">
              <w:t> </w:t>
            </w:r>
            <w:r w:rsidRPr="00BD574A">
              <w:t>82, 2013</w:t>
            </w:r>
          </w:p>
        </w:tc>
      </w:tr>
      <w:tr w:rsidR="00911F79" w:rsidRPr="00BD574A" w:rsidTr="00FA3B43">
        <w:trPr>
          <w:cantSplit/>
        </w:trPr>
        <w:tc>
          <w:tcPr>
            <w:tcW w:w="2128" w:type="dxa"/>
            <w:shd w:val="clear" w:color="auto" w:fill="auto"/>
          </w:tcPr>
          <w:p w:rsidR="00911F79" w:rsidRPr="00BD574A" w:rsidRDefault="00911F79" w:rsidP="004E49F4">
            <w:pPr>
              <w:pStyle w:val="ENoteTableText"/>
              <w:tabs>
                <w:tab w:val="center" w:leader="dot" w:pos="2268"/>
              </w:tabs>
            </w:pPr>
            <w:r w:rsidRPr="00BD574A">
              <w:t>s 12E</w:t>
            </w:r>
            <w:r w:rsidRPr="00BD574A">
              <w:tab/>
            </w:r>
          </w:p>
        </w:tc>
        <w:tc>
          <w:tcPr>
            <w:tcW w:w="4945" w:type="dxa"/>
            <w:shd w:val="clear" w:color="auto" w:fill="auto"/>
          </w:tcPr>
          <w:p w:rsidR="00911F79" w:rsidRPr="00BD574A" w:rsidRDefault="00911F79" w:rsidP="004E49F4">
            <w:pPr>
              <w:pStyle w:val="ENoteTableText"/>
            </w:pPr>
            <w:r w:rsidRPr="00BD574A">
              <w:t>ad No</w:t>
            </w:r>
            <w:r w:rsidR="004A4139" w:rsidRPr="00BD574A">
              <w:t> </w:t>
            </w:r>
            <w:r w:rsidRPr="00BD574A">
              <w:t>23, 2012</w:t>
            </w:r>
          </w:p>
        </w:tc>
      </w:tr>
      <w:tr w:rsidR="00911F79" w:rsidRPr="00BD574A" w:rsidTr="00FA3B43">
        <w:trPr>
          <w:cantSplit/>
        </w:trPr>
        <w:tc>
          <w:tcPr>
            <w:tcW w:w="2128" w:type="dxa"/>
            <w:shd w:val="clear" w:color="auto" w:fill="auto"/>
          </w:tcPr>
          <w:p w:rsidR="00911F79" w:rsidRPr="00BD574A" w:rsidRDefault="00911F79" w:rsidP="004E49F4">
            <w:pPr>
              <w:pStyle w:val="ENoteTableText"/>
              <w:tabs>
                <w:tab w:val="center" w:leader="dot" w:pos="2268"/>
              </w:tabs>
            </w:pPr>
          </w:p>
        </w:tc>
        <w:tc>
          <w:tcPr>
            <w:tcW w:w="4945" w:type="dxa"/>
            <w:shd w:val="clear" w:color="auto" w:fill="auto"/>
          </w:tcPr>
          <w:p w:rsidR="00911F79" w:rsidRPr="00BD574A" w:rsidRDefault="00911F79" w:rsidP="004E49F4">
            <w:pPr>
              <w:pStyle w:val="ENoteTableText"/>
            </w:pPr>
            <w:r w:rsidRPr="00BD574A">
              <w:t>am No</w:t>
            </w:r>
            <w:r w:rsidR="004A4139" w:rsidRPr="00BD574A">
              <w:t> </w:t>
            </w:r>
            <w:r w:rsidRPr="00BD574A">
              <w:t>82, 2013</w:t>
            </w:r>
          </w:p>
        </w:tc>
      </w:tr>
      <w:tr w:rsidR="00464DD7" w:rsidRPr="00BD574A" w:rsidTr="003336B6">
        <w:trPr>
          <w:cantSplit/>
        </w:trPr>
        <w:tc>
          <w:tcPr>
            <w:tcW w:w="2128" w:type="dxa"/>
            <w:shd w:val="clear" w:color="auto" w:fill="auto"/>
          </w:tcPr>
          <w:p w:rsidR="00464DD7" w:rsidRPr="00BD574A" w:rsidRDefault="00464DD7" w:rsidP="003336B6">
            <w:pPr>
              <w:pStyle w:val="ENoteTableText"/>
              <w:tabs>
                <w:tab w:val="center" w:leader="dot" w:pos="2268"/>
              </w:tabs>
            </w:pPr>
          </w:p>
        </w:tc>
        <w:tc>
          <w:tcPr>
            <w:tcW w:w="4945" w:type="dxa"/>
            <w:shd w:val="clear" w:color="auto" w:fill="auto"/>
          </w:tcPr>
          <w:p w:rsidR="00464DD7" w:rsidRPr="00BD574A" w:rsidRDefault="00464DD7" w:rsidP="003336B6">
            <w:pPr>
              <w:pStyle w:val="ENoteTableText"/>
            </w:pPr>
            <w:r w:rsidRPr="00BD574A">
              <w:t>rep No 96, 2014</w:t>
            </w:r>
          </w:p>
        </w:tc>
      </w:tr>
      <w:tr w:rsidR="00E47FA5" w:rsidRPr="00BD574A" w:rsidTr="003336B6">
        <w:trPr>
          <w:cantSplit/>
        </w:trPr>
        <w:tc>
          <w:tcPr>
            <w:tcW w:w="2128" w:type="dxa"/>
            <w:shd w:val="clear" w:color="auto" w:fill="auto"/>
          </w:tcPr>
          <w:p w:rsidR="00E47FA5" w:rsidRPr="00BD574A" w:rsidRDefault="00E47FA5" w:rsidP="003336B6">
            <w:pPr>
              <w:pStyle w:val="ENoteTableText"/>
              <w:tabs>
                <w:tab w:val="center" w:leader="dot" w:pos="2268"/>
              </w:tabs>
            </w:pPr>
          </w:p>
        </w:tc>
        <w:tc>
          <w:tcPr>
            <w:tcW w:w="4945" w:type="dxa"/>
            <w:shd w:val="clear" w:color="auto" w:fill="auto"/>
          </w:tcPr>
          <w:p w:rsidR="00E47FA5" w:rsidRPr="00BD574A" w:rsidRDefault="00E47FA5" w:rsidP="003336B6">
            <w:pPr>
              <w:pStyle w:val="ENoteTableText"/>
            </w:pPr>
            <w:r w:rsidRPr="00BD574A">
              <w:t>ad No 81, 2016</w:t>
            </w:r>
          </w:p>
        </w:tc>
      </w:tr>
      <w:tr w:rsidR="00911F79" w:rsidRPr="00BD574A" w:rsidTr="00FA3B43">
        <w:trPr>
          <w:cantSplit/>
        </w:trPr>
        <w:tc>
          <w:tcPr>
            <w:tcW w:w="2128" w:type="dxa"/>
            <w:shd w:val="clear" w:color="auto" w:fill="auto"/>
          </w:tcPr>
          <w:p w:rsidR="00911F79" w:rsidRPr="00BD574A" w:rsidRDefault="00911F79" w:rsidP="004E49F4">
            <w:pPr>
              <w:pStyle w:val="ENoteTableText"/>
              <w:tabs>
                <w:tab w:val="center" w:leader="dot" w:pos="2268"/>
              </w:tabs>
            </w:pPr>
            <w:r w:rsidRPr="00BD574A">
              <w:t>s 12F</w:t>
            </w:r>
            <w:r w:rsidRPr="00BD574A">
              <w:tab/>
            </w:r>
          </w:p>
        </w:tc>
        <w:tc>
          <w:tcPr>
            <w:tcW w:w="4945" w:type="dxa"/>
            <w:shd w:val="clear" w:color="auto" w:fill="auto"/>
          </w:tcPr>
          <w:p w:rsidR="00911F79" w:rsidRPr="00BD574A" w:rsidRDefault="00911F79" w:rsidP="004E49F4">
            <w:pPr>
              <w:pStyle w:val="ENoteTableText"/>
            </w:pPr>
            <w:r w:rsidRPr="00BD574A">
              <w:t>ad No</w:t>
            </w:r>
            <w:r w:rsidR="004A4139" w:rsidRPr="00BD574A">
              <w:t> </w:t>
            </w:r>
            <w:r w:rsidRPr="00BD574A">
              <w:t>82, 2013</w:t>
            </w:r>
          </w:p>
        </w:tc>
      </w:tr>
      <w:tr w:rsidR="00464DD7" w:rsidRPr="00BD574A" w:rsidTr="003336B6">
        <w:trPr>
          <w:cantSplit/>
        </w:trPr>
        <w:tc>
          <w:tcPr>
            <w:tcW w:w="2128" w:type="dxa"/>
            <w:shd w:val="clear" w:color="auto" w:fill="auto"/>
          </w:tcPr>
          <w:p w:rsidR="00464DD7" w:rsidRPr="00BD574A" w:rsidRDefault="00464DD7" w:rsidP="003336B6">
            <w:pPr>
              <w:pStyle w:val="ENoteTableText"/>
              <w:tabs>
                <w:tab w:val="center" w:leader="dot" w:pos="2268"/>
              </w:tabs>
            </w:pPr>
          </w:p>
        </w:tc>
        <w:tc>
          <w:tcPr>
            <w:tcW w:w="4945" w:type="dxa"/>
            <w:shd w:val="clear" w:color="auto" w:fill="auto"/>
          </w:tcPr>
          <w:p w:rsidR="00464DD7" w:rsidRPr="00BD574A" w:rsidRDefault="00464DD7" w:rsidP="003336B6">
            <w:pPr>
              <w:pStyle w:val="ENoteTableText"/>
            </w:pPr>
            <w:r w:rsidRPr="00BD574A">
              <w:t>rep No 96, 2014</w:t>
            </w:r>
          </w:p>
        </w:tc>
      </w:tr>
      <w:tr w:rsidR="00E47FA5" w:rsidRPr="00BD574A" w:rsidTr="003336B6">
        <w:trPr>
          <w:cantSplit/>
        </w:trPr>
        <w:tc>
          <w:tcPr>
            <w:tcW w:w="2128" w:type="dxa"/>
            <w:shd w:val="clear" w:color="auto" w:fill="auto"/>
          </w:tcPr>
          <w:p w:rsidR="00E47FA5" w:rsidRPr="00BD574A" w:rsidRDefault="00E47FA5" w:rsidP="003336B6">
            <w:pPr>
              <w:pStyle w:val="ENoteTableText"/>
              <w:tabs>
                <w:tab w:val="center" w:leader="dot" w:pos="2268"/>
              </w:tabs>
            </w:pPr>
          </w:p>
        </w:tc>
        <w:tc>
          <w:tcPr>
            <w:tcW w:w="4945" w:type="dxa"/>
            <w:shd w:val="clear" w:color="auto" w:fill="auto"/>
          </w:tcPr>
          <w:p w:rsidR="00E47FA5" w:rsidRPr="00BD574A" w:rsidRDefault="00E47FA5" w:rsidP="003336B6">
            <w:pPr>
              <w:pStyle w:val="ENoteTableText"/>
            </w:pPr>
            <w:r w:rsidRPr="00BD574A">
              <w:t>ad No 81, 2016</w:t>
            </w:r>
          </w:p>
        </w:tc>
      </w:tr>
      <w:tr w:rsidR="00911F79" w:rsidRPr="00BD574A" w:rsidTr="00FA3B43">
        <w:trPr>
          <w:cantSplit/>
        </w:trPr>
        <w:tc>
          <w:tcPr>
            <w:tcW w:w="2128" w:type="dxa"/>
            <w:shd w:val="clear" w:color="auto" w:fill="auto"/>
          </w:tcPr>
          <w:p w:rsidR="00911F79" w:rsidRPr="00BD574A" w:rsidRDefault="00911F79" w:rsidP="004E49F4">
            <w:pPr>
              <w:pStyle w:val="ENoteTableText"/>
              <w:tabs>
                <w:tab w:val="center" w:leader="dot" w:pos="2268"/>
              </w:tabs>
            </w:pPr>
            <w:r w:rsidRPr="00BD574A">
              <w:t>s 12G</w:t>
            </w:r>
            <w:r w:rsidRPr="00BD574A">
              <w:tab/>
            </w:r>
          </w:p>
        </w:tc>
        <w:tc>
          <w:tcPr>
            <w:tcW w:w="4945" w:type="dxa"/>
            <w:shd w:val="clear" w:color="auto" w:fill="auto"/>
          </w:tcPr>
          <w:p w:rsidR="00911F79" w:rsidRPr="00BD574A" w:rsidRDefault="00911F79" w:rsidP="004E49F4">
            <w:pPr>
              <w:pStyle w:val="ENoteTableText"/>
            </w:pPr>
            <w:r w:rsidRPr="00BD574A">
              <w:t>ad No</w:t>
            </w:r>
            <w:r w:rsidR="004A4139" w:rsidRPr="00BD574A">
              <w:t> </w:t>
            </w:r>
            <w:r w:rsidRPr="00BD574A">
              <w:t>82, 2013</w:t>
            </w:r>
          </w:p>
        </w:tc>
      </w:tr>
      <w:tr w:rsidR="00464DD7" w:rsidRPr="00BD574A" w:rsidTr="003336B6">
        <w:trPr>
          <w:cantSplit/>
        </w:trPr>
        <w:tc>
          <w:tcPr>
            <w:tcW w:w="2128" w:type="dxa"/>
            <w:shd w:val="clear" w:color="auto" w:fill="auto"/>
          </w:tcPr>
          <w:p w:rsidR="00464DD7" w:rsidRPr="00BD574A" w:rsidRDefault="00464DD7" w:rsidP="003336B6">
            <w:pPr>
              <w:pStyle w:val="ENoteTableText"/>
              <w:tabs>
                <w:tab w:val="center" w:leader="dot" w:pos="2268"/>
              </w:tabs>
            </w:pPr>
          </w:p>
        </w:tc>
        <w:tc>
          <w:tcPr>
            <w:tcW w:w="4945" w:type="dxa"/>
            <w:shd w:val="clear" w:color="auto" w:fill="auto"/>
          </w:tcPr>
          <w:p w:rsidR="00464DD7" w:rsidRPr="00BD574A" w:rsidRDefault="00464DD7" w:rsidP="003336B6">
            <w:pPr>
              <w:pStyle w:val="ENoteTableText"/>
            </w:pPr>
            <w:r w:rsidRPr="00BD574A">
              <w:t>rep No 96, 2014</w:t>
            </w:r>
          </w:p>
        </w:tc>
      </w:tr>
      <w:tr w:rsidR="00E47FA5" w:rsidRPr="00BD574A" w:rsidTr="003336B6">
        <w:trPr>
          <w:cantSplit/>
        </w:trPr>
        <w:tc>
          <w:tcPr>
            <w:tcW w:w="2128" w:type="dxa"/>
            <w:shd w:val="clear" w:color="auto" w:fill="auto"/>
          </w:tcPr>
          <w:p w:rsidR="00E47FA5" w:rsidRPr="00BD574A" w:rsidRDefault="00E47FA5" w:rsidP="003336B6">
            <w:pPr>
              <w:pStyle w:val="ENoteTableText"/>
              <w:tabs>
                <w:tab w:val="center" w:leader="dot" w:pos="2268"/>
              </w:tabs>
            </w:pPr>
          </w:p>
        </w:tc>
        <w:tc>
          <w:tcPr>
            <w:tcW w:w="4945" w:type="dxa"/>
            <w:shd w:val="clear" w:color="auto" w:fill="auto"/>
          </w:tcPr>
          <w:p w:rsidR="00E47FA5" w:rsidRPr="00BD574A" w:rsidRDefault="00E47FA5" w:rsidP="003336B6">
            <w:pPr>
              <w:pStyle w:val="ENoteTableText"/>
            </w:pPr>
            <w:r w:rsidRPr="00BD574A">
              <w:t>ad No 81, 2016</w:t>
            </w:r>
          </w:p>
        </w:tc>
      </w:tr>
      <w:tr w:rsidR="00911F79" w:rsidRPr="00BD574A" w:rsidTr="00FA3B43">
        <w:trPr>
          <w:cantSplit/>
        </w:trPr>
        <w:tc>
          <w:tcPr>
            <w:tcW w:w="2128" w:type="dxa"/>
            <w:shd w:val="clear" w:color="auto" w:fill="auto"/>
          </w:tcPr>
          <w:p w:rsidR="00911F79" w:rsidRPr="00BD574A" w:rsidRDefault="00911F79" w:rsidP="004E49F4">
            <w:pPr>
              <w:pStyle w:val="ENoteTableText"/>
              <w:tabs>
                <w:tab w:val="right" w:pos="482"/>
              </w:tabs>
              <w:ind w:left="748" w:hanging="748"/>
            </w:pPr>
            <w:r w:rsidRPr="00BD574A">
              <w:rPr>
                <w:b/>
              </w:rPr>
              <w:t>Part</w:t>
            </w:r>
            <w:r w:rsidR="00BD574A">
              <w:rPr>
                <w:b/>
              </w:rPr>
              <w:t> </w:t>
            </w:r>
            <w:r w:rsidRPr="00BD574A">
              <w:rPr>
                <w:b/>
              </w:rPr>
              <w:t>3</w:t>
            </w:r>
          </w:p>
        </w:tc>
        <w:tc>
          <w:tcPr>
            <w:tcW w:w="4945" w:type="dxa"/>
            <w:shd w:val="clear" w:color="auto" w:fill="auto"/>
          </w:tcPr>
          <w:p w:rsidR="00911F79" w:rsidRPr="00BD574A" w:rsidRDefault="00911F79" w:rsidP="004E49F4">
            <w:pPr>
              <w:pStyle w:val="ENoteTableText"/>
            </w:pPr>
          </w:p>
        </w:tc>
      </w:tr>
      <w:tr w:rsidR="00911F79" w:rsidRPr="00BD574A" w:rsidTr="00FA3B43">
        <w:trPr>
          <w:cantSplit/>
        </w:trPr>
        <w:tc>
          <w:tcPr>
            <w:tcW w:w="2128" w:type="dxa"/>
            <w:shd w:val="clear" w:color="auto" w:fill="auto"/>
          </w:tcPr>
          <w:p w:rsidR="00911F79" w:rsidRPr="00BD574A" w:rsidRDefault="00911F79" w:rsidP="004E49F4">
            <w:pPr>
              <w:pStyle w:val="ENoteTableText"/>
              <w:tabs>
                <w:tab w:val="center" w:leader="dot" w:pos="2268"/>
              </w:tabs>
            </w:pPr>
            <w:r w:rsidRPr="00BD574A">
              <w:t>s. 14</w:t>
            </w:r>
            <w:r w:rsidRPr="00BD574A">
              <w:tab/>
            </w:r>
          </w:p>
        </w:tc>
        <w:tc>
          <w:tcPr>
            <w:tcW w:w="4945" w:type="dxa"/>
            <w:shd w:val="clear" w:color="auto" w:fill="auto"/>
          </w:tcPr>
          <w:p w:rsidR="00911F79" w:rsidRPr="00BD574A" w:rsidRDefault="00911F79" w:rsidP="003355AA">
            <w:pPr>
              <w:pStyle w:val="ENoteTableText"/>
            </w:pPr>
            <w:r w:rsidRPr="00BD574A">
              <w:t>am. No.</w:t>
            </w:r>
            <w:r w:rsidR="00BD574A">
              <w:t> </w:t>
            </w:r>
            <w:r w:rsidRPr="00BD574A">
              <w:t>9, 2007; No.</w:t>
            </w:r>
            <w:r w:rsidR="00BD574A">
              <w:t> </w:t>
            </w:r>
            <w:r w:rsidRPr="00BD574A">
              <w:t>23, 2012</w:t>
            </w:r>
            <w:r w:rsidR="00A127C7" w:rsidRPr="00BD574A">
              <w:t>; No 2, 2015</w:t>
            </w:r>
          </w:p>
        </w:tc>
      </w:tr>
      <w:tr w:rsidR="00911F79" w:rsidRPr="00BD574A" w:rsidTr="00FA3B43">
        <w:trPr>
          <w:cantSplit/>
        </w:trPr>
        <w:tc>
          <w:tcPr>
            <w:tcW w:w="2128" w:type="dxa"/>
            <w:shd w:val="clear" w:color="auto" w:fill="auto"/>
          </w:tcPr>
          <w:p w:rsidR="00911F79" w:rsidRPr="00BD574A" w:rsidRDefault="00911F79" w:rsidP="004E49F4">
            <w:pPr>
              <w:pStyle w:val="ENoteTableText"/>
            </w:pPr>
            <w:r w:rsidRPr="00BD574A">
              <w:rPr>
                <w:b/>
              </w:rPr>
              <w:t>Part</w:t>
            </w:r>
            <w:r w:rsidR="00BD574A">
              <w:rPr>
                <w:b/>
              </w:rPr>
              <w:t> </w:t>
            </w:r>
            <w:r w:rsidRPr="00BD574A">
              <w:rPr>
                <w:b/>
              </w:rPr>
              <w:t>4</w:t>
            </w:r>
          </w:p>
        </w:tc>
        <w:tc>
          <w:tcPr>
            <w:tcW w:w="4945" w:type="dxa"/>
            <w:shd w:val="clear" w:color="auto" w:fill="auto"/>
          </w:tcPr>
          <w:p w:rsidR="00911F79" w:rsidRPr="00BD574A" w:rsidRDefault="00911F79" w:rsidP="004E49F4">
            <w:pPr>
              <w:pStyle w:val="ENoteTableText"/>
            </w:pPr>
          </w:p>
        </w:tc>
      </w:tr>
      <w:tr w:rsidR="00911F79" w:rsidRPr="00BD574A" w:rsidTr="00FA3B43">
        <w:trPr>
          <w:cantSplit/>
        </w:trPr>
        <w:tc>
          <w:tcPr>
            <w:tcW w:w="2128" w:type="dxa"/>
            <w:shd w:val="clear" w:color="auto" w:fill="auto"/>
          </w:tcPr>
          <w:p w:rsidR="00911F79" w:rsidRPr="00BD574A" w:rsidRDefault="00911F79" w:rsidP="004E49F4">
            <w:pPr>
              <w:pStyle w:val="ENoteTableText"/>
              <w:tabs>
                <w:tab w:val="center" w:leader="dot" w:pos="2268"/>
              </w:tabs>
            </w:pPr>
            <w:r w:rsidRPr="00BD574A">
              <w:t>s. 15</w:t>
            </w:r>
            <w:r w:rsidRPr="00BD574A">
              <w:tab/>
            </w:r>
          </w:p>
        </w:tc>
        <w:tc>
          <w:tcPr>
            <w:tcW w:w="4945" w:type="dxa"/>
            <w:shd w:val="clear" w:color="auto" w:fill="auto"/>
          </w:tcPr>
          <w:p w:rsidR="00911F79" w:rsidRPr="00BD574A" w:rsidRDefault="00911F79" w:rsidP="004E49F4">
            <w:pPr>
              <w:pStyle w:val="ENoteTableText"/>
            </w:pPr>
            <w:r w:rsidRPr="00BD574A">
              <w:t>am. No.</w:t>
            </w:r>
            <w:r w:rsidR="00BD574A">
              <w:t> </w:t>
            </w:r>
            <w:r w:rsidRPr="00BD574A">
              <w:t>92, 2004; No.</w:t>
            </w:r>
            <w:r w:rsidR="00BD574A">
              <w:t> </w:t>
            </w:r>
            <w:r w:rsidRPr="00BD574A">
              <w:t>8, 2005</w:t>
            </w:r>
          </w:p>
        </w:tc>
      </w:tr>
      <w:tr w:rsidR="00911F79" w:rsidRPr="00BD574A" w:rsidTr="00FA3B43">
        <w:trPr>
          <w:cantSplit/>
        </w:trPr>
        <w:tc>
          <w:tcPr>
            <w:tcW w:w="2128" w:type="dxa"/>
            <w:shd w:val="clear" w:color="auto" w:fill="auto"/>
          </w:tcPr>
          <w:p w:rsidR="00911F79" w:rsidRPr="00BD574A" w:rsidRDefault="00911F79" w:rsidP="004E49F4">
            <w:pPr>
              <w:pStyle w:val="ENoteTableText"/>
              <w:tabs>
                <w:tab w:val="center" w:leader="dot" w:pos="2268"/>
              </w:tabs>
            </w:pPr>
            <w:r w:rsidRPr="00BD574A">
              <w:t>s. 16</w:t>
            </w:r>
            <w:r w:rsidRPr="00BD574A">
              <w:tab/>
            </w:r>
          </w:p>
        </w:tc>
        <w:tc>
          <w:tcPr>
            <w:tcW w:w="4945" w:type="dxa"/>
            <w:shd w:val="clear" w:color="auto" w:fill="auto"/>
          </w:tcPr>
          <w:p w:rsidR="00911F79" w:rsidRPr="00BD574A" w:rsidRDefault="00911F79" w:rsidP="004E49F4">
            <w:pPr>
              <w:pStyle w:val="ENoteTableText"/>
            </w:pPr>
            <w:r w:rsidRPr="00BD574A">
              <w:t>am. No.</w:t>
            </w:r>
            <w:r w:rsidR="00BD574A">
              <w:t> </w:t>
            </w:r>
            <w:r w:rsidRPr="00BD574A">
              <w:t>92, 2004</w:t>
            </w:r>
            <w:r w:rsidR="00A127C7" w:rsidRPr="00BD574A">
              <w:t>; No 2, 2015</w:t>
            </w:r>
            <w:r w:rsidR="007A12BD" w:rsidRPr="00BD574A">
              <w:t>; No 70, 2015</w:t>
            </w:r>
          </w:p>
        </w:tc>
      </w:tr>
      <w:tr w:rsidR="00911F79" w:rsidRPr="00BD574A" w:rsidTr="00FA3B43">
        <w:trPr>
          <w:cantSplit/>
        </w:trPr>
        <w:tc>
          <w:tcPr>
            <w:tcW w:w="2128" w:type="dxa"/>
            <w:shd w:val="clear" w:color="auto" w:fill="auto"/>
          </w:tcPr>
          <w:p w:rsidR="00911F79" w:rsidRPr="00BD574A" w:rsidRDefault="00911F79" w:rsidP="003A31CC">
            <w:pPr>
              <w:pStyle w:val="ENoteTableText"/>
              <w:tabs>
                <w:tab w:val="center" w:leader="dot" w:pos="2268"/>
              </w:tabs>
            </w:pPr>
            <w:r w:rsidRPr="00BD574A">
              <w:t>s 18</w:t>
            </w:r>
            <w:r w:rsidRPr="00BD574A">
              <w:tab/>
            </w:r>
          </w:p>
        </w:tc>
        <w:tc>
          <w:tcPr>
            <w:tcW w:w="4945" w:type="dxa"/>
            <w:shd w:val="clear" w:color="auto" w:fill="auto"/>
          </w:tcPr>
          <w:p w:rsidR="00911F79" w:rsidRPr="00BD574A" w:rsidRDefault="00911F79" w:rsidP="004E49F4">
            <w:pPr>
              <w:pStyle w:val="ENoteTableText"/>
            </w:pPr>
            <w:r w:rsidRPr="00BD574A">
              <w:t>am. No.</w:t>
            </w:r>
            <w:r w:rsidR="00BD574A">
              <w:t> </w:t>
            </w:r>
            <w:r w:rsidRPr="00BD574A">
              <w:t>92, 2004; No.</w:t>
            </w:r>
            <w:r w:rsidR="00BD574A">
              <w:t> </w:t>
            </w:r>
            <w:r w:rsidRPr="00BD574A">
              <w:t>8, 2005</w:t>
            </w:r>
          </w:p>
        </w:tc>
      </w:tr>
      <w:tr w:rsidR="00911F79" w:rsidRPr="00BD574A" w:rsidTr="00FA3B43">
        <w:trPr>
          <w:cantSplit/>
        </w:trPr>
        <w:tc>
          <w:tcPr>
            <w:tcW w:w="2128" w:type="dxa"/>
            <w:shd w:val="clear" w:color="auto" w:fill="auto"/>
          </w:tcPr>
          <w:p w:rsidR="00911F79" w:rsidRPr="00BD574A" w:rsidRDefault="00911F79" w:rsidP="004E49F4">
            <w:pPr>
              <w:pStyle w:val="ENoteTableText"/>
            </w:pPr>
            <w:r w:rsidRPr="00BD574A">
              <w:rPr>
                <w:b/>
              </w:rPr>
              <w:t>Part</w:t>
            </w:r>
            <w:r w:rsidR="00BD574A">
              <w:rPr>
                <w:b/>
              </w:rPr>
              <w:t> </w:t>
            </w:r>
            <w:r w:rsidRPr="00BD574A">
              <w:rPr>
                <w:b/>
              </w:rPr>
              <w:t>5</w:t>
            </w:r>
          </w:p>
        </w:tc>
        <w:tc>
          <w:tcPr>
            <w:tcW w:w="4945" w:type="dxa"/>
            <w:shd w:val="clear" w:color="auto" w:fill="auto"/>
          </w:tcPr>
          <w:p w:rsidR="00911F79" w:rsidRPr="00BD574A" w:rsidRDefault="00911F79" w:rsidP="004E49F4">
            <w:pPr>
              <w:pStyle w:val="ENoteTableText"/>
            </w:pPr>
          </w:p>
        </w:tc>
      </w:tr>
      <w:tr w:rsidR="00911F79" w:rsidRPr="00BD574A" w:rsidTr="00FA3B43">
        <w:trPr>
          <w:cantSplit/>
        </w:trPr>
        <w:tc>
          <w:tcPr>
            <w:tcW w:w="2128" w:type="dxa"/>
            <w:shd w:val="clear" w:color="auto" w:fill="auto"/>
          </w:tcPr>
          <w:p w:rsidR="00911F79" w:rsidRPr="00BD574A" w:rsidRDefault="00911F79" w:rsidP="004E49F4">
            <w:pPr>
              <w:pStyle w:val="ENoteTableText"/>
            </w:pPr>
            <w:r w:rsidRPr="00BD574A">
              <w:rPr>
                <w:b/>
              </w:rPr>
              <w:t>Division</w:t>
            </w:r>
            <w:r w:rsidR="00BD574A">
              <w:rPr>
                <w:b/>
              </w:rPr>
              <w:t> </w:t>
            </w:r>
            <w:r w:rsidRPr="00BD574A">
              <w:rPr>
                <w:b/>
              </w:rPr>
              <w:t>1</w:t>
            </w:r>
          </w:p>
        </w:tc>
        <w:tc>
          <w:tcPr>
            <w:tcW w:w="4945" w:type="dxa"/>
            <w:shd w:val="clear" w:color="auto" w:fill="auto"/>
          </w:tcPr>
          <w:p w:rsidR="00911F79" w:rsidRPr="00BD574A" w:rsidRDefault="00911F79" w:rsidP="004E49F4">
            <w:pPr>
              <w:pStyle w:val="ENoteTableText"/>
            </w:pPr>
          </w:p>
        </w:tc>
      </w:tr>
      <w:tr w:rsidR="00911F79" w:rsidRPr="00BD574A" w:rsidTr="00FA3B43">
        <w:trPr>
          <w:cantSplit/>
        </w:trPr>
        <w:tc>
          <w:tcPr>
            <w:tcW w:w="2128" w:type="dxa"/>
            <w:shd w:val="clear" w:color="auto" w:fill="auto"/>
          </w:tcPr>
          <w:p w:rsidR="00911F79" w:rsidRPr="00BD574A" w:rsidRDefault="00911F79" w:rsidP="004E49F4">
            <w:pPr>
              <w:pStyle w:val="ENoteTableText"/>
              <w:tabs>
                <w:tab w:val="center" w:leader="dot" w:pos="2268"/>
              </w:tabs>
            </w:pPr>
            <w:r w:rsidRPr="00BD574A">
              <w:t>s. 19</w:t>
            </w:r>
            <w:r w:rsidRPr="00BD574A">
              <w:tab/>
            </w:r>
          </w:p>
        </w:tc>
        <w:tc>
          <w:tcPr>
            <w:tcW w:w="4945" w:type="dxa"/>
            <w:shd w:val="clear" w:color="auto" w:fill="auto"/>
          </w:tcPr>
          <w:p w:rsidR="00911F79" w:rsidRPr="00BD574A" w:rsidRDefault="00911F79" w:rsidP="004E49F4">
            <w:pPr>
              <w:pStyle w:val="ENoteTableText"/>
            </w:pPr>
            <w:r w:rsidRPr="00BD574A">
              <w:t>am. No.</w:t>
            </w:r>
            <w:r w:rsidR="00BD574A">
              <w:t> </w:t>
            </w:r>
            <w:r w:rsidRPr="00BD574A">
              <w:t>92, 2004; No.</w:t>
            </w:r>
            <w:r w:rsidR="00BD574A">
              <w:t> </w:t>
            </w:r>
            <w:r w:rsidRPr="00BD574A">
              <w:t>8, 2005</w:t>
            </w:r>
          </w:p>
        </w:tc>
      </w:tr>
      <w:tr w:rsidR="00911F79" w:rsidRPr="00BD574A" w:rsidTr="00FA3B43">
        <w:trPr>
          <w:cantSplit/>
        </w:trPr>
        <w:tc>
          <w:tcPr>
            <w:tcW w:w="2128" w:type="dxa"/>
            <w:shd w:val="clear" w:color="auto" w:fill="auto"/>
          </w:tcPr>
          <w:p w:rsidR="00911F79" w:rsidRPr="00BD574A" w:rsidRDefault="00911F79" w:rsidP="004E49F4">
            <w:pPr>
              <w:pStyle w:val="ENoteTableText"/>
              <w:tabs>
                <w:tab w:val="center" w:leader="dot" w:pos="2268"/>
              </w:tabs>
            </w:pPr>
            <w:r w:rsidRPr="00BD574A">
              <w:t>s. 20</w:t>
            </w:r>
            <w:r w:rsidRPr="00BD574A">
              <w:tab/>
            </w:r>
          </w:p>
        </w:tc>
        <w:tc>
          <w:tcPr>
            <w:tcW w:w="4945" w:type="dxa"/>
            <w:shd w:val="clear" w:color="auto" w:fill="auto"/>
          </w:tcPr>
          <w:p w:rsidR="00911F79" w:rsidRPr="00BD574A" w:rsidRDefault="00911F79" w:rsidP="004E49F4">
            <w:pPr>
              <w:pStyle w:val="ENoteTableText"/>
            </w:pPr>
            <w:r w:rsidRPr="00BD574A">
              <w:t>am. No.</w:t>
            </w:r>
            <w:r w:rsidR="00BD574A">
              <w:t> </w:t>
            </w:r>
            <w:r w:rsidRPr="00BD574A">
              <w:t>92, 2004</w:t>
            </w:r>
            <w:r w:rsidR="00A127C7" w:rsidRPr="00BD574A">
              <w:t>; No 2, 2015</w:t>
            </w:r>
            <w:r w:rsidR="007A12BD" w:rsidRPr="00BD574A">
              <w:t>; No 70, 2015</w:t>
            </w:r>
          </w:p>
        </w:tc>
      </w:tr>
      <w:tr w:rsidR="00911F79" w:rsidRPr="00BD574A" w:rsidTr="00FA3B43">
        <w:trPr>
          <w:cantSplit/>
        </w:trPr>
        <w:tc>
          <w:tcPr>
            <w:tcW w:w="2128" w:type="dxa"/>
            <w:shd w:val="clear" w:color="auto" w:fill="auto"/>
          </w:tcPr>
          <w:p w:rsidR="00911F79" w:rsidRPr="00BD574A" w:rsidRDefault="00911F79" w:rsidP="004E49F4">
            <w:pPr>
              <w:pStyle w:val="ENoteTableText"/>
              <w:tabs>
                <w:tab w:val="center" w:leader="dot" w:pos="2268"/>
              </w:tabs>
            </w:pPr>
            <w:r w:rsidRPr="00BD574A">
              <w:t>s. 21</w:t>
            </w:r>
            <w:r w:rsidRPr="00BD574A">
              <w:tab/>
            </w:r>
          </w:p>
        </w:tc>
        <w:tc>
          <w:tcPr>
            <w:tcW w:w="4945" w:type="dxa"/>
            <w:shd w:val="clear" w:color="auto" w:fill="auto"/>
          </w:tcPr>
          <w:p w:rsidR="00911F79" w:rsidRPr="00BD574A" w:rsidRDefault="00911F79" w:rsidP="004E49F4">
            <w:pPr>
              <w:pStyle w:val="ENoteTableText"/>
            </w:pPr>
            <w:r w:rsidRPr="00BD574A">
              <w:t>am. No.</w:t>
            </w:r>
            <w:r w:rsidR="00BD574A">
              <w:t> </w:t>
            </w:r>
            <w:r w:rsidRPr="00BD574A">
              <w:t>92, 2004</w:t>
            </w:r>
          </w:p>
        </w:tc>
      </w:tr>
      <w:tr w:rsidR="00911F79" w:rsidRPr="00BD574A" w:rsidTr="00FA3B43">
        <w:trPr>
          <w:cantSplit/>
        </w:trPr>
        <w:tc>
          <w:tcPr>
            <w:tcW w:w="2128" w:type="dxa"/>
            <w:shd w:val="clear" w:color="auto" w:fill="auto"/>
          </w:tcPr>
          <w:p w:rsidR="00911F79" w:rsidRPr="00BD574A" w:rsidRDefault="00911F79" w:rsidP="004E49F4">
            <w:pPr>
              <w:pStyle w:val="ENoteTableText"/>
              <w:tabs>
                <w:tab w:val="center" w:leader="dot" w:pos="2268"/>
              </w:tabs>
            </w:pPr>
            <w:r w:rsidRPr="00BD574A">
              <w:t>s. 22</w:t>
            </w:r>
            <w:r w:rsidRPr="00BD574A">
              <w:tab/>
            </w:r>
          </w:p>
        </w:tc>
        <w:tc>
          <w:tcPr>
            <w:tcW w:w="4945" w:type="dxa"/>
            <w:shd w:val="clear" w:color="auto" w:fill="auto"/>
          </w:tcPr>
          <w:p w:rsidR="00911F79" w:rsidRPr="00BD574A" w:rsidRDefault="00911F79" w:rsidP="004E49F4">
            <w:pPr>
              <w:pStyle w:val="ENoteTableText"/>
            </w:pPr>
            <w:r w:rsidRPr="00BD574A">
              <w:t>am. No.</w:t>
            </w:r>
            <w:r w:rsidR="00BD574A">
              <w:t> </w:t>
            </w:r>
            <w:r w:rsidRPr="00BD574A">
              <w:t>92, 2004</w:t>
            </w:r>
          </w:p>
        </w:tc>
      </w:tr>
      <w:tr w:rsidR="00911F79" w:rsidRPr="00BD574A" w:rsidTr="00FA3B43">
        <w:trPr>
          <w:cantSplit/>
        </w:trPr>
        <w:tc>
          <w:tcPr>
            <w:tcW w:w="2128" w:type="dxa"/>
            <w:shd w:val="clear" w:color="auto" w:fill="auto"/>
          </w:tcPr>
          <w:p w:rsidR="00911F79" w:rsidRPr="00BD574A" w:rsidRDefault="00911F79" w:rsidP="004E49F4">
            <w:pPr>
              <w:pStyle w:val="ENoteTableText"/>
            </w:pPr>
            <w:r w:rsidRPr="00BD574A">
              <w:rPr>
                <w:b/>
              </w:rPr>
              <w:t>Division</w:t>
            </w:r>
            <w:r w:rsidR="00BD574A">
              <w:rPr>
                <w:b/>
              </w:rPr>
              <w:t> </w:t>
            </w:r>
            <w:r w:rsidRPr="00BD574A">
              <w:rPr>
                <w:b/>
              </w:rPr>
              <w:t>2</w:t>
            </w:r>
          </w:p>
        </w:tc>
        <w:tc>
          <w:tcPr>
            <w:tcW w:w="4945" w:type="dxa"/>
            <w:shd w:val="clear" w:color="auto" w:fill="auto"/>
          </w:tcPr>
          <w:p w:rsidR="00911F79" w:rsidRPr="00BD574A" w:rsidRDefault="00911F79" w:rsidP="004E49F4">
            <w:pPr>
              <w:pStyle w:val="ENoteTableText"/>
            </w:pPr>
          </w:p>
        </w:tc>
      </w:tr>
      <w:tr w:rsidR="00911F79" w:rsidRPr="00BD574A" w:rsidTr="00FA3B43">
        <w:trPr>
          <w:cantSplit/>
        </w:trPr>
        <w:tc>
          <w:tcPr>
            <w:tcW w:w="2128" w:type="dxa"/>
            <w:shd w:val="clear" w:color="auto" w:fill="auto"/>
          </w:tcPr>
          <w:p w:rsidR="00911F79" w:rsidRPr="00BD574A" w:rsidRDefault="00911F79" w:rsidP="004E49F4">
            <w:pPr>
              <w:pStyle w:val="ENoteTableText"/>
              <w:tabs>
                <w:tab w:val="center" w:leader="dot" w:pos="2268"/>
              </w:tabs>
            </w:pPr>
            <w:r w:rsidRPr="00BD574A">
              <w:t>s. 24</w:t>
            </w:r>
            <w:r w:rsidRPr="00BD574A">
              <w:tab/>
            </w:r>
          </w:p>
        </w:tc>
        <w:tc>
          <w:tcPr>
            <w:tcW w:w="4945" w:type="dxa"/>
            <w:shd w:val="clear" w:color="auto" w:fill="auto"/>
          </w:tcPr>
          <w:p w:rsidR="00911F79" w:rsidRPr="00BD574A" w:rsidRDefault="00911F79" w:rsidP="004E49F4">
            <w:pPr>
              <w:pStyle w:val="ENoteTableText"/>
            </w:pPr>
            <w:r w:rsidRPr="00BD574A">
              <w:t>am. No.</w:t>
            </w:r>
            <w:r w:rsidR="00BD574A">
              <w:t> </w:t>
            </w:r>
            <w:r w:rsidRPr="00BD574A">
              <w:t>92, 2004; No.</w:t>
            </w:r>
            <w:r w:rsidR="00BD574A">
              <w:t> </w:t>
            </w:r>
            <w:r w:rsidRPr="00BD574A">
              <w:t>8, 2005</w:t>
            </w:r>
          </w:p>
        </w:tc>
      </w:tr>
      <w:tr w:rsidR="00911F79" w:rsidRPr="00BD574A" w:rsidTr="00FA3B43">
        <w:trPr>
          <w:cantSplit/>
        </w:trPr>
        <w:tc>
          <w:tcPr>
            <w:tcW w:w="2128" w:type="dxa"/>
            <w:shd w:val="clear" w:color="auto" w:fill="auto"/>
          </w:tcPr>
          <w:p w:rsidR="00911F79" w:rsidRPr="00BD574A" w:rsidRDefault="00911F79" w:rsidP="004E49F4">
            <w:pPr>
              <w:pStyle w:val="ENoteTableText"/>
            </w:pPr>
            <w:r w:rsidRPr="00BD574A">
              <w:rPr>
                <w:b/>
              </w:rPr>
              <w:t>Part</w:t>
            </w:r>
            <w:r w:rsidR="00BD574A">
              <w:rPr>
                <w:b/>
              </w:rPr>
              <w:t> </w:t>
            </w:r>
            <w:r w:rsidRPr="00BD574A">
              <w:rPr>
                <w:b/>
              </w:rPr>
              <w:t>5A</w:t>
            </w:r>
          </w:p>
        </w:tc>
        <w:tc>
          <w:tcPr>
            <w:tcW w:w="4945" w:type="dxa"/>
            <w:shd w:val="clear" w:color="auto" w:fill="auto"/>
          </w:tcPr>
          <w:p w:rsidR="00911F79" w:rsidRPr="00BD574A" w:rsidRDefault="00911F79" w:rsidP="004E49F4">
            <w:pPr>
              <w:pStyle w:val="ENoteTableText"/>
            </w:pPr>
          </w:p>
        </w:tc>
      </w:tr>
      <w:tr w:rsidR="00911F79" w:rsidRPr="00BD574A" w:rsidTr="00FA3B43">
        <w:trPr>
          <w:cantSplit/>
        </w:trPr>
        <w:tc>
          <w:tcPr>
            <w:tcW w:w="2128" w:type="dxa"/>
            <w:shd w:val="clear" w:color="auto" w:fill="auto"/>
          </w:tcPr>
          <w:p w:rsidR="00911F79" w:rsidRPr="00BD574A" w:rsidRDefault="00911F79" w:rsidP="004E49F4">
            <w:pPr>
              <w:pStyle w:val="ENoteTableText"/>
              <w:tabs>
                <w:tab w:val="center" w:leader="dot" w:pos="2268"/>
              </w:tabs>
            </w:pPr>
            <w:r w:rsidRPr="00BD574A">
              <w:t>Heading to Part</w:t>
            </w:r>
            <w:r w:rsidR="00BD574A">
              <w:t> </w:t>
            </w:r>
            <w:r w:rsidRPr="00BD574A">
              <w:t>5A</w:t>
            </w:r>
            <w:r w:rsidRPr="00BD574A">
              <w:tab/>
            </w:r>
          </w:p>
        </w:tc>
        <w:tc>
          <w:tcPr>
            <w:tcW w:w="4945" w:type="dxa"/>
            <w:shd w:val="clear" w:color="auto" w:fill="auto"/>
          </w:tcPr>
          <w:p w:rsidR="00911F79" w:rsidRPr="00BD574A" w:rsidRDefault="00911F79" w:rsidP="004E49F4">
            <w:pPr>
              <w:pStyle w:val="ENoteTableText"/>
            </w:pPr>
            <w:r w:rsidRPr="00BD574A">
              <w:t>ad. No.</w:t>
            </w:r>
            <w:r w:rsidR="00BD574A">
              <w:t> </w:t>
            </w:r>
            <w:r w:rsidRPr="00BD574A">
              <w:t>92, 2004</w:t>
            </w:r>
          </w:p>
        </w:tc>
      </w:tr>
      <w:tr w:rsidR="00911F79" w:rsidRPr="00BD574A" w:rsidTr="00FA3B43">
        <w:trPr>
          <w:cantSplit/>
        </w:trPr>
        <w:tc>
          <w:tcPr>
            <w:tcW w:w="2128" w:type="dxa"/>
            <w:shd w:val="clear" w:color="auto" w:fill="auto"/>
          </w:tcPr>
          <w:p w:rsidR="00911F79" w:rsidRPr="00BD574A" w:rsidRDefault="00911F79" w:rsidP="004E49F4">
            <w:pPr>
              <w:pStyle w:val="ENoteTableText"/>
              <w:tabs>
                <w:tab w:val="center" w:leader="dot" w:pos="2268"/>
              </w:tabs>
            </w:pPr>
            <w:r w:rsidRPr="00BD574A">
              <w:t>s. 25</w:t>
            </w:r>
            <w:r w:rsidRPr="00BD574A">
              <w:tab/>
            </w:r>
          </w:p>
        </w:tc>
        <w:tc>
          <w:tcPr>
            <w:tcW w:w="4945" w:type="dxa"/>
            <w:shd w:val="clear" w:color="auto" w:fill="auto"/>
          </w:tcPr>
          <w:p w:rsidR="00911F79" w:rsidRPr="00BD574A" w:rsidRDefault="00911F79" w:rsidP="004E49F4">
            <w:pPr>
              <w:pStyle w:val="ENoteTableText"/>
            </w:pPr>
            <w:r w:rsidRPr="00BD574A">
              <w:t>am. No.</w:t>
            </w:r>
            <w:r w:rsidR="00BD574A">
              <w:t> </w:t>
            </w:r>
            <w:r w:rsidRPr="00BD574A">
              <w:t>92, 2004; No.</w:t>
            </w:r>
            <w:r w:rsidR="00BD574A">
              <w:t> </w:t>
            </w:r>
            <w:r w:rsidRPr="00BD574A">
              <w:t>101, 2006</w:t>
            </w:r>
          </w:p>
        </w:tc>
      </w:tr>
      <w:tr w:rsidR="00911F79" w:rsidRPr="00BD574A" w:rsidTr="00FA3B43">
        <w:trPr>
          <w:cantSplit/>
        </w:trPr>
        <w:tc>
          <w:tcPr>
            <w:tcW w:w="2128" w:type="dxa"/>
            <w:shd w:val="clear" w:color="auto" w:fill="auto"/>
          </w:tcPr>
          <w:p w:rsidR="00911F79" w:rsidRPr="00BD574A" w:rsidRDefault="00911F79" w:rsidP="00D23BE6">
            <w:pPr>
              <w:pStyle w:val="ENoteTableText"/>
              <w:keepNext/>
            </w:pPr>
            <w:r w:rsidRPr="00BD574A">
              <w:rPr>
                <w:b/>
              </w:rPr>
              <w:lastRenderedPageBreak/>
              <w:t>Part</w:t>
            </w:r>
            <w:r w:rsidR="00BD574A">
              <w:rPr>
                <w:b/>
              </w:rPr>
              <w:t> </w:t>
            </w:r>
            <w:r w:rsidRPr="00BD574A">
              <w:rPr>
                <w:b/>
              </w:rPr>
              <w:t>6</w:t>
            </w:r>
          </w:p>
        </w:tc>
        <w:tc>
          <w:tcPr>
            <w:tcW w:w="4945" w:type="dxa"/>
            <w:shd w:val="clear" w:color="auto" w:fill="auto"/>
          </w:tcPr>
          <w:p w:rsidR="00911F79" w:rsidRPr="00BD574A" w:rsidRDefault="00911F79" w:rsidP="004E49F4">
            <w:pPr>
              <w:pStyle w:val="ENoteTableText"/>
            </w:pPr>
          </w:p>
        </w:tc>
      </w:tr>
      <w:tr w:rsidR="005428C0" w:rsidRPr="00BD574A" w:rsidTr="00FA3B43">
        <w:trPr>
          <w:cantSplit/>
        </w:trPr>
        <w:tc>
          <w:tcPr>
            <w:tcW w:w="2128" w:type="dxa"/>
            <w:shd w:val="clear" w:color="auto" w:fill="auto"/>
          </w:tcPr>
          <w:p w:rsidR="005428C0" w:rsidRPr="00BD574A" w:rsidRDefault="005428C0" w:rsidP="00F939F0">
            <w:pPr>
              <w:pStyle w:val="ENoteTableText"/>
              <w:tabs>
                <w:tab w:val="center" w:leader="dot" w:pos="2268"/>
              </w:tabs>
            </w:pPr>
            <w:r w:rsidRPr="00BD574A">
              <w:t>Part</w:t>
            </w:r>
            <w:r w:rsidR="00BD574A">
              <w:t> </w:t>
            </w:r>
            <w:r w:rsidRPr="00BD574A">
              <w:t>6 heading</w:t>
            </w:r>
            <w:r w:rsidRPr="00BD574A">
              <w:tab/>
            </w:r>
          </w:p>
        </w:tc>
        <w:tc>
          <w:tcPr>
            <w:tcW w:w="4945" w:type="dxa"/>
            <w:shd w:val="clear" w:color="auto" w:fill="auto"/>
          </w:tcPr>
          <w:p w:rsidR="005428C0" w:rsidRPr="00BD574A" w:rsidRDefault="005428C0" w:rsidP="00E9121B">
            <w:pPr>
              <w:pStyle w:val="ENoteTableText"/>
            </w:pPr>
            <w:r w:rsidRPr="00BD574A">
              <w:t>r</w:t>
            </w:r>
            <w:r w:rsidR="00402231" w:rsidRPr="00BD574A">
              <w:t>s</w:t>
            </w:r>
            <w:r w:rsidRPr="00BD574A">
              <w:t xml:space="preserve"> No 2, 2015</w:t>
            </w:r>
          </w:p>
        </w:tc>
      </w:tr>
      <w:tr w:rsidR="00911F79" w:rsidRPr="00BD574A" w:rsidTr="00FA3B43">
        <w:trPr>
          <w:cantSplit/>
        </w:trPr>
        <w:tc>
          <w:tcPr>
            <w:tcW w:w="2128" w:type="dxa"/>
            <w:shd w:val="clear" w:color="auto" w:fill="auto"/>
          </w:tcPr>
          <w:p w:rsidR="00911F79" w:rsidRPr="00BD574A" w:rsidRDefault="00911F79" w:rsidP="004E49F4">
            <w:pPr>
              <w:pStyle w:val="ENoteTableText"/>
            </w:pPr>
            <w:r w:rsidRPr="00BD574A">
              <w:rPr>
                <w:b/>
              </w:rPr>
              <w:t>Division</w:t>
            </w:r>
            <w:r w:rsidR="00BD574A">
              <w:rPr>
                <w:b/>
              </w:rPr>
              <w:t> </w:t>
            </w:r>
            <w:r w:rsidRPr="00BD574A">
              <w:rPr>
                <w:b/>
              </w:rPr>
              <w:t>1</w:t>
            </w:r>
          </w:p>
        </w:tc>
        <w:tc>
          <w:tcPr>
            <w:tcW w:w="4945" w:type="dxa"/>
            <w:shd w:val="clear" w:color="auto" w:fill="auto"/>
          </w:tcPr>
          <w:p w:rsidR="00911F79" w:rsidRPr="00BD574A" w:rsidRDefault="00911F79" w:rsidP="004E49F4">
            <w:pPr>
              <w:pStyle w:val="ENoteTableText"/>
            </w:pPr>
          </w:p>
        </w:tc>
      </w:tr>
      <w:tr w:rsidR="0065541F" w:rsidRPr="00BD574A" w:rsidTr="00FA3B43">
        <w:trPr>
          <w:cantSplit/>
        </w:trPr>
        <w:tc>
          <w:tcPr>
            <w:tcW w:w="2128" w:type="dxa"/>
            <w:shd w:val="clear" w:color="auto" w:fill="auto"/>
          </w:tcPr>
          <w:p w:rsidR="0065541F" w:rsidRPr="00BD574A" w:rsidRDefault="0065541F" w:rsidP="00F939F0">
            <w:pPr>
              <w:pStyle w:val="ENoteTableText"/>
              <w:tabs>
                <w:tab w:val="center" w:leader="dot" w:pos="2268"/>
              </w:tabs>
            </w:pPr>
            <w:r w:rsidRPr="00BD574A">
              <w:t>Division</w:t>
            </w:r>
            <w:r w:rsidR="00BD574A">
              <w:t> </w:t>
            </w:r>
            <w:r w:rsidRPr="00BD574A">
              <w:t>1 heading</w:t>
            </w:r>
            <w:r w:rsidRPr="00BD574A">
              <w:tab/>
            </w:r>
          </w:p>
        </w:tc>
        <w:tc>
          <w:tcPr>
            <w:tcW w:w="4945" w:type="dxa"/>
            <w:shd w:val="clear" w:color="auto" w:fill="auto"/>
          </w:tcPr>
          <w:p w:rsidR="0065541F" w:rsidRPr="00BD574A" w:rsidRDefault="0065541F" w:rsidP="00F939F0">
            <w:pPr>
              <w:pStyle w:val="ENoteTableText"/>
              <w:tabs>
                <w:tab w:val="center" w:leader="dot" w:pos="2268"/>
              </w:tabs>
            </w:pPr>
            <w:r w:rsidRPr="00BD574A">
              <w:t>r</w:t>
            </w:r>
            <w:r w:rsidR="00F939F0" w:rsidRPr="00BD574A">
              <w:t>s</w:t>
            </w:r>
            <w:r w:rsidRPr="00BD574A">
              <w:t xml:space="preserve"> No 2, 2015</w:t>
            </w:r>
          </w:p>
        </w:tc>
      </w:tr>
      <w:tr w:rsidR="00911F79" w:rsidRPr="00BD574A" w:rsidTr="00FA3B43">
        <w:trPr>
          <w:cantSplit/>
        </w:trPr>
        <w:tc>
          <w:tcPr>
            <w:tcW w:w="2128" w:type="dxa"/>
            <w:shd w:val="clear" w:color="auto" w:fill="auto"/>
          </w:tcPr>
          <w:p w:rsidR="00911F79" w:rsidRPr="00BD574A" w:rsidRDefault="00911F79" w:rsidP="004E49F4">
            <w:pPr>
              <w:pStyle w:val="ENoteTableText"/>
              <w:tabs>
                <w:tab w:val="center" w:leader="dot" w:pos="2268"/>
              </w:tabs>
            </w:pPr>
            <w:r w:rsidRPr="00BD574A">
              <w:t>ss.</w:t>
            </w:r>
            <w:r w:rsidR="00BD574A">
              <w:t> </w:t>
            </w:r>
            <w:r w:rsidRPr="00BD574A">
              <w:t>26–28</w:t>
            </w:r>
            <w:r w:rsidRPr="00BD574A">
              <w:tab/>
            </w:r>
          </w:p>
        </w:tc>
        <w:tc>
          <w:tcPr>
            <w:tcW w:w="4945" w:type="dxa"/>
            <w:shd w:val="clear" w:color="auto" w:fill="auto"/>
          </w:tcPr>
          <w:p w:rsidR="00911F79" w:rsidRPr="00BD574A" w:rsidRDefault="00911F79" w:rsidP="004E49F4">
            <w:pPr>
              <w:pStyle w:val="ENoteTableText"/>
            </w:pPr>
            <w:r w:rsidRPr="00BD574A">
              <w:t>rep. No.</w:t>
            </w:r>
            <w:r w:rsidR="00BD574A">
              <w:t> </w:t>
            </w:r>
            <w:r w:rsidRPr="00BD574A">
              <w:t>9, 2007</w:t>
            </w:r>
          </w:p>
        </w:tc>
      </w:tr>
      <w:tr w:rsidR="00911F79" w:rsidRPr="00BD574A" w:rsidTr="00FA3B43">
        <w:trPr>
          <w:cantSplit/>
        </w:trPr>
        <w:tc>
          <w:tcPr>
            <w:tcW w:w="2128" w:type="dxa"/>
            <w:shd w:val="clear" w:color="auto" w:fill="auto"/>
          </w:tcPr>
          <w:p w:rsidR="00911F79" w:rsidRPr="00BD574A" w:rsidRDefault="00911F79" w:rsidP="004E49F4">
            <w:pPr>
              <w:pStyle w:val="ENoteTableText"/>
              <w:tabs>
                <w:tab w:val="center" w:leader="dot" w:pos="2268"/>
              </w:tabs>
            </w:pPr>
            <w:r w:rsidRPr="00BD574A">
              <w:t>s. 29</w:t>
            </w:r>
            <w:r w:rsidRPr="00BD574A">
              <w:tab/>
            </w:r>
          </w:p>
        </w:tc>
        <w:tc>
          <w:tcPr>
            <w:tcW w:w="4945" w:type="dxa"/>
            <w:shd w:val="clear" w:color="auto" w:fill="auto"/>
          </w:tcPr>
          <w:p w:rsidR="00911F79" w:rsidRPr="00BD574A" w:rsidRDefault="00911F79" w:rsidP="004E49F4">
            <w:pPr>
              <w:pStyle w:val="ENoteTableText"/>
            </w:pPr>
            <w:r w:rsidRPr="00BD574A">
              <w:t>am. No.</w:t>
            </w:r>
            <w:r w:rsidR="00BD574A">
              <w:t> </w:t>
            </w:r>
            <w:r w:rsidRPr="00BD574A">
              <w:t>58, 2006</w:t>
            </w:r>
          </w:p>
        </w:tc>
      </w:tr>
      <w:tr w:rsidR="00911F79" w:rsidRPr="00BD574A" w:rsidTr="00FA3B43">
        <w:trPr>
          <w:cantSplit/>
        </w:trPr>
        <w:tc>
          <w:tcPr>
            <w:tcW w:w="2128" w:type="dxa"/>
            <w:shd w:val="clear" w:color="auto" w:fill="auto"/>
          </w:tcPr>
          <w:p w:rsidR="00911F79" w:rsidRPr="00BD574A" w:rsidRDefault="00911F79" w:rsidP="004E49F4">
            <w:pPr>
              <w:pStyle w:val="ENoteTableText"/>
              <w:tabs>
                <w:tab w:val="center" w:leader="dot" w:pos="2268"/>
              </w:tabs>
            </w:pPr>
          </w:p>
        </w:tc>
        <w:tc>
          <w:tcPr>
            <w:tcW w:w="4945" w:type="dxa"/>
            <w:shd w:val="clear" w:color="auto" w:fill="auto"/>
          </w:tcPr>
          <w:p w:rsidR="00911F79" w:rsidRPr="00BD574A" w:rsidRDefault="00911F79" w:rsidP="004E49F4">
            <w:pPr>
              <w:pStyle w:val="ENoteTableText"/>
            </w:pPr>
            <w:r w:rsidRPr="00BD574A">
              <w:t>rep. No.</w:t>
            </w:r>
            <w:r w:rsidR="00BD574A">
              <w:t> </w:t>
            </w:r>
            <w:r w:rsidRPr="00BD574A">
              <w:t>9, 2007</w:t>
            </w:r>
          </w:p>
        </w:tc>
      </w:tr>
      <w:tr w:rsidR="003C5AD2" w:rsidRPr="00BD574A" w:rsidTr="00FA3B43">
        <w:trPr>
          <w:cantSplit/>
        </w:trPr>
        <w:tc>
          <w:tcPr>
            <w:tcW w:w="2128" w:type="dxa"/>
            <w:shd w:val="clear" w:color="auto" w:fill="auto"/>
          </w:tcPr>
          <w:p w:rsidR="003C5AD2" w:rsidRPr="00BD574A" w:rsidRDefault="003C5AD2" w:rsidP="004E49F4">
            <w:pPr>
              <w:pStyle w:val="ENoteTableText"/>
              <w:tabs>
                <w:tab w:val="center" w:leader="dot" w:pos="2268"/>
              </w:tabs>
            </w:pPr>
            <w:r w:rsidRPr="00BD574A">
              <w:t>s 30</w:t>
            </w:r>
            <w:r w:rsidRPr="00BD574A">
              <w:tab/>
            </w:r>
          </w:p>
        </w:tc>
        <w:tc>
          <w:tcPr>
            <w:tcW w:w="4945" w:type="dxa"/>
            <w:shd w:val="clear" w:color="auto" w:fill="auto"/>
          </w:tcPr>
          <w:p w:rsidR="003C5AD2" w:rsidRPr="00BD574A" w:rsidRDefault="003C5AD2" w:rsidP="004E49F4">
            <w:pPr>
              <w:pStyle w:val="ENoteTableText"/>
            </w:pPr>
            <w:r w:rsidRPr="00BD574A">
              <w:t>rep No 2, 2015</w:t>
            </w:r>
          </w:p>
        </w:tc>
      </w:tr>
      <w:tr w:rsidR="003C5AD2" w:rsidRPr="00BD574A" w:rsidTr="00FA3B43">
        <w:trPr>
          <w:cantSplit/>
        </w:trPr>
        <w:tc>
          <w:tcPr>
            <w:tcW w:w="2128" w:type="dxa"/>
            <w:shd w:val="clear" w:color="auto" w:fill="auto"/>
          </w:tcPr>
          <w:p w:rsidR="003C5AD2" w:rsidRPr="00BD574A" w:rsidRDefault="003C5AD2" w:rsidP="004E49F4">
            <w:pPr>
              <w:pStyle w:val="ENoteTableText"/>
              <w:tabs>
                <w:tab w:val="center" w:leader="dot" w:pos="2268"/>
              </w:tabs>
            </w:pPr>
            <w:r w:rsidRPr="00BD574A">
              <w:t>s 31</w:t>
            </w:r>
            <w:r w:rsidRPr="00BD574A">
              <w:tab/>
            </w:r>
          </w:p>
        </w:tc>
        <w:tc>
          <w:tcPr>
            <w:tcW w:w="4945" w:type="dxa"/>
            <w:shd w:val="clear" w:color="auto" w:fill="auto"/>
          </w:tcPr>
          <w:p w:rsidR="003C5AD2" w:rsidRPr="00BD574A" w:rsidRDefault="003C5AD2" w:rsidP="004E49F4">
            <w:pPr>
              <w:pStyle w:val="ENoteTableText"/>
            </w:pPr>
            <w:r w:rsidRPr="00BD574A">
              <w:t>rep No 2, 2015</w:t>
            </w:r>
          </w:p>
        </w:tc>
      </w:tr>
      <w:tr w:rsidR="00911F79" w:rsidRPr="00BD574A" w:rsidTr="00FA3B43">
        <w:trPr>
          <w:cantSplit/>
        </w:trPr>
        <w:tc>
          <w:tcPr>
            <w:tcW w:w="2128" w:type="dxa"/>
            <w:shd w:val="clear" w:color="auto" w:fill="auto"/>
          </w:tcPr>
          <w:p w:rsidR="00911F79" w:rsidRPr="00BD574A" w:rsidRDefault="00911F79" w:rsidP="004E49F4">
            <w:pPr>
              <w:pStyle w:val="ENoteTableText"/>
            </w:pPr>
            <w:r w:rsidRPr="00BD574A">
              <w:rPr>
                <w:b/>
              </w:rPr>
              <w:t>Division</w:t>
            </w:r>
            <w:r w:rsidR="00BD574A">
              <w:rPr>
                <w:b/>
              </w:rPr>
              <w:t> </w:t>
            </w:r>
            <w:r w:rsidRPr="00BD574A">
              <w:rPr>
                <w:b/>
              </w:rPr>
              <w:t>2</w:t>
            </w:r>
          </w:p>
        </w:tc>
        <w:tc>
          <w:tcPr>
            <w:tcW w:w="4945" w:type="dxa"/>
            <w:shd w:val="clear" w:color="auto" w:fill="auto"/>
          </w:tcPr>
          <w:p w:rsidR="00911F79" w:rsidRPr="00BD574A" w:rsidRDefault="00911F79" w:rsidP="004E49F4">
            <w:pPr>
              <w:pStyle w:val="ENoteTableText"/>
            </w:pPr>
          </w:p>
        </w:tc>
      </w:tr>
      <w:tr w:rsidR="00911F79" w:rsidRPr="00BD574A" w:rsidTr="00FA3B43">
        <w:trPr>
          <w:cantSplit/>
        </w:trPr>
        <w:tc>
          <w:tcPr>
            <w:tcW w:w="2128" w:type="dxa"/>
            <w:shd w:val="clear" w:color="auto" w:fill="auto"/>
          </w:tcPr>
          <w:p w:rsidR="00911F79" w:rsidRPr="00BD574A" w:rsidRDefault="00911F79" w:rsidP="004E49F4">
            <w:pPr>
              <w:pStyle w:val="ENoteTableText"/>
              <w:tabs>
                <w:tab w:val="center" w:leader="dot" w:pos="2268"/>
              </w:tabs>
            </w:pPr>
            <w:r w:rsidRPr="00BD574A">
              <w:t>s. 33</w:t>
            </w:r>
            <w:r w:rsidRPr="00BD574A">
              <w:tab/>
            </w:r>
          </w:p>
        </w:tc>
        <w:tc>
          <w:tcPr>
            <w:tcW w:w="4945" w:type="dxa"/>
            <w:shd w:val="clear" w:color="auto" w:fill="auto"/>
          </w:tcPr>
          <w:p w:rsidR="00911F79" w:rsidRPr="00BD574A" w:rsidRDefault="00911F79" w:rsidP="004E49F4">
            <w:pPr>
              <w:pStyle w:val="ENoteTableText"/>
            </w:pPr>
            <w:r w:rsidRPr="00BD574A">
              <w:t>am. No.</w:t>
            </w:r>
            <w:r w:rsidR="00BD574A">
              <w:t> </w:t>
            </w:r>
            <w:r w:rsidRPr="00BD574A">
              <w:t>9, 2007</w:t>
            </w:r>
          </w:p>
        </w:tc>
      </w:tr>
      <w:tr w:rsidR="001810A3" w:rsidRPr="00BD574A" w:rsidTr="00FA3B43">
        <w:trPr>
          <w:cantSplit/>
        </w:trPr>
        <w:tc>
          <w:tcPr>
            <w:tcW w:w="2128" w:type="dxa"/>
            <w:shd w:val="clear" w:color="auto" w:fill="auto"/>
          </w:tcPr>
          <w:p w:rsidR="001810A3" w:rsidRPr="00BD574A" w:rsidRDefault="001810A3" w:rsidP="004E49F4">
            <w:pPr>
              <w:pStyle w:val="ENoteTableText"/>
              <w:tabs>
                <w:tab w:val="center" w:leader="dot" w:pos="2268"/>
              </w:tabs>
            </w:pPr>
            <w:r w:rsidRPr="00BD574A">
              <w:t>Division</w:t>
            </w:r>
            <w:r w:rsidR="00BD574A">
              <w:t> </w:t>
            </w:r>
            <w:r w:rsidRPr="00BD574A">
              <w:t>3</w:t>
            </w:r>
            <w:r w:rsidRPr="00BD574A">
              <w:tab/>
            </w:r>
          </w:p>
        </w:tc>
        <w:tc>
          <w:tcPr>
            <w:tcW w:w="4945" w:type="dxa"/>
            <w:shd w:val="clear" w:color="auto" w:fill="auto"/>
          </w:tcPr>
          <w:p w:rsidR="001810A3" w:rsidRPr="00BD574A" w:rsidRDefault="001810A3" w:rsidP="004E49F4">
            <w:pPr>
              <w:pStyle w:val="ENoteTableText"/>
            </w:pPr>
            <w:r w:rsidRPr="00BD574A">
              <w:t>rep No 2, 2015</w:t>
            </w:r>
          </w:p>
        </w:tc>
      </w:tr>
      <w:tr w:rsidR="00E32966" w:rsidRPr="00BD574A" w:rsidTr="003336B6">
        <w:trPr>
          <w:cantSplit/>
        </w:trPr>
        <w:tc>
          <w:tcPr>
            <w:tcW w:w="2128" w:type="dxa"/>
            <w:shd w:val="clear" w:color="auto" w:fill="auto"/>
          </w:tcPr>
          <w:p w:rsidR="00E32966" w:rsidRPr="00BD574A" w:rsidRDefault="00E32966" w:rsidP="003336B6">
            <w:pPr>
              <w:pStyle w:val="ENoteTableText"/>
              <w:tabs>
                <w:tab w:val="center" w:leader="dot" w:pos="2268"/>
              </w:tabs>
            </w:pPr>
            <w:r w:rsidRPr="00BD574A">
              <w:t>s 40</w:t>
            </w:r>
            <w:r w:rsidRPr="00BD574A">
              <w:tab/>
            </w:r>
          </w:p>
        </w:tc>
        <w:tc>
          <w:tcPr>
            <w:tcW w:w="4945" w:type="dxa"/>
            <w:shd w:val="clear" w:color="auto" w:fill="auto"/>
          </w:tcPr>
          <w:p w:rsidR="00E32966" w:rsidRPr="00BD574A" w:rsidRDefault="00E32966" w:rsidP="003336B6">
            <w:pPr>
              <w:pStyle w:val="ENoteTableText"/>
              <w:tabs>
                <w:tab w:val="right" w:pos="482"/>
              </w:tabs>
              <w:ind w:left="748" w:hanging="748"/>
            </w:pPr>
            <w:r w:rsidRPr="00BD574A">
              <w:t>rep No 2, 2015</w:t>
            </w:r>
          </w:p>
        </w:tc>
      </w:tr>
      <w:tr w:rsidR="00E32966" w:rsidRPr="00BD574A" w:rsidTr="003336B6">
        <w:trPr>
          <w:cantSplit/>
        </w:trPr>
        <w:tc>
          <w:tcPr>
            <w:tcW w:w="2128" w:type="dxa"/>
            <w:shd w:val="clear" w:color="auto" w:fill="auto"/>
          </w:tcPr>
          <w:p w:rsidR="00E32966" w:rsidRPr="00BD574A" w:rsidRDefault="00E32966" w:rsidP="00E32966">
            <w:pPr>
              <w:pStyle w:val="ENoteTableText"/>
              <w:tabs>
                <w:tab w:val="center" w:leader="dot" w:pos="2268"/>
              </w:tabs>
            </w:pPr>
            <w:r w:rsidRPr="00BD574A">
              <w:t>s 41</w:t>
            </w:r>
            <w:r w:rsidRPr="00BD574A">
              <w:tab/>
            </w:r>
          </w:p>
        </w:tc>
        <w:tc>
          <w:tcPr>
            <w:tcW w:w="4945" w:type="dxa"/>
            <w:shd w:val="clear" w:color="auto" w:fill="auto"/>
          </w:tcPr>
          <w:p w:rsidR="00E32966" w:rsidRPr="00BD574A" w:rsidRDefault="00E32966" w:rsidP="003336B6">
            <w:pPr>
              <w:pStyle w:val="ENoteTableText"/>
              <w:tabs>
                <w:tab w:val="right" w:pos="482"/>
              </w:tabs>
              <w:ind w:left="748" w:hanging="748"/>
            </w:pPr>
            <w:r w:rsidRPr="00BD574A">
              <w:t>rep No 2, 2015</w:t>
            </w:r>
          </w:p>
        </w:tc>
      </w:tr>
      <w:tr w:rsidR="00E32966" w:rsidRPr="00BD574A" w:rsidTr="003336B6">
        <w:trPr>
          <w:cantSplit/>
        </w:trPr>
        <w:tc>
          <w:tcPr>
            <w:tcW w:w="2128" w:type="dxa"/>
            <w:shd w:val="clear" w:color="auto" w:fill="auto"/>
          </w:tcPr>
          <w:p w:rsidR="00E32966" w:rsidRPr="00BD574A" w:rsidRDefault="00E32966" w:rsidP="00E32966">
            <w:pPr>
              <w:pStyle w:val="ENoteTableText"/>
              <w:tabs>
                <w:tab w:val="center" w:leader="dot" w:pos="2268"/>
              </w:tabs>
            </w:pPr>
            <w:r w:rsidRPr="00BD574A">
              <w:t>s 42</w:t>
            </w:r>
            <w:r w:rsidRPr="00BD574A">
              <w:tab/>
            </w:r>
          </w:p>
        </w:tc>
        <w:tc>
          <w:tcPr>
            <w:tcW w:w="4945" w:type="dxa"/>
            <w:shd w:val="clear" w:color="auto" w:fill="auto"/>
          </w:tcPr>
          <w:p w:rsidR="00E32966" w:rsidRPr="00BD574A" w:rsidRDefault="00E32966" w:rsidP="003336B6">
            <w:pPr>
              <w:pStyle w:val="ENoteTableText"/>
              <w:tabs>
                <w:tab w:val="right" w:pos="482"/>
              </w:tabs>
              <w:ind w:left="748" w:hanging="748"/>
            </w:pPr>
            <w:r w:rsidRPr="00BD574A">
              <w:t>rep No 2, 2015</w:t>
            </w:r>
          </w:p>
        </w:tc>
      </w:tr>
      <w:tr w:rsidR="00E32966" w:rsidRPr="00BD574A" w:rsidTr="003336B6">
        <w:trPr>
          <w:cantSplit/>
        </w:trPr>
        <w:tc>
          <w:tcPr>
            <w:tcW w:w="2128" w:type="dxa"/>
            <w:shd w:val="clear" w:color="auto" w:fill="auto"/>
          </w:tcPr>
          <w:p w:rsidR="00E32966" w:rsidRPr="00BD574A" w:rsidRDefault="00E32966" w:rsidP="00E32966">
            <w:pPr>
              <w:pStyle w:val="ENoteTableText"/>
              <w:tabs>
                <w:tab w:val="center" w:leader="dot" w:pos="2268"/>
              </w:tabs>
            </w:pPr>
            <w:r w:rsidRPr="00BD574A">
              <w:t>s 43</w:t>
            </w:r>
            <w:r w:rsidRPr="00BD574A">
              <w:tab/>
            </w:r>
          </w:p>
        </w:tc>
        <w:tc>
          <w:tcPr>
            <w:tcW w:w="4945" w:type="dxa"/>
            <w:shd w:val="clear" w:color="auto" w:fill="auto"/>
          </w:tcPr>
          <w:p w:rsidR="00E32966" w:rsidRPr="00BD574A" w:rsidRDefault="00E32966" w:rsidP="003336B6">
            <w:pPr>
              <w:pStyle w:val="ENoteTableText"/>
              <w:tabs>
                <w:tab w:val="right" w:pos="482"/>
              </w:tabs>
              <w:ind w:left="748" w:hanging="748"/>
            </w:pPr>
            <w:r w:rsidRPr="00BD574A">
              <w:t>rep No 2, 2015</w:t>
            </w:r>
          </w:p>
        </w:tc>
      </w:tr>
      <w:tr w:rsidR="00E32966" w:rsidRPr="00BD574A" w:rsidTr="003336B6">
        <w:trPr>
          <w:cantSplit/>
        </w:trPr>
        <w:tc>
          <w:tcPr>
            <w:tcW w:w="2128" w:type="dxa"/>
            <w:shd w:val="clear" w:color="auto" w:fill="auto"/>
          </w:tcPr>
          <w:p w:rsidR="00E32966" w:rsidRPr="00BD574A" w:rsidRDefault="00E32966" w:rsidP="00E32966">
            <w:pPr>
              <w:pStyle w:val="ENoteTableText"/>
              <w:tabs>
                <w:tab w:val="center" w:leader="dot" w:pos="2268"/>
              </w:tabs>
            </w:pPr>
            <w:r w:rsidRPr="00BD574A">
              <w:t>s 44</w:t>
            </w:r>
            <w:r w:rsidRPr="00BD574A">
              <w:tab/>
            </w:r>
          </w:p>
        </w:tc>
        <w:tc>
          <w:tcPr>
            <w:tcW w:w="4945" w:type="dxa"/>
            <w:shd w:val="clear" w:color="auto" w:fill="auto"/>
          </w:tcPr>
          <w:p w:rsidR="00E32966" w:rsidRPr="00BD574A" w:rsidRDefault="00E32966" w:rsidP="003336B6">
            <w:pPr>
              <w:pStyle w:val="ENoteTableText"/>
              <w:tabs>
                <w:tab w:val="right" w:pos="482"/>
              </w:tabs>
              <w:ind w:left="748" w:hanging="748"/>
            </w:pPr>
            <w:r w:rsidRPr="00BD574A">
              <w:t>rep No 2, 2015</w:t>
            </w:r>
          </w:p>
        </w:tc>
      </w:tr>
      <w:tr w:rsidR="00E32966" w:rsidRPr="00BD574A" w:rsidTr="003336B6">
        <w:trPr>
          <w:cantSplit/>
        </w:trPr>
        <w:tc>
          <w:tcPr>
            <w:tcW w:w="2128" w:type="dxa"/>
            <w:shd w:val="clear" w:color="auto" w:fill="auto"/>
          </w:tcPr>
          <w:p w:rsidR="00E32966" w:rsidRPr="00BD574A" w:rsidRDefault="00E32966" w:rsidP="00E32966">
            <w:pPr>
              <w:pStyle w:val="ENoteTableText"/>
              <w:tabs>
                <w:tab w:val="center" w:leader="dot" w:pos="2268"/>
              </w:tabs>
            </w:pPr>
            <w:r w:rsidRPr="00BD574A">
              <w:t>s 45</w:t>
            </w:r>
            <w:r w:rsidRPr="00BD574A">
              <w:tab/>
            </w:r>
          </w:p>
        </w:tc>
        <w:tc>
          <w:tcPr>
            <w:tcW w:w="4945" w:type="dxa"/>
            <w:shd w:val="clear" w:color="auto" w:fill="auto"/>
          </w:tcPr>
          <w:p w:rsidR="00E32966" w:rsidRPr="00BD574A" w:rsidRDefault="00E32966" w:rsidP="003336B6">
            <w:pPr>
              <w:pStyle w:val="ENoteTableText"/>
              <w:tabs>
                <w:tab w:val="right" w:pos="482"/>
              </w:tabs>
              <w:ind w:left="748" w:hanging="748"/>
            </w:pPr>
            <w:r w:rsidRPr="00BD574A">
              <w:t>rep No 2, 2015</w:t>
            </w:r>
          </w:p>
        </w:tc>
      </w:tr>
      <w:tr w:rsidR="001810A3" w:rsidRPr="00BD574A" w:rsidTr="00FA3B43">
        <w:trPr>
          <w:cantSplit/>
        </w:trPr>
        <w:tc>
          <w:tcPr>
            <w:tcW w:w="2128" w:type="dxa"/>
            <w:shd w:val="clear" w:color="auto" w:fill="auto"/>
          </w:tcPr>
          <w:p w:rsidR="001810A3" w:rsidRPr="00BD574A" w:rsidRDefault="001810A3" w:rsidP="004E49F4">
            <w:pPr>
              <w:pStyle w:val="ENoteTableText"/>
              <w:keepNext/>
              <w:rPr>
                <w:b/>
              </w:rPr>
            </w:pPr>
            <w:r w:rsidRPr="00BD574A">
              <w:rPr>
                <w:b/>
              </w:rPr>
              <w:t>Part</w:t>
            </w:r>
            <w:r w:rsidR="00BD574A">
              <w:rPr>
                <w:b/>
              </w:rPr>
              <w:t> </w:t>
            </w:r>
            <w:r w:rsidRPr="00BD574A">
              <w:rPr>
                <w:b/>
              </w:rPr>
              <w:t>7</w:t>
            </w:r>
          </w:p>
        </w:tc>
        <w:tc>
          <w:tcPr>
            <w:tcW w:w="4945" w:type="dxa"/>
            <w:shd w:val="clear" w:color="auto" w:fill="auto"/>
          </w:tcPr>
          <w:p w:rsidR="001810A3" w:rsidRPr="00BD574A" w:rsidRDefault="001810A3" w:rsidP="004E49F4">
            <w:pPr>
              <w:pStyle w:val="ENoteTableText"/>
              <w:keepNext/>
              <w:rPr>
                <w:b/>
              </w:rPr>
            </w:pPr>
          </w:p>
        </w:tc>
      </w:tr>
      <w:tr w:rsidR="001810A3" w:rsidRPr="00BD574A" w:rsidTr="00FA3B43">
        <w:trPr>
          <w:cantSplit/>
        </w:trPr>
        <w:tc>
          <w:tcPr>
            <w:tcW w:w="2128" w:type="dxa"/>
            <w:shd w:val="clear" w:color="auto" w:fill="auto"/>
          </w:tcPr>
          <w:p w:rsidR="001810A3" w:rsidRPr="00BD574A" w:rsidRDefault="001810A3" w:rsidP="004E49F4">
            <w:pPr>
              <w:pStyle w:val="ENoteTableText"/>
            </w:pPr>
            <w:r w:rsidRPr="00BD574A">
              <w:rPr>
                <w:b/>
              </w:rPr>
              <w:t>Division</w:t>
            </w:r>
            <w:r w:rsidR="00BD574A">
              <w:rPr>
                <w:b/>
              </w:rPr>
              <w:t> </w:t>
            </w:r>
            <w:r w:rsidRPr="00BD574A">
              <w:rPr>
                <w:b/>
              </w:rPr>
              <w:t>1</w:t>
            </w:r>
          </w:p>
        </w:tc>
        <w:tc>
          <w:tcPr>
            <w:tcW w:w="4945" w:type="dxa"/>
            <w:shd w:val="clear" w:color="auto" w:fill="auto"/>
          </w:tcPr>
          <w:p w:rsidR="001810A3" w:rsidRPr="00BD574A" w:rsidRDefault="001810A3" w:rsidP="004E49F4">
            <w:pPr>
              <w:pStyle w:val="ENoteTableText"/>
            </w:pPr>
          </w:p>
        </w:tc>
      </w:tr>
      <w:tr w:rsidR="001810A3" w:rsidRPr="00BD574A" w:rsidTr="00FA3B43">
        <w:trPr>
          <w:cantSplit/>
        </w:trPr>
        <w:tc>
          <w:tcPr>
            <w:tcW w:w="2128" w:type="dxa"/>
            <w:shd w:val="clear" w:color="auto" w:fill="auto"/>
          </w:tcPr>
          <w:p w:rsidR="001810A3" w:rsidRPr="00BD574A" w:rsidRDefault="001810A3" w:rsidP="004E49F4">
            <w:pPr>
              <w:pStyle w:val="ENoteTableText"/>
              <w:tabs>
                <w:tab w:val="center" w:leader="dot" w:pos="2268"/>
              </w:tabs>
            </w:pPr>
            <w:r w:rsidRPr="00BD574A">
              <w:t>s. 46</w:t>
            </w:r>
            <w:r w:rsidRPr="00BD574A">
              <w:tab/>
            </w:r>
          </w:p>
        </w:tc>
        <w:tc>
          <w:tcPr>
            <w:tcW w:w="4945" w:type="dxa"/>
            <w:shd w:val="clear" w:color="auto" w:fill="auto"/>
          </w:tcPr>
          <w:p w:rsidR="001810A3" w:rsidRPr="00BD574A" w:rsidRDefault="001810A3" w:rsidP="004E49F4">
            <w:pPr>
              <w:pStyle w:val="ENoteTableText"/>
            </w:pPr>
            <w:r w:rsidRPr="00BD574A">
              <w:t>ad. No.</w:t>
            </w:r>
            <w:r w:rsidR="00BD574A">
              <w:t> </w:t>
            </w:r>
            <w:r w:rsidRPr="00BD574A">
              <w:t>145, 2010</w:t>
            </w:r>
          </w:p>
        </w:tc>
      </w:tr>
      <w:tr w:rsidR="001810A3" w:rsidRPr="00BD574A" w:rsidTr="00FA3B43">
        <w:trPr>
          <w:cantSplit/>
        </w:trPr>
        <w:tc>
          <w:tcPr>
            <w:tcW w:w="2128" w:type="dxa"/>
            <w:shd w:val="clear" w:color="auto" w:fill="auto"/>
          </w:tcPr>
          <w:p w:rsidR="001810A3" w:rsidRPr="00BD574A" w:rsidRDefault="001810A3" w:rsidP="004E49F4">
            <w:pPr>
              <w:pStyle w:val="ENoteTableText"/>
            </w:pPr>
            <w:r w:rsidRPr="00BD574A">
              <w:rPr>
                <w:b/>
              </w:rPr>
              <w:t>Division</w:t>
            </w:r>
            <w:r w:rsidR="00BD574A">
              <w:rPr>
                <w:b/>
              </w:rPr>
              <w:t> </w:t>
            </w:r>
            <w:r w:rsidRPr="00BD574A">
              <w:rPr>
                <w:b/>
              </w:rPr>
              <w:t>2</w:t>
            </w:r>
          </w:p>
        </w:tc>
        <w:tc>
          <w:tcPr>
            <w:tcW w:w="4945" w:type="dxa"/>
            <w:shd w:val="clear" w:color="auto" w:fill="auto"/>
          </w:tcPr>
          <w:p w:rsidR="001810A3" w:rsidRPr="00BD574A" w:rsidRDefault="001810A3" w:rsidP="004E49F4">
            <w:pPr>
              <w:pStyle w:val="ENoteTableText"/>
            </w:pPr>
          </w:p>
        </w:tc>
      </w:tr>
      <w:tr w:rsidR="001810A3" w:rsidRPr="00BD574A" w:rsidTr="00FA3B43">
        <w:trPr>
          <w:cantSplit/>
        </w:trPr>
        <w:tc>
          <w:tcPr>
            <w:tcW w:w="2128" w:type="dxa"/>
            <w:shd w:val="clear" w:color="auto" w:fill="auto"/>
          </w:tcPr>
          <w:p w:rsidR="001810A3" w:rsidRPr="00BD574A" w:rsidRDefault="001810A3" w:rsidP="004E49F4">
            <w:pPr>
              <w:pStyle w:val="ENoteTableText"/>
              <w:tabs>
                <w:tab w:val="center" w:leader="dot" w:pos="2268"/>
              </w:tabs>
            </w:pPr>
            <w:r w:rsidRPr="00BD574A">
              <w:t>s 49</w:t>
            </w:r>
            <w:r w:rsidRPr="00BD574A">
              <w:tab/>
            </w:r>
          </w:p>
        </w:tc>
        <w:tc>
          <w:tcPr>
            <w:tcW w:w="4945" w:type="dxa"/>
            <w:shd w:val="clear" w:color="auto" w:fill="auto"/>
          </w:tcPr>
          <w:p w:rsidR="001810A3" w:rsidRPr="00BD574A" w:rsidRDefault="001810A3" w:rsidP="004E49F4">
            <w:pPr>
              <w:pStyle w:val="ENoteTableText"/>
            </w:pPr>
            <w:r w:rsidRPr="00BD574A">
              <w:t xml:space="preserve">am </w:t>
            </w:r>
            <w:r w:rsidR="00D37FF5" w:rsidRPr="00BD574A">
              <w:t>No</w:t>
            </w:r>
            <w:r w:rsidR="004A4139" w:rsidRPr="00BD574A">
              <w:t> </w:t>
            </w:r>
            <w:r w:rsidR="00D37FF5" w:rsidRPr="00BD574A">
              <w:t xml:space="preserve">9, 2007; </w:t>
            </w:r>
            <w:r w:rsidRPr="00BD574A">
              <w:t>No</w:t>
            </w:r>
            <w:r w:rsidR="004A4139" w:rsidRPr="00BD574A">
              <w:t> </w:t>
            </w:r>
            <w:r w:rsidRPr="00BD574A">
              <w:t>23, 2012</w:t>
            </w:r>
            <w:r w:rsidR="006A3BD1" w:rsidRPr="00BD574A">
              <w:t>; No 96, 2014</w:t>
            </w:r>
            <w:r w:rsidR="00E47FA5" w:rsidRPr="00BD574A">
              <w:t>; No 81, 2016</w:t>
            </w:r>
          </w:p>
        </w:tc>
      </w:tr>
      <w:tr w:rsidR="001810A3" w:rsidRPr="00BD574A" w:rsidTr="00FA3B43">
        <w:trPr>
          <w:cantSplit/>
        </w:trPr>
        <w:tc>
          <w:tcPr>
            <w:tcW w:w="2128" w:type="dxa"/>
            <w:shd w:val="clear" w:color="auto" w:fill="auto"/>
          </w:tcPr>
          <w:p w:rsidR="001810A3" w:rsidRPr="00BD574A" w:rsidRDefault="001810A3" w:rsidP="004E49F4">
            <w:pPr>
              <w:pStyle w:val="ENoteTableText"/>
            </w:pPr>
            <w:r w:rsidRPr="00BD574A">
              <w:rPr>
                <w:b/>
              </w:rPr>
              <w:t>Division</w:t>
            </w:r>
            <w:r w:rsidR="00BD574A">
              <w:rPr>
                <w:b/>
              </w:rPr>
              <w:t> </w:t>
            </w:r>
            <w:r w:rsidRPr="00BD574A">
              <w:rPr>
                <w:b/>
              </w:rPr>
              <w:t>3</w:t>
            </w:r>
          </w:p>
        </w:tc>
        <w:tc>
          <w:tcPr>
            <w:tcW w:w="4945" w:type="dxa"/>
            <w:shd w:val="clear" w:color="auto" w:fill="auto"/>
          </w:tcPr>
          <w:p w:rsidR="001810A3" w:rsidRPr="00BD574A" w:rsidRDefault="001810A3" w:rsidP="004E49F4">
            <w:pPr>
              <w:pStyle w:val="ENoteTableText"/>
            </w:pPr>
          </w:p>
        </w:tc>
      </w:tr>
      <w:tr w:rsidR="001810A3" w:rsidRPr="00BD574A" w:rsidTr="00FA3B43">
        <w:trPr>
          <w:cantSplit/>
        </w:trPr>
        <w:tc>
          <w:tcPr>
            <w:tcW w:w="2128" w:type="dxa"/>
            <w:shd w:val="clear" w:color="auto" w:fill="auto"/>
          </w:tcPr>
          <w:p w:rsidR="001810A3" w:rsidRPr="00BD574A" w:rsidRDefault="001810A3" w:rsidP="004E49F4">
            <w:pPr>
              <w:pStyle w:val="ENoteTableText"/>
              <w:tabs>
                <w:tab w:val="center" w:leader="dot" w:pos="2268"/>
              </w:tabs>
            </w:pPr>
            <w:r w:rsidRPr="00BD574A">
              <w:t>s. 53</w:t>
            </w:r>
            <w:r w:rsidRPr="00BD574A">
              <w:tab/>
            </w:r>
          </w:p>
        </w:tc>
        <w:tc>
          <w:tcPr>
            <w:tcW w:w="4945" w:type="dxa"/>
            <w:shd w:val="clear" w:color="auto" w:fill="auto"/>
          </w:tcPr>
          <w:p w:rsidR="001810A3" w:rsidRPr="00BD574A" w:rsidRDefault="001810A3" w:rsidP="004E49F4">
            <w:pPr>
              <w:pStyle w:val="ENoteTableText"/>
            </w:pPr>
            <w:r w:rsidRPr="00BD574A">
              <w:t>rep. No.</w:t>
            </w:r>
            <w:r w:rsidR="00BD574A">
              <w:t> </w:t>
            </w:r>
            <w:r w:rsidRPr="00BD574A">
              <w:t>145, 2010</w:t>
            </w:r>
          </w:p>
        </w:tc>
      </w:tr>
      <w:tr w:rsidR="001810A3" w:rsidRPr="00BD574A" w:rsidTr="00FA3B43">
        <w:trPr>
          <w:cantSplit/>
        </w:trPr>
        <w:tc>
          <w:tcPr>
            <w:tcW w:w="2128" w:type="dxa"/>
            <w:shd w:val="clear" w:color="auto" w:fill="auto"/>
          </w:tcPr>
          <w:p w:rsidR="001810A3" w:rsidRPr="00BD574A" w:rsidRDefault="001810A3" w:rsidP="004E49F4">
            <w:pPr>
              <w:pStyle w:val="ENoteTableText"/>
              <w:tabs>
                <w:tab w:val="center" w:leader="dot" w:pos="2268"/>
              </w:tabs>
            </w:pPr>
            <w:r w:rsidRPr="00BD574A">
              <w:t>s. 54</w:t>
            </w:r>
            <w:r w:rsidRPr="00BD574A">
              <w:tab/>
            </w:r>
          </w:p>
        </w:tc>
        <w:tc>
          <w:tcPr>
            <w:tcW w:w="4945" w:type="dxa"/>
            <w:shd w:val="clear" w:color="auto" w:fill="auto"/>
          </w:tcPr>
          <w:p w:rsidR="001810A3" w:rsidRPr="00BD574A" w:rsidRDefault="001810A3" w:rsidP="004E49F4">
            <w:pPr>
              <w:pStyle w:val="ENoteTableText"/>
            </w:pPr>
            <w:r w:rsidRPr="00BD574A">
              <w:t>rs. No.</w:t>
            </w:r>
            <w:r w:rsidR="00BD574A">
              <w:t> </w:t>
            </w:r>
            <w:r w:rsidRPr="00BD574A">
              <w:t>92, 2004</w:t>
            </w:r>
          </w:p>
        </w:tc>
      </w:tr>
      <w:tr w:rsidR="001810A3" w:rsidRPr="00BD574A" w:rsidTr="00FA3B43">
        <w:trPr>
          <w:cantSplit/>
        </w:trPr>
        <w:tc>
          <w:tcPr>
            <w:tcW w:w="2128" w:type="dxa"/>
            <w:shd w:val="clear" w:color="auto" w:fill="auto"/>
          </w:tcPr>
          <w:p w:rsidR="001810A3" w:rsidRPr="00BD574A" w:rsidRDefault="001810A3" w:rsidP="004E49F4">
            <w:pPr>
              <w:pStyle w:val="ENoteTableText"/>
              <w:tabs>
                <w:tab w:val="center" w:leader="dot" w:pos="2268"/>
              </w:tabs>
            </w:pPr>
          </w:p>
        </w:tc>
        <w:tc>
          <w:tcPr>
            <w:tcW w:w="4945" w:type="dxa"/>
            <w:shd w:val="clear" w:color="auto" w:fill="auto"/>
          </w:tcPr>
          <w:p w:rsidR="001810A3" w:rsidRPr="00BD574A" w:rsidRDefault="001810A3" w:rsidP="004E49F4">
            <w:pPr>
              <w:pStyle w:val="ENoteTableText"/>
            </w:pPr>
            <w:r w:rsidRPr="00BD574A">
              <w:t>am. No.</w:t>
            </w:r>
            <w:r w:rsidR="00BD574A">
              <w:t> </w:t>
            </w:r>
            <w:r w:rsidRPr="00BD574A">
              <w:t>134, 2008; No.</w:t>
            </w:r>
            <w:r w:rsidR="00BD574A">
              <w:t> </w:t>
            </w:r>
            <w:r w:rsidRPr="00BD574A">
              <w:t>46, 2011</w:t>
            </w:r>
          </w:p>
        </w:tc>
      </w:tr>
      <w:tr w:rsidR="001810A3" w:rsidRPr="00BD574A" w:rsidTr="00FA3B43">
        <w:trPr>
          <w:cantSplit/>
        </w:trPr>
        <w:tc>
          <w:tcPr>
            <w:tcW w:w="2128" w:type="dxa"/>
            <w:shd w:val="clear" w:color="auto" w:fill="auto"/>
          </w:tcPr>
          <w:p w:rsidR="001810A3" w:rsidRPr="00BD574A" w:rsidRDefault="001810A3" w:rsidP="004E49F4">
            <w:pPr>
              <w:pStyle w:val="ENoteTableText"/>
            </w:pPr>
            <w:r w:rsidRPr="00BD574A">
              <w:rPr>
                <w:b/>
              </w:rPr>
              <w:t>Part</w:t>
            </w:r>
            <w:r w:rsidR="00BD574A">
              <w:rPr>
                <w:b/>
              </w:rPr>
              <w:t> </w:t>
            </w:r>
            <w:r w:rsidRPr="00BD574A">
              <w:rPr>
                <w:b/>
              </w:rPr>
              <w:t>8</w:t>
            </w:r>
          </w:p>
        </w:tc>
        <w:tc>
          <w:tcPr>
            <w:tcW w:w="4945" w:type="dxa"/>
            <w:shd w:val="clear" w:color="auto" w:fill="auto"/>
          </w:tcPr>
          <w:p w:rsidR="001810A3" w:rsidRPr="00BD574A" w:rsidRDefault="001810A3" w:rsidP="004E49F4">
            <w:pPr>
              <w:pStyle w:val="ENoteTableText"/>
            </w:pPr>
          </w:p>
        </w:tc>
      </w:tr>
      <w:tr w:rsidR="00F26C69" w:rsidRPr="00BD574A" w:rsidTr="00FA3B43">
        <w:trPr>
          <w:cantSplit/>
        </w:trPr>
        <w:tc>
          <w:tcPr>
            <w:tcW w:w="2128" w:type="dxa"/>
            <w:shd w:val="clear" w:color="auto" w:fill="auto"/>
          </w:tcPr>
          <w:p w:rsidR="00F26C69" w:rsidRPr="00BD574A" w:rsidRDefault="00E77B09" w:rsidP="004E49F4">
            <w:pPr>
              <w:pStyle w:val="ENoteTableText"/>
              <w:tabs>
                <w:tab w:val="center" w:leader="dot" w:pos="2268"/>
              </w:tabs>
            </w:pPr>
            <w:r w:rsidRPr="00BD574A">
              <w:t>s 55</w:t>
            </w:r>
            <w:r w:rsidRPr="00BD574A">
              <w:tab/>
            </w:r>
          </w:p>
        </w:tc>
        <w:tc>
          <w:tcPr>
            <w:tcW w:w="4945" w:type="dxa"/>
            <w:shd w:val="clear" w:color="auto" w:fill="auto"/>
          </w:tcPr>
          <w:p w:rsidR="00F26C69" w:rsidRPr="00BD574A" w:rsidRDefault="00936967" w:rsidP="003A31CC">
            <w:pPr>
              <w:pStyle w:val="ENoteTableText"/>
            </w:pPr>
            <w:r w:rsidRPr="00BD574A">
              <w:t>am</w:t>
            </w:r>
            <w:r w:rsidR="00F26C69" w:rsidRPr="00BD574A">
              <w:t xml:space="preserve"> </w:t>
            </w:r>
            <w:r w:rsidR="003A31CC" w:rsidRPr="00BD574A">
              <w:t>No</w:t>
            </w:r>
            <w:r w:rsidR="004A4139" w:rsidRPr="00BD574A">
              <w:t> </w:t>
            </w:r>
            <w:r w:rsidR="003A31CC" w:rsidRPr="00BD574A">
              <w:t xml:space="preserve">23, 2012; </w:t>
            </w:r>
            <w:r w:rsidR="00F26C69" w:rsidRPr="00BD574A">
              <w:t>No 96, 2014</w:t>
            </w:r>
            <w:r w:rsidR="00E47FA5" w:rsidRPr="00BD574A">
              <w:t>; No 81, 2016</w:t>
            </w:r>
          </w:p>
        </w:tc>
      </w:tr>
      <w:tr w:rsidR="001810A3" w:rsidRPr="00BD574A" w:rsidTr="00FA3B43">
        <w:trPr>
          <w:cantSplit/>
        </w:trPr>
        <w:tc>
          <w:tcPr>
            <w:tcW w:w="2128" w:type="dxa"/>
            <w:shd w:val="clear" w:color="auto" w:fill="auto"/>
          </w:tcPr>
          <w:p w:rsidR="001810A3" w:rsidRPr="00BD574A" w:rsidRDefault="001810A3" w:rsidP="00D23BE6">
            <w:pPr>
              <w:pStyle w:val="ENoteTableText"/>
              <w:keepNext/>
            </w:pPr>
            <w:r w:rsidRPr="00BD574A">
              <w:rPr>
                <w:b/>
              </w:rPr>
              <w:lastRenderedPageBreak/>
              <w:t>Part</w:t>
            </w:r>
            <w:r w:rsidR="00BD574A">
              <w:rPr>
                <w:b/>
              </w:rPr>
              <w:t> </w:t>
            </w:r>
            <w:r w:rsidRPr="00BD574A">
              <w:rPr>
                <w:b/>
              </w:rPr>
              <w:t>9</w:t>
            </w:r>
          </w:p>
        </w:tc>
        <w:tc>
          <w:tcPr>
            <w:tcW w:w="4945" w:type="dxa"/>
            <w:shd w:val="clear" w:color="auto" w:fill="auto"/>
          </w:tcPr>
          <w:p w:rsidR="001810A3" w:rsidRPr="00BD574A" w:rsidRDefault="001810A3" w:rsidP="004E49F4">
            <w:pPr>
              <w:pStyle w:val="ENoteTableText"/>
            </w:pPr>
          </w:p>
        </w:tc>
      </w:tr>
      <w:tr w:rsidR="001810A3" w:rsidRPr="00BD574A" w:rsidTr="00FA3B43">
        <w:trPr>
          <w:cantSplit/>
        </w:trPr>
        <w:tc>
          <w:tcPr>
            <w:tcW w:w="2128" w:type="dxa"/>
            <w:tcBorders>
              <w:bottom w:val="single" w:sz="12" w:space="0" w:color="auto"/>
            </w:tcBorders>
            <w:shd w:val="clear" w:color="auto" w:fill="auto"/>
          </w:tcPr>
          <w:p w:rsidR="001810A3" w:rsidRPr="00BD574A" w:rsidRDefault="001810A3" w:rsidP="004E49F4">
            <w:pPr>
              <w:pStyle w:val="ENoteTableText"/>
              <w:tabs>
                <w:tab w:val="center" w:leader="dot" w:pos="2268"/>
              </w:tabs>
            </w:pPr>
            <w:r w:rsidRPr="00BD574A">
              <w:t>s 56</w:t>
            </w:r>
            <w:r w:rsidRPr="00BD574A">
              <w:tab/>
            </w:r>
          </w:p>
        </w:tc>
        <w:tc>
          <w:tcPr>
            <w:tcW w:w="4945" w:type="dxa"/>
            <w:tcBorders>
              <w:bottom w:val="single" w:sz="12" w:space="0" w:color="auto"/>
            </w:tcBorders>
            <w:shd w:val="clear" w:color="auto" w:fill="auto"/>
          </w:tcPr>
          <w:p w:rsidR="001810A3" w:rsidRPr="00BD574A" w:rsidRDefault="001810A3" w:rsidP="00041453">
            <w:pPr>
              <w:pStyle w:val="ENoteTableText"/>
              <w:rPr>
                <w:u w:val="single"/>
              </w:rPr>
            </w:pPr>
            <w:r w:rsidRPr="00BD574A">
              <w:t>am No</w:t>
            </w:r>
            <w:r w:rsidR="004A4139" w:rsidRPr="00BD574A">
              <w:t> </w:t>
            </w:r>
            <w:r w:rsidRPr="00BD574A">
              <w:t>92, 2004; No</w:t>
            </w:r>
            <w:r w:rsidR="004A4139" w:rsidRPr="00BD574A">
              <w:t> </w:t>
            </w:r>
            <w:r w:rsidRPr="00BD574A">
              <w:t>8, 2005; No</w:t>
            </w:r>
            <w:r w:rsidR="004A4139" w:rsidRPr="00BD574A">
              <w:t> </w:t>
            </w:r>
            <w:r w:rsidRPr="00BD574A">
              <w:t>15, 2007; No</w:t>
            </w:r>
            <w:r w:rsidR="004A4139" w:rsidRPr="00BD574A">
              <w:t> </w:t>
            </w:r>
            <w:r w:rsidRPr="00BD574A">
              <w:t>27, 2009; No</w:t>
            </w:r>
            <w:r w:rsidR="004A4139" w:rsidRPr="00BD574A">
              <w:t> </w:t>
            </w:r>
            <w:r w:rsidRPr="00BD574A">
              <w:t>145, 2010; No</w:t>
            </w:r>
            <w:r w:rsidR="004A4139" w:rsidRPr="00BD574A">
              <w:t> </w:t>
            </w:r>
            <w:r w:rsidRPr="00BD574A">
              <w:t>23, 2012; No</w:t>
            </w:r>
            <w:r w:rsidR="004A4139" w:rsidRPr="00BD574A">
              <w:t> </w:t>
            </w:r>
            <w:r w:rsidRPr="00BD574A">
              <w:t>82, 2013;</w:t>
            </w:r>
            <w:r w:rsidR="00E77B09" w:rsidRPr="00BD574A">
              <w:t xml:space="preserve"> No 96, 2014;</w:t>
            </w:r>
            <w:r w:rsidRPr="00BD574A">
              <w:t xml:space="preserve"> No 2, 2015</w:t>
            </w:r>
            <w:r w:rsidR="00E47FA5" w:rsidRPr="00BD574A">
              <w:t>; No 81, 2016</w:t>
            </w:r>
          </w:p>
        </w:tc>
      </w:tr>
    </w:tbl>
    <w:p w:rsidR="00E32347" w:rsidRPr="00BD574A" w:rsidRDefault="00E32347" w:rsidP="004E49F4">
      <w:pPr>
        <w:pStyle w:val="Tabletext"/>
      </w:pPr>
    </w:p>
    <w:p w:rsidR="00392615" w:rsidRPr="00BD574A" w:rsidRDefault="00392615" w:rsidP="006F19B4">
      <w:pPr>
        <w:sectPr w:rsidR="00392615" w:rsidRPr="00BD574A" w:rsidSect="003B795F">
          <w:headerReference w:type="even" r:id="rId29"/>
          <w:headerReference w:type="default" r:id="rId30"/>
          <w:footerReference w:type="even" r:id="rId31"/>
          <w:footerReference w:type="default" r:id="rId32"/>
          <w:footerReference w:type="first" r:id="rId33"/>
          <w:pgSz w:w="11907" w:h="16839"/>
          <w:pgMar w:top="2268" w:right="2410" w:bottom="4252" w:left="2410" w:header="720" w:footer="3402" w:gutter="0"/>
          <w:cols w:space="708"/>
          <w:docGrid w:linePitch="360"/>
        </w:sectPr>
      </w:pPr>
    </w:p>
    <w:p w:rsidR="00AF489E" w:rsidRPr="00BD574A" w:rsidRDefault="00AF489E" w:rsidP="007C7951"/>
    <w:sectPr w:rsidR="00AF489E" w:rsidRPr="00BD574A" w:rsidSect="003B795F">
      <w:headerReference w:type="even" r:id="rId34"/>
      <w:headerReference w:type="default" r:id="rId35"/>
      <w:footerReference w:type="even" r:id="rId36"/>
      <w:footerReference w:type="default" r:id="rId37"/>
      <w:headerReference w:type="first" r:id="rId38"/>
      <w:footerReference w:type="first" r:id="rId39"/>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289" w:rsidRDefault="00394289">
      <w:pPr>
        <w:spacing w:line="240" w:lineRule="auto"/>
      </w:pPr>
      <w:r>
        <w:separator/>
      </w:r>
    </w:p>
  </w:endnote>
  <w:endnote w:type="continuationSeparator" w:id="0">
    <w:p w:rsidR="00394289" w:rsidRDefault="0039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289" w:rsidRDefault="00394289">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289" w:rsidRPr="007B3B51" w:rsidRDefault="00394289" w:rsidP="00A703E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94289" w:rsidRPr="007B3B51" w:rsidTr="00A703E7">
      <w:tc>
        <w:tcPr>
          <w:tcW w:w="1247" w:type="dxa"/>
        </w:tcPr>
        <w:p w:rsidR="00394289" w:rsidRPr="007B3B51" w:rsidRDefault="00394289" w:rsidP="00A703E7">
          <w:pPr>
            <w:rPr>
              <w:i/>
              <w:sz w:val="16"/>
              <w:szCs w:val="16"/>
            </w:rPr>
          </w:pPr>
        </w:p>
      </w:tc>
      <w:tc>
        <w:tcPr>
          <w:tcW w:w="5387" w:type="dxa"/>
          <w:gridSpan w:val="3"/>
        </w:tcPr>
        <w:p w:rsidR="00394289" w:rsidRPr="007B3B51" w:rsidRDefault="00394289" w:rsidP="00A703E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B795F">
            <w:rPr>
              <w:i/>
              <w:noProof/>
              <w:sz w:val="16"/>
              <w:szCs w:val="16"/>
            </w:rPr>
            <w:t>Superannuation (Government Co-contribution for Low Income Earners) Act 2003</w:t>
          </w:r>
          <w:r w:rsidRPr="007B3B51">
            <w:rPr>
              <w:i/>
              <w:sz w:val="16"/>
              <w:szCs w:val="16"/>
            </w:rPr>
            <w:fldChar w:fldCharType="end"/>
          </w:r>
        </w:p>
      </w:tc>
      <w:tc>
        <w:tcPr>
          <w:tcW w:w="669" w:type="dxa"/>
        </w:tcPr>
        <w:p w:rsidR="00394289" w:rsidRPr="007B3B51" w:rsidRDefault="00394289" w:rsidP="00A703E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B795F">
            <w:rPr>
              <w:i/>
              <w:noProof/>
              <w:sz w:val="16"/>
              <w:szCs w:val="16"/>
            </w:rPr>
            <w:t>61</w:t>
          </w:r>
          <w:r w:rsidRPr="007B3B51">
            <w:rPr>
              <w:i/>
              <w:sz w:val="16"/>
              <w:szCs w:val="16"/>
            </w:rPr>
            <w:fldChar w:fldCharType="end"/>
          </w:r>
        </w:p>
      </w:tc>
    </w:tr>
    <w:tr w:rsidR="00394289" w:rsidRPr="00130F37" w:rsidTr="00A703E7">
      <w:tc>
        <w:tcPr>
          <w:tcW w:w="2190" w:type="dxa"/>
          <w:gridSpan w:val="2"/>
        </w:tcPr>
        <w:p w:rsidR="00394289" w:rsidRPr="00130F37" w:rsidRDefault="00394289" w:rsidP="00A703E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71612">
            <w:rPr>
              <w:sz w:val="16"/>
              <w:szCs w:val="16"/>
            </w:rPr>
            <w:t>27</w:t>
          </w:r>
          <w:r w:rsidRPr="00130F37">
            <w:rPr>
              <w:sz w:val="16"/>
              <w:szCs w:val="16"/>
            </w:rPr>
            <w:fldChar w:fldCharType="end"/>
          </w:r>
        </w:p>
      </w:tc>
      <w:tc>
        <w:tcPr>
          <w:tcW w:w="2920" w:type="dxa"/>
        </w:tcPr>
        <w:p w:rsidR="00394289" w:rsidRPr="00130F37" w:rsidRDefault="00394289" w:rsidP="00A703E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71612">
            <w:rPr>
              <w:sz w:val="16"/>
              <w:szCs w:val="16"/>
            </w:rPr>
            <w:t>2/7/17</w:t>
          </w:r>
          <w:r w:rsidRPr="00130F37">
            <w:rPr>
              <w:sz w:val="16"/>
              <w:szCs w:val="16"/>
            </w:rPr>
            <w:fldChar w:fldCharType="end"/>
          </w:r>
        </w:p>
      </w:tc>
      <w:tc>
        <w:tcPr>
          <w:tcW w:w="2193" w:type="dxa"/>
          <w:gridSpan w:val="2"/>
        </w:tcPr>
        <w:p w:rsidR="00394289" w:rsidRPr="00130F37" w:rsidRDefault="00394289" w:rsidP="00A703E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71612">
            <w:rPr>
              <w:sz w:val="16"/>
              <w:szCs w:val="16"/>
            </w:rPr>
            <w:instrText>13/07/2017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71612">
            <w:rPr>
              <w:sz w:val="16"/>
              <w:szCs w:val="16"/>
            </w:rPr>
            <w:instrText>13/7/17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71612">
            <w:rPr>
              <w:noProof/>
              <w:sz w:val="16"/>
              <w:szCs w:val="16"/>
            </w:rPr>
            <w:t>13/7/17</w:t>
          </w:r>
          <w:r w:rsidRPr="00130F37">
            <w:rPr>
              <w:sz w:val="16"/>
              <w:szCs w:val="16"/>
            </w:rPr>
            <w:fldChar w:fldCharType="end"/>
          </w:r>
        </w:p>
      </w:tc>
    </w:tr>
  </w:tbl>
  <w:p w:rsidR="00394289" w:rsidRPr="00A703E7" w:rsidRDefault="00394289" w:rsidP="00A703E7">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289" w:rsidRPr="007A1328" w:rsidRDefault="00394289" w:rsidP="006F19B4">
    <w:pPr>
      <w:pBdr>
        <w:top w:val="single" w:sz="6" w:space="1" w:color="auto"/>
      </w:pBdr>
      <w:spacing w:before="120"/>
      <w:rPr>
        <w:sz w:val="18"/>
      </w:rPr>
    </w:pPr>
  </w:p>
  <w:p w:rsidR="00394289" w:rsidRPr="007A1328" w:rsidRDefault="00394289" w:rsidP="006F19B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71612">
      <w:rPr>
        <w:i/>
        <w:noProof/>
        <w:sz w:val="18"/>
      </w:rPr>
      <w:t>Superannuation (Government Co-contribution for Low Income Earners) Act 2003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59</w:t>
    </w:r>
    <w:r w:rsidRPr="007A1328">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289" w:rsidRPr="007B3B51" w:rsidRDefault="00394289" w:rsidP="00A703E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94289" w:rsidRPr="007B3B51" w:rsidTr="00A703E7">
      <w:tc>
        <w:tcPr>
          <w:tcW w:w="1247" w:type="dxa"/>
        </w:tcPr>
        <w:p w:rsidR="00394289" w:rsidRPr="007B3B51" w:rsidRDefault="00394289" w:rsidP="00A703E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59</w:t>
          </w:r>
          <w:r w:rsidRPr="007B3B51">
            <w:rPr>
              <w:i/>
              <w:sz w:val="16"/>
              <w:szCs w:val="16"/>
            </w:rPr>
            <w:fldChar w:fldCharType="end"/>
          </w:r>
        </w:p>
      </w:tc>
      <w:tc>
        <w:tcPr>
          <w:tcW w:w="5387" w:type="dxa"/>
          <w:gridSpan w:val="3"/>
        </w:tcPr>
        <w:p w:rsidR="00394289" w:rsidRPr="007B3B51" w:rsidRDefault="00394289" w:rsidP="00A703E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71612">
            <w:rPr>
              <w:i/>
              <w:noProof/>
              <w:sz w:val="16"/>
              <w:szCs w:val="16"/>
            </w:rPr>
            <w:t>Superannuation (Government Co-contribution for Low Income Earners) Act 2003</w:t>
          </w:r>
          <w:r w:rsidRPr="007B3B51">
            <w:rPr>
              <w:i/>
              <w:sz w:val="16"/>
              <w:szCs w:val="16"/>
            </w:rPr>
            <w:fldChar w:fldCharType="end"/>
          </w:r>
        </w:p>
      </w:tc>
      <w:tc>
        <w:tcPr>
          <w:tcW w:w="669" w:type="dxa"/>
        </w:tcPr>
        <w:p w:rsidR="00394289" w:rsidRPr="007B3B51" w:rsidRDefault="00394289" w:rsidP="00A703E7">
          <w:pPr>
            <w:jc w:val="right"/>
            <w:rPr>
              <w:sz w:val="16"/>
              <w:szCs w:val="16"/>
            </w:rPr>
          </w:pPr>
        </w:p>
      </w:tc>
    </w:tr>
    <w:tr w:rsidR="00394289" w:rsidRPr="0055472E" w:rsidTr="00A703E7">
      <w:tc>
        <w:tcPr>
          <w:tcW w:w="2190" w:type="dxa"/>
          <w:gridSpan w:val="2"/>
        </w:tcPr>
        <w:p w:rsidR="00394289" w:rsidRPr="0055472E" w:rsidRDefault="00394289" w:rsidP="00A703E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71612">
            <w:rPr>
              <w:sz w:val="16"/>
              <w:szCs w:val="16"/>
            </w:rPr>
            <w:t>27</w:t>
          </w:r>
          <w:r w:rsidRPr="0055472E">
            <w:rPr>
              <w:sz w:val="16"/>
              <w:szCs w:val="16"/>
            </w:rPr>
            <w:fldChar w:fldCharType="end"/>
          </w:r>
        </w:p>
      </w:tc>
      <w:tc>
        <w:tcPr>
          <w:tcW w:w="2920" w:type="dxa"/>
        </w:tcPr>
        <w:p w:rsidR="00394289" w:rsidRPr="0055472E" w:rsidRDefault="00394289" w:rsidP="00A703E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71612">
            <w:rPr>
              <w:sz w:val="16"/>
              <w:szCs w:val="16"/>
            </w:rPr>
            <w:t>2/7/17</w:t>
          </w:r>
          <w:r w:rsidRPr="0055472E">
            <w:rPr>
              <w:sz w:val="16"/>
              <w:szCs w:val="16"/>
            </w:rPr>
            <w:fldChar w:fldCharType="end"/>
          </w:r>
        </w:p>
      </w:tc>
      <w:tc>
        <w:tcPr>
          <w:tcW w:w="2193" w:type="dxa"/>
          <w:gridSpan w:val="2"/>
        </w:tcPr>
        <w:p w:rsidR="00394289" w:rsidRPr="0055472E" w:rsidRDefault="00394289" w:rsidP="00A703E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71612">
            <w:rPr>
              <w:sz w:val="16"/>
              <w:szCs w:val="16"/>
            </w:rPr>
            <w:instrText>13/07/2017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71612">
            <w:rPr>
              <w:sz w:val="16"/>
              <w:szCs w:val="16"/>
            </w:rPr>
            <w:instrText>13/7/17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71612">
            <w:rPr>
              <w:noProof/>
              <w:sz w:val="16"/>
              <w:szCs w:val="16"/>
            </w:rPr>
            <w:t>13/7/17</w:t>
          </w:r>
          <w:r w:rsidRPr="0055472E">
            <w:rPr>
              <w:sz w:val="16"/>
              <w:szCs w:val="16"/>
            </w:rPr>
            <w:fldChar w:fldCharType="end"/>
          </w:r>
        </w:p>
      </w:tc>
    </w:tr>
  </w:tbl>
  <w:p w:rsidR="00394289" w:rsidRPr="00A703E7" w:rsidRDefault="00394289" w:rsidP="00A703E7">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289" w:rsidRPr="007B3B51" w:rsidRDefault="00394289" w:rsidP="00A703E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94289" w:rsidRPr="007B3B51" w:rsidTr="00A703E7">
      <w:tc>
        <w:tcPr>
          <w:tcW w:w="1247" w:type="dxa"/>
        </w:tcPr>
        <w:p w:rsidR="00394289" w:rsidRPr="007B3B51" w:rsidRDefault="00394289" w:rsidP="00A703E7">
          <w:pPr>
            <w:rPr>
              <w:i/>
              <w:sz w:val="16"/>
              <w:szCs w:val="16"/>
            </w:rPr>
          </w:pPr>
        </w:p>
      </w:tc>
      <w:tc>
        <w:tcPr>
          <w:tcW w:w="5387" w:type="dxa"/>
          <w:gridSpan w:val="3"/>
        </w:tcPr>
        <w:p w:rsidR="00394289" w:rsidRPr="007B3B51" w:rsidRDefault="00394289" w:rsidP="00A703E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71612">
            <w:rPr>
              <w:i/>
              <w:noProof/>
              <w:sz w:val="16"/>
              <w:szCs w:val="16"/>
            </w:rPr>
            <w:t>Superannuation (Government Co-contribution for Low Income Earners) Act 2003</w:t>
          </w:r>
          <w:r w:rsidRPr="007B3B51">
            <w:rPr>
              <w:i/>
              <w:sz w:val="16"/>
              <w:szCs w:val="16"/>
            </w:rPr>
            <w:fldChar w:fldCharType="end"/>
          </w:r>
        </w:p>
      </w:tc>
      <w:tc>
        <w:tcPr>
          <w:tcW w:w="669" w:type="dxa"/>
        </w:tcPr>
        <w:p w:rsidR="00394289" w:rsidRPr="007B3B51" w:rsidRDefault="00394289" w:rsidP="00A703E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59</w:t>
          </w:r>
          <w:r w:rsidRPr="007B3B51">
            <w:rPr>
              <w:i/>
              <w:sz w:val="16"/>
              <w:szCs w:val="16"/>
            </w:rPr>
            <w:fldChar w:fldCharType="end"/>
          </w:r>
        </w:p>
      </w:tc>
    </w:tr>
    <w:tr w:rsidR="00394289" w:rsidRPr="00130F37" w:rsidTr="00A703E7">
      <w:tc>
        <w:tcPr>
          <w:tcW w:w="2190" w:type="dxa"/>
          <w:gridSpan w:val="2"/>
        </w:tcPr>
        <w:p w:rsidR="00394289" w:rsidRPr="00130F37" w:rsidRDefault="00394289" w:rsidP="00A703E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71612">
            <w:rPr>
              <w:sz w:val="16"/>
              <w:szCs w:val="16"/>
            </w:rPr>
            <w:t>27</w:t>
          </w:r>
          <w:r w:rsidRPr="00130F37">
            <w:rPr>
              <w:sz w:val="16"/>
              <w:szCs w:val="16"/>
            </w:rPr>
            <w:fldChar w:fldCharType="end"/>
          </w:r>
        </w:p>
      </w:tc>
      <w:tc>
        <w:tcPr>
          <w:tcW w:w="2920" w:type="dxa"/>
        </w:tcPr>
        <w:p w:rsidR="00394289" w:rsidRPr="00130F37" w:rsidRDefault="00394289" w:rsidP="00A703E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71612">
            <w:rPr>
              <w:sz w:val="16"/>
              <w:szCs w:val="16"/>
            </w:rPr>
            <w:t>2/7/17</w:t>
          </w:r>
          <w:r w:rsidRPr="00130F37">
            <w:rPr>
              <w:sz w:val="16"/>
              <w:szCs w:val="16"/>
            </w:rPr>
            <w:fldChar w:fldCharType="end"/>
          </w:r>
        </w:p>
      </w:tc>
      <w:tc>
        <w:tcPr>
          <w:tcW w:w="2193" w:type="dxa"/>
          <w:gridSpan w:val="2"/>
        </w:tcPr>
        <w:p w:rsidR="00394289" w:rsidRPr="00130F37" w:rsidRDefault="00394289" w:rsidP="00A703E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71612">
            <w:rPr>
              <w:sz w:val="16"/>
              <w:szCs w:val="16"/>
            </w:rPr>
            <w:instrText>13/07/2017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71612">
            <w:rPr>
              <w:sz w:val="16"/>
              <w:szCs w:val="16"/>
            </w:rPr>
            <w:instrText>13/7/17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71612">
            <w:rPr>
              <w:noProof/>
              <w:sz w:val="16"/>
              <w:szCs w:val="16"/>
            </w:rPr>
            <w:t>13/7/17</w:t>
          </w:r>
          <w:r w:rsidRPr="00130F37">
            <w:rPr>
              <w:sz w:val="16"/>
              <w:szCs w:val="16"/>
            </w:rPr>
            <w:fldChar w:fldCharType="end"/>
          </w:r>
        </w:p>
      </w:tc>
    </w:tr>
  </w:tbl>
  <w:p w:rsidR="00394289" w:rsidRPr="00A703E7" w:rsidRDefault="00394289" w:rsidP="00A703E7">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289" w:rsidRDefault="00394289">
    <w:pPr>
      <w:pBdr>
        <w:top w:val="single" w:sz="6" w:space="1" w:color="auto"/>
      </w:pBdr>
      <w:rPr>
        <w:sz w:val="18"/>
      </w:rPr>
    </w:pPr>
  </w:p>
  <w:p w:rsidR="00394289" w:rsidRDefault="00394289">
    <w:pPr>
      <w:jc w:val="right"/>
      <w:rPr>
        <w:i/>
        <w:sz w:val="18"/>
      </w:rPr>
    </w:pPr>
    <w:r>
      <w:rPr>
        <w:i/>
        <w:sz w:val="18"/>
      </w:rPr>
      <w:fldChar w:fldCharType="begin"/>
    </w:r>
    <w:r>
      <w:rPr>
        <w:i/>
        <w:sz w:val="18"/>
      </w:rPr>
      <w:instrText xml:space="preserve"> STYLEREF ShortT </w:instrText>
    </w:r>
    <w:r>
      <w:rPr>
        <w:i/>
        <w:sz w:val="18"/>
      </w:rPr>
      <w:fldChar w:fldCharType="separate"/>
    </w:r>
    <w:r w:rsidR="00371612">
      <w:rPr>
        <w:i/>
        <w:noProof/>
        <w:sz w:val="18"/>
      </w:rPr>
      <w:t>Superannuation (Government Co-contribution for Low Income Earners) Act 2003</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371612">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59</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289" w:rsidRDefault="00394289" w:rsidP="008B10DA">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289" w:rsidRPr="00ED79B6" w:rsidRDefault="00394289" w:rsidP="008B10D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289" w:rsidRPr="007B3B51" w:rsidRDefault="00394289" w:rsidP="00A703E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94289" w:rsidRPr="007B3B51" w:rsidTr="00A703E7">
      <w:tc>
        <w:tcPr>
          <w:tcW w:w="1247" w:type="dxa"/>
        </w:tcPr>
        <w:p w:rsidR="00394289" w:rsidRPr="007B3B51" w:rsidRDefault="00394289" w:rsidP="00A703E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B795F">
            <w:rPr>
              <w:i/>
              <w:noProof/>
              <w:sz w:val="16"/>
              <w:szCs w:val="16"/>
            </w:rPr>
            <w:t>ii</w:t>
          </w:r>
          <w:r w:rsidRPr="007B3B51">
            <w:rPr>
              <w:i/>
              <w:sz w:val="16"/>
              <w:szCs w:val="16"/>
            </w:rPr>
            <w:fldChar w:fldCharType="end"/>
          </w:r>
        </w:p>
      </w:tc>
      <w:tc>
        <w:tcPr>
          <w:tcW w:w="5387" w:type="dxa"/>
          <w:gridSpan w:val="3"/>
        </w:tcPr>
        <w:p w:rsidR="00394289" w:rsidRPr="007B3B51" w:rsidRDefault="00394289" w:rsidP="00A703E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B795F">
            <w:rPr>
              <w:i/>
              <w:noProof/>
              <w:sz w:val="16"/>
              <w:szCs w:val="16"/>
            </w:rPr>
            <w:t>Superannuation (Government Co-contribution for Low Income Earners) Act 2003</w:t>
          </w:r>
          <w:r w:rsidRPr="007B3B51">
            <w:rPr>
              <w:i/>
              <w:sz w:val="16"/>
              <w:szCs w:val="16"/>
            </w:rPr>
            <w:fldChar w:fldCharType="end"/>
          </w:r>
        </w:p>
      </w:tc>
      <w:tc>
        <w:tcPr>
          <w:tcW w:w="669" w:type="dxa"/>
        </w:tcPr>
        <w:p w:rsidR="00394289" w:rsidRPr="007B3B51" w:rsidRDefault="00394289" w:rsidP="00A703E7">
          <w:pPr>
            <w:jc w:val="right"/>
            <w:rPr>
              <w:sz w:val="16"/>
              <w:szCs w:val="16"/>
            </w:rPr>
          </w:pPr>
        </w:p>
      </w:tc>
    </w:tr>
    <w:tr w:rsidR="00394289" w:rsidRPr="0055472E" w:rsidTr="00A703E7">
      <w:tc>
        <w:tcPr>
          <w:tcW w:w="2190" w:type="dxa"/>
          <w:gridSpan w:val="2"/>
        </w:tcPr>
        <w:p w:rsidR="00394289" w:rsidRPr="0055472E" w:rsidRDefault="00394289" w:rsidP="00A703E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71612">
            <w:rPr>
              <w:sz w:val="16"/>
              <w:szCs w:val="16"/>
            </w:rPr>
            <w:t>27</w:t>
          </w:r>
          <w:r w:rsidRPr="0055472E">
            <w:rPr>
              <w:sz w:val="16"/>
              <w:szCs w:val="16"/>
            </w:rPr>
            <w:fldChar w:fldCharType="end"/>
          </w:r>
        </w:p>
      </w:tc>
      <w:tc>
        <w:tcPr>
          <w:tcW w:w="2920" w:type="dxa"/>
        </w:tcPr>
        <w:p w:rsidR="00394289" w:rsidRPr="0055472E" w:rsidRDefault="00394289" w:rsidP="00A703E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71612">
            <w:rPr>
              <w:sz w:val="16"/>
              <w:szCs w:val="16"/>
            </w:rPr>
            <w:t>2/7/17</w:t>
          </w:r>
          <w:r w:rsidRPr="0055472E">
            <w:rPr>
              <w:sz w:val="16"/>
              <w:szCs w:val="16"/>
            </w:rPr>
            <w:fldChar w:fldCharType="end"/>
          </w:r>
        </w:p>
      </w:tc>
      <w:tc>
        <w:tcPr>
          <w:tcW w:w="2193" w:type="dxa"/>
          <w:gridSpan w:val="2"/>
        </w:tcPr>
        <w:p w:rsidR="00394289" w:rsidRPr="0055472E" w:rsidRDefault="00394289" w:rsidP="00A703E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71612">
            <w:rPr>
              <w:sz w:val="16"/>
              <w:szCs w:val="16"/>
            </w:rPr>
            <w:instrText>13/07/2017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71612">
            <w:rPr>
              <w:sz w:val="16"/>
              <w:szCs w:val="16"/>
            </w:rPr>
            <w:instrText>13/7/17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71612">
            <w:rPr>
              <w:noProof/>
              <w:sz w:val="16"/>
              <w:szCs w:val="16"/>
            </w:rPr>
            <w:t>13/7/17</w:t>
          </w:r>
          <w:r w:rsidRPr="0055472E">
            <w:rPr>
              <w:sz w:val="16"/>
              <w:szCs w:val="16"/>
            </w:rPr>
            <w:fldChar w:fldCharType="end"/>
          </w:r>
        </w:p>
      </w:tc>
    </w:tr>
  </w:tbl>
  <w:p w:rsidR="00394289" w:rsidRPr="00A703E7" w:rsidRDefault="00394289" w:rsidP="00A703E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289" w:rsidRPr="007B3B51" w:rsidRDefault="00394289" w:rsidP="00A703E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94289" w:rsidRPr="007B3B51" w:rsidTr="00A703E7">
      <w:tc>
        <w:tcPr>
          <w:tcW w:w="1247" w:type="dxa"/>
        </w:tcPr>
        <w:p w:rsidR="00394289" w:rsidRPr="007B3B51" w:rsidRDefault="00394289" w:rsidP="00A703E7">
          <w:pPr>
            <w:rPr>
              <w:i/>
              <w:sz w:val="16"/>
              <w:szCs w:val="16"/>
            </w:rPr>
          </w:pPr>
        </w:p>
      </w:tc>
      <w:tc>
        <w:tcPr>
          <w:tcW w:w="5387" w:type="dxa"/>
          <w:gridSpan w:val="3"/>
        </w:tcPr>
        <w:p w:rsidR="00394289" w:rsidRPr="007B3B51" w:rsidRDefault="00394289" w:rsidP="00A703E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B795F">
            <w:rPr>
              <w:i/>
              <w:noProof/>
              <w:sz w:val="16"/>
              <w:szCs w:val="16"/>
            </w:rPr>
            <w:t>Superannuation (Government Co-contribution for Low Income Earners) Act 2003</w:t>
          </w:r>
          <w:r w:rsidRPr="007B3B51">
            <w:rPr>
              <w:i/>
              <w:sz w:val="16"/>
              <w:szCs w:val="16"/>
            </w:rPr>
            <w:fldChar w:fldCharType="end"/>
          </w:r>
        </w:p>
      </w:tc>
      <w:tc>
        <w:tcPr>
          <w:tcW w:w="669" w:type="dxa"/>
        </w:tcPr>
        <w:p w:rsidR="00394289" w:rsidRPr="007B3B51" w:rsidRDefault="00394289" w:rsidP="00A703E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B795F">
            <w:rPr>
              <w:i/>
              <w:noProof/>
              <w:sz w:val="16"/>
              <w:szCs w:val="16"/>
            </w:rPr>
            <w:t>i</w:t>
          </w:r>
          <w:r w:rsidRPr="007B3B51">
            <w:rPr>
              <w:i/>
              <w:sz w:val="16"/>
              <w:szCs w:val="16"/>
            </w:rPr>
            <w:fldChar w:fldCharType="end"/>
          </w:r>
        </w:p>
      </w:tc>
    </w:tr>
    <w:tr w:rsidR="00394289" w:rsidRPr="00130F37" w:rsidTr="00A703E7">
      <w:tc>
        <w:tcPr>
          <w:tcW w:w="2190" w:type="dxa"/>
          <w:gridSpan w:val="2"/>
        </w:tcPr>
        <w:p w:rsidR="00394289" w:rsidRPr="00130F37" w:rsidRDefault="00394289" w:rsidP="00A703E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71612">
            <w:rPr>
              <w:sz w:val="16"/>
              <w:szCs w:val="16"/>
            </w:rPr>
            <w:t>27</w:t>
          </w:r>
          <w:r w:rsidRPr="00130F37">
            <w:rPr>
              <w:sz w:val="16"/>
              <w:szCs w:val="16"/>
            </w:rPr>
            <w:fldChar w:fldCharType="end"/>
          </w:r>
        </w:p>
      </w:tc>
      <w:tc>
        <w:tcPr>
          <w:tcW w:w="2920" w:type="dxa"/>
        </w:tcPr>
        <w:p w:rsidR="00394289" w:rsidRPr="00130F37" w:rsidRDefault="00394289" w:rsidP="00A703E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71612">
            <w:rPr>
              <w:sz w:val="16"/>
              <w:szCs w:val="16"/>
            </w:rPr>
            <w:t>2/7/17</w:t>
          </w:r>
          <w:r w:rsidRPr="00130F37">
            <w:rPr>
              <w:sz w:val="16"/>
              <w:szCs w:val="16"/>
            </w:rPr>
            <w:fldChar w:fldCharType="end"/>
          </w:r>
        </w:p>
      </w:tc>
      <w:tc>
        <w:tcPr>
          <w:tcW w:w="2193" w:type="dxa"/>
          <w:gridSpan w:val="2"/>
        </w:tcPr>
        <w:p w:rsidR="00394289" w:rsidRPr="00130F37" w:rsidRDefault="00394289" w:rsidP="00A703E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71612">
            <w:rPr>
              <w:sz w:val="16"/>
              <w:szCs w:val="16"/>
            </w:rPr>
            <w:instrText>13/07/2017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71612">
            <w:rPr>
              <w:sz w:val="16"/>
              <w:szCs w:val="16"/>
            </w:rPr>
            <w:instrText>13/7/17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71612">
            <w:rPr>
              <w:noProof/>
              <w:sz w:val="16"/>
              <w:szCs w:val="16"/>
            </w:rPr>
            <w:t>13/7/17</w:t>
          </w:r>
          <w:r w:rsidRPr="00130F37">
            <w:rPr>
              <w:sz w:val="16"/>
              <w:szCs w:val="16"/>
            </w:rPr>
            <w:fldChar w:fldCharType="end"/>
          </w:r>
        </w:p>
      </w:tc>
    </w:tr>
  </w:tbl>
  <w:p w:rsidR="00394289" w:rsidRPr="00A703E7" w:rsidRDefault="00394289" w:rsidP="00A703E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289" w:rsidRPr="007B3B51" w:rsidRDefault="00394289" w:rsidP="00A703E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94289" w:rsidRPr="007B3B51" w:rsidTr="00A703E7">
      <w:tc>
        <w:tcPr>
          <w:tcW w:w="1247" w:type="dxa"/>
        </w:tcPr>
        <w:p w:rsidR="00394289" w:rsidRPr="007B3B51" w:rsidRDefault="00394289" w:rsidP="00A703E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B795F">
            <w:rPr>
              <w:i/>
              <w:noProof/>
              <w:sz w:val="16"/>
              <w:szCs w:val="16"/>
            </w:rPr>
            <w:t>50</w:t>
          </w:r>
          <w:r w:rsidRPr="007B3B51">
            <w:rPr>
              <w:i/>
              <w:sz w:val="16"/>
              <w:szCs w:val="16"/>
            </w:rPr>
            <w:fldChar w:fldCharType="end"/>
          </w:r>
        </w:p>
      </w:tc>
      <w:tc>
        <w:tcPr>
          <w:tcW w:w="5387" w:type="dxa"/>
          <w:gridSpan w:val="3"/>
        </w:tcPr>
        <w:p w:rsidR="00394289" w:rsidRPr="007B3B51" w:rsidRDefault="00394289" w:rsidP="00A703E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B795F">
            <w:rPr>
              <w:i/>
              <w:noProof/>
              <w:sz w:val="16"/>
              <w:szCs w:val="16"/>
            </w:rPr>
            <w:t>Superannuation (Government Co-contribution for Low Income Earners) Act 2003</w:t>
          </w:r>
          <w:r w:rsidRPr="007B3B51">
            <w:rPr>
              <w:i/>
              <w:sz w:val="16"/>
              <w:szCs w:val="16"/>
            </w:rPr>
            <w:fldChar w:fldCharType="end"/>
          </w:r>
        </w:p>
      </w:tc>
      <w:tc>
        <w:tcPr>
          <w:tcW w:w="669" w:type="dxa"/>
        </w:tcPr>
        <w:p w:rsidR="00394289" w:rsidRPr="007B3B51" w:rsidRDefault="00394289" w:rsidP="00A703E7">
          <w:pPr>
            <w:jc w:val="right"/>
            <w:rPr>
              <w:sz w:val="16"/>
              <w:szCs w:val="16"/>
            </w:rPr>
          </w:pPr>
        </w:p>
      </w:tc>
    </w:tr>
    <w:tr w:rsidR="00394289" w:rsidRPr="0055472E" w:rsidTr="00A703E7">
      <w:tc>
        <w:tcPr>
          <w:tcW w:w="2190" w:type="dxa"/>
          <w:gridSpan w:val="2"/>
        </w:tcPr>
        <w:p w:rsidR="00394289" w:rsidRPr="0055472E" w:rsidRDefault="00394289" w:rsidP="00A703E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71612">
            <w:rPr>
              <w:sz w:val="16"/>
              <w:szCs w:val="16"/>
            </w:rPr>
            <w:t>27</w:t>
          </w:r>
          <w:r w:rsidRPr="0055472E">
            <w:rPr>
              <w:sz w:val="16"/>
              <w:szCs w:val="16"/>
            </w:rPr>
            <w:fldChar w:fldCharType="end"/>
          </w:r>
        </w:p>
      </w:tc>
      <w:tc>
        <w:tcPr>
          <w:tcW w:w="2920" w:type="dxa"/>
        </w:tcPr>
        <w:p w:rsidR="00394289" w:rsidRPr="0055472E" w:rsidRDefault="00394289" w:rsidP="00A703E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71612">
            <w:rPr>
              <w:sz w:val="16"/>
              <w:szCs w:val="16"/>
            </w:rPr>
            <w:t>2/7/17</w:t>
          </w:r>
          <w:r w:rsidRPr="0055472E">
            <w:rPr>
              <w:sz w:val="16"/>
              <w:szCs w:val="16"/>
            </w:rPr>
            <w:fldChar w:fldCharType="end"/>
          </w:r>
        </w:p>
      </w:tc>
      <w:tc>
        <w:tcPr>
          <w:tcW w:w="2193" w:type="dxa"/>
          <w:gridSpan w:val="2"/>
        </w:tcPr>
        <w:p w:rsidR="00394289" w:rsidRPr="0055472E" w:rsidRDefault="00394289" w:rsidP="00A703E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71612">
            <w:rPr>
              <w:sz w:val="16"/>
              <w:szCs w:val="16"/>
            </w:rPr>
            <w:instrText>13/07/2017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71612">
            <w:rPr>
              <w:sz w:val="16"/>
              <w:szCs w:val="16"/>
            </w:rPr>
            <w:instrText>13/7/17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71612">
            <w:rPr>
              <w:noProof/>
              <w:sz w:val="16"/>
              <w:szCs w:val="16"/>
            </w:rPr>
            <w:t>13/7/17</w:t>
          </w:r>
          <w:r w:rsidRPr="0055472E">
            <w:rPr>
              <w:sz w:val="16"/>
              <w:szCs w:val="16"/>
            </w:rPr>
            <w:fldChar w:fldCharType="end"/>
          </w:r>
        </w:p>
      </w:tc>
    </w:tr>
  </w:tbl>
  <w:p w:rsidR="00394289" w:rsidRPr="00A703E7" w:rsidRDefault="00394289" w:rsidP="00A703E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289" w:rsidRPr="007B3B51" w:rsidRDefault="00394289" w:rsidP="00A703E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94289" w:rsidRPr="007B3B51" w:rsidTr="00A703E7">
      <w:tc>
        <w:tcPr>
          <w:tcW w:w="1247" w:type="dxa"/>
        </w:tcPr>
        <w:p w:rsidR="00394289" w:rsidRPr="007B3B51" w:rsidRDefault="00394289" w:rsidP="00A703E7">
          <w:pPr>
            <w:rPr>
              <w:i/>
              <w:sz w:val="16"/>
              <w:szCs w:val="16"/>
            </w:rPr>
          </w:pPr>
        </w:p>
      </w:tc>
      <w:tc>
        <w:tcPr>
          <w:tcW w:w="5387" w:type="dxa"/>
          <w:gridSpan w:val="3"/>
        </w:tcPr>
        <w:p w:rsidR="00394289" w:rsidRPr="007B3B51" w:rsidRDefault="00394289" w:rsidP="00A703E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B795F">
            <w:rPr>
              <w:i/>
              <w:noProof/>
              <w:sz w:val="16"/>
              <w:szCs w:val="16"/>
            </w:rPr>
            <w:t>Superannuation (Government Co-contribution for Low Income Earners) Act 2003</w:t>
          </w:r>
          <w:r w:rsidRPr="007B3B51">
            <w:rPr>
              <w:i/>
              <w:sz w:val="16"/>
              <w:szCs w:val="16"/>
            </w:rPr>
            <w:fldChar w:fldCharType="end"/>
          </w:r>
        </w:p>
      </w:tc>
      <w:tc>
        <w:tcPr>
          <w:tcW w:w="669" w:type="dxa"/>
        </w:tcPr>
        <w:p w:rsidR="00394289" w:rsidRPr="007B3B51" w:rsidRDefault="00394289" w:rsidP="00A703E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B795F">
            <w:rPr>
              <w:i/>
              <w:noProof/>
              <w:sz w:val="16"/>
              <w:szCs w:val="16"/>
            </w:rPr>
            <w:t>51</w:t>
          </w:r>
          <w:r w:rsidRPr="007B3B51">
            <w:rPr>
              <w:i/>
              <w:sz w:val="16"/>
              <w:szCs w:val="16"/>
            </w:rPr>
            <w:fldChar w:fldCharType="end"/>
          </w:r>
        </w:p>
      </w:tc>
    </w:tr>
    <w:tr w:rsidR="00394289" w:rsidRPr="00130F37" w:rsidTr="00A703E7">
      <w:tc>
        <w:tcPr>
          <w:tcW w:w="2190" w:type="dxa"/>
          <w:gridSpan w:val="2"/>
        </w:tcPr>
        <w:p w:rsidR="00394289" w:rsidRPr="00130F37" w:rsidRDefault="00394289" w:rsidP="00A703E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71612">
            <w:rPr>
              <w:sz w:val="16"/>
              <w:szCs w:val="16"/>
            </w:rPr>
            <w:t>27</w:t>
          </w:r>
          <w:r w:rsidRPr="00130F37">
            <w:rPr>
              <w:sz w:val="16"/>
              <w:szCs w:val="16"/>
            </w:rPr>
            <w:fldChar w:fldCharType="end"/>
          </w:r>
        </w:p>
      </w:tc>
      <w:tc>
        <w:tcPr>
          <w:tcW w:w="2920" w:type="dxa"/>
        </w:tcPr>
        <w:p w:rsidR="00394289" w:rsidRPr="00130F37" w:rsidRDefault="00394289" w:rsidP="00A703E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71612">
            <w:rPr>
              <w:sz w:val="16"/>
              <w:szCs w:val="16"/>
            </w:rPr>
            <w:t>2/7/17</w:t>
          </w:r>
          <w:r w:rsidRPr="00130F37">
            <w:rPr>
              <w:sz w:val="16"/>
              <w:szCs w:val="16"/>
            </w:rPr>
            <w:fldChar w:fldCharType="end"/>
          </w:r>
        </w:p>
      </w:tc>
      <w:tc>
        <w:tcPr>
          <w:tcW w:w="2193" w:type="dxa"/>
          <w:gridSpan w:val="2"/>
        </w:tcPr>
        <w:p w:rsidR="00394289" w:rsidRPr="00130F37" w:rsidRDefault="00394289" w:rsidP="00A703E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71612">
            <w:rPr>
              <w:sz w:val="16"/>
              <w:szCs w:val="16"/>
            </w:rPr>
            <w:instrText>13/07/2017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71612">
            <w:rPr>
              <w:sz w:val="16"/>
              <w:szCs w:val="16"/>
            </w:rPr>
            <w:instrText>13/7/17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71612">
            <w:rPr>
              <w:noProof/>
              <w:sz w:val="16"/>
              <w:szCs w:val="16"/>
            </w:rPr>
            <w:t>13/7/17</w:t>
          </w:r>
          <w:r w:rsidRPr="00130F37">
            <w:rPr>
              <w:sz w:val="16"/>
              <w:szCs w:val="16"/>
            </w:rPr>
            <w:fldChar w:fldCharType="end"/>
          </w:r>
        </w:p>
      </w:tc>
    </w:tr>
  </w:tbl>
  <w:p w:rsidR="00394289" w:rsidRPr="00A703E7" w:rsidRDefault="00394289" w:rsidP="00A703E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289" w:rsidRPr="007A1328" w:rsidRDefault="00394289" w:rsidP="006F19B4">
    <w:pPr>
      <w:pBdr>
        <w:top w:val="single" w:sz="6" w:space="1" w:color="auto"/>
      </w:pBdr>
      <w:spacing w:before="120"/>
      <w:rPr>
        <w:sz w:val="18"/>
      </w:rPr>
    </w:pPr>
  </w:p>
  <w:p w:rsidR="00394289" w:rsidRPr="007A1328" w:rsidRDefault="00394289" w:rsidP="006F19B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71612">
      <w:rPr>
        <w:i/>
        <w:noProof/>
        <w:sz w:val="18"/>
      </w:rPr>
      <w:t>Superannuation (Government Co-contribution for Low Income Earners) Act 2003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371612">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59</w:t>
    </w:r>
    <w:r w:rsidRPr="007A1328">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289" w:rsidRPr="007B3B51" w:rsidRDefault="00394289" w:rsidP="00A703E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94289" w:rsidRPr="007B3B51" w:rsidTr="00A703E7">
      <w:tc>
        <w:tcPr>
          <w:tcW w:w="1247" w:type="dxa"/>
        </w:tcPr>
        <w:p w:rsidR="00394289" w:rsidRPr="007B3B51" w:rsidRDefault="00394289" w:rsidP="00A703E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B795F">
            <w:rPr>
              <w:i/>
              <w:noProof/>
              <w:sz w:val="16"/>
              <w:szCs w:val="16"/>
            </w:rPr>
            <w:t>62</w:t>
          </w:r>
          <w:r w:rsidRPr="007B3B51">
            <w:rPr>
              <w:i/>
              <w:sz w:val="16"/>
              <w:szCs w:val="16"/>
            </w:rPr>
            <w:fldChar w:fldCharType="end"/>
          </w:r>
        </w:p>
      </w:tc>
      <w:tc>
        <w:tcPr>
          <w:tcW w:w="5387" w:type="dxa"/>
          <w:gridSpan w:val="3"/>
        </w:tcPr>
        <w:p w:rsidR="00394289" w:rsidRPr="007B3B51" w:rsidRDefault="00394289" w:rsidP="00A703E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B795F">
            <w:rPr>
              <w:i/>
              <w:noProof/>
              <w:sz w:val="16"/>
              <w:szCs w:val="16"/>
            </w:rPr>
            <w:t>Superannuation (Government Co-contribution for Low Income Earners) Act 2003</w:t>
          </w:r>
          <w:r w:rsidRPr="007B3B51">
            <w:rPr>
              <w:i/>
              <w:sz w:val="16"/>
              <w:szCs w:val="16"/>
            </w:rPr>
            <w:fldChar w:fldCharType="end"/>
          </w:r>
        </w:p>
      </w:tc>
      <w:tc>
        <w:tcPr>
          <w:tcW w:w="669" w:type="dxa"/>
        </w:tcPr>
        <w:p w:rsidR="00394289" w:rsidRPr="007B3B51" w:rsidRDefault="00394289" w:rsidP="00A703E7">
          <w:pPr>
            <w:jc w:val="right"/>
            <w:rPr>
              <w:sz w:val="16"/>
              <w:szCs w:val="16"/>
            </w:rPr>
          </w:pPr>
        </w:p>
      </w:tc>
    </w:tr>
    <w:tr w:rsidR="00394289" w:rsidRPr="0055472E" w:rsidTr="00A703E7">
      <w:tc>
        <w:tcPr>
          <w:tcW w:w="2190" w:type="dxa"/>
          <w:gridSpan w:val="2"/>
        </w:tcPr>
        <w:p w:rsidR="00394289" w:rsidRPr="0055472E" w:rsidRDefault="00394289" w:rsidP="00A703E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71612">
            <w:rPr>
              <w:sz w:val="16"/>
              <w:szCs w:val="16"/>
            </w:rPr>
            <w:t>27</w:t>
          </w:r>
          <w:r w:rsidRPr="0055472E">
            <w:rPr>
              <w:sz w:val="16"/>
              <w:szCs w:val="16"/>
            </w:rPr>
            <w:fldChar w:fldCharType="end"/>
          </w:r>
        </w:p>
      </w:tc>
      <w:tc>
        <w:tcPr>
          <w:tcW w:w="2920" w:type="dxa"/>
        </w:tcPr>
        <w:p w:rsidR="00394289" w:rsidRPr="0055472E" w:rsidRDefault="00394289" w:rsidP="00A703E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71612">
            <w:rPr>
              <w:sz w:val="16"/>
              <w:szCs w:val="16"/>
            </w:rPr>
            <w:t>2/7/17</w:t>
          </w:r>
          <w:r w:rsidRPr="0055472E">
            <w:rPr>
              <w:sz w:val="16"/>
              <w:szCs w:val="16"/>
            </w:rPr>
            <w:fldChar w:fldCharType="end"/>
          </w:r>
        </w:p>
      </w:tc>
      <w:tc>
        <w:tcPr>
          <w:tcW w:w="2193" w:type="dxa"/>
          <w:gridSpan w:val="2"/>
        </w:tcPr>
        <w:p w:rsidR="00394289" w:rsidRPr="0055472E" w:rsidRDefault="00394289" w:rsidP="00A703E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71612">
            <w:rPr>
              <w:sz w:val="16"/>
              <w:szCs w:val="16"/>
            </w:rPr>
            <w:instrText>13/07/2017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71612">
            <w:rPr>
              <w:sz w:val="16"/>
              <w:szCs w:val="16"/>
            </w:rPr>
            <w:instrText>13/7/17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71612">
            <w:rPr>
              <w:noProof/>
              <w:sz w:val="16"/>
              <w:szCs w:val="16"/>
            </w:rPr>
            <w:t>13/7/17</w:t>
          </w:r>
          <w:r w:rsidRPr="0055472E">
            <w:rPr>
              <w:sz w:val="16"/>
              <w:szCs w:val="16"/>
            </w:rPr>
            <w:fldChar w:fldCharType="end"/>
          </w:r>
        </w:p>
      </w:tc>
    </w:tr>
  </w:tbl>
  <w:p w:rsidR="00394289" w:rsidRPr="00A703E7" w:rsidRDefault="00394289" w:rsidP="00A703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289" w:rsidRDefault="00394289">
      <w:pPr>
        <w:spacing w:line="240" w:lineRule="auto"/>
      </w:pPr>
      <w:r>
        <w:separator/>
      </w:r>
    </w:p>
  </w:footnote>
  <w:footnote w:type="continuationSeparator" w:id="0">
    <w:p w:rsidR="00394289" w:rsidRDefault="0039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289" w:rsidRDefault="00394289" w:rsidP="008B10DA">
    <w:pPr>
      <w:pStyle w:val="Header"/>
      <w:pBdr>
        <w:bottom w:val="single" w:sz="6" w:space="1" w:color="auto"/>
      </w:pBdr>
    </w:pPr>
  </w:p>
  <w:p w:rsidR="00394289" w:rsidRDefault="00394289" w:rsidP="008B10DA">
    <w:pPr>
      <w:pStyle w:val="Header"/>
      <w:pBdr>
        <w:bottom w:val="single" w:sz="6" w:space="1" w:color="auto"/>
      </w:pBdr>
    </w:pPr>
  </w:p>
  <w:p w:rsidR="00394289" w:rsidRPr="001E77D2" w:rsidRDefault="00394289" w:rsidP="008B10DA">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289" w:rsidRPr="007E528B" w:rsidRDefault="00394289" w:rsidP="006F19B4">
    <w:pPr>
      <w:rPr>
        <w:sz w:val="26"/>
        <w:szCs w:val="26"/>
      </w:rPr>
    </w:pPr>
  </w:p>
  <w:p w:rsidR="00394289" w:rsidRPr="00750516" w:rsidRDefault="00394289" w:rsidP="006F19B4">
    <w:pPr>
      <w:rPr>
        <w:b/>
        <w:sz w:val="20"/>
      </w:rPr>
    </w:pPr>
    <w:r w:rsidRPr="00750516">
      <w:rPr>
        <w:b/>
        <w:sz w:val="20"/>
      </w:rPr>
      <w:t>Endnotes</w:t>
    </w:r>
  </w:p>
  <w:p w:rsidR="00394289" w:rsidRPr="007A1328" w:rsidRDefault="00394289" w:rsidP="006F19B4">
    <w:pPr>
      <w:rPr>
        <w:sz w:val="20"/>
      </w:rPr>
    </w:pPr>
  </w:p>
  <w:p w:rsidR="00394289" w:rsidRPr="007A1328" w:rsidRDefault="00394289" w:rsidP="006F19B4">
    <w:pPr>
      <w:rPr>
        <w:b/>
        <w:sz w:val="24"/>
      </w:rPr>
    </w:pPr>
  </w:p>
  <w:p w:rsidR="00394289" w:rsidRPr="007E528B" w:rsidRDefault="00394289" w:rsidP="006F19B4">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3B795F">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289" w:rsidRPr="007E528B" w:rsidRDefault="00394289" w:rsidP="006F19B4">
    <w:pPr>
      <w:jc w:val="right"/>
      <w:rPr>
        <w:sz w:val="26"/>
        <w:szCs w:val="26"/>
      </w:rPr>
    </w:pPr>
  </w:p>
  <w:p w:rsidR="00394289" w:rsidRPr="00750516" w:rsidRDefault="00394289" w:rsidP="006F19B4">
    <w:pPr>
      <w:jc w:val="right"/>
      <w:rPr>
        <w:b/>
        <w:sz w:val="20"/>
      </w:rPr>
    </w:pPr>
    <w:r w:rsidRPr="00750516">
      <w:rPr>
        <w:b/>
        <w:sz w:val="20"/>
      </w:rPr>
      <w:t>Endnotes</w:t>
    </w:r>
  </w:p>
  <w:p w:rsidR="00394289" w:rsidRPr="007A1328" w:rsidRDefault="00394289" w:rsidP="006F19B4">
    <w:pPr>
      <w:jc w:val="right"/>
      <w:rPr>
        <w:sz w:val="20"/>
      </w:rPr>
    </w:pPr>
  </w:p>
  <w:p w:rsidR="00394289" w:rsidRPr="007A1328" w:rsidRDefault="00394289" w:rsidP="006F19B4">
    <w:pPr>
      <w:jc w:val="right"/>
      <w:rPr>
        <w:b/>
        <w:sz w:val="24"/>
      </w:rPr>
    </w:pPr>
  </w:p>
  <w:p w:rsidR="00394289" w:rsidRPr="007E528B" w:rsidRDefault="00394289" w:rsidP="006F19B4">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3B795F">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289" w:rsidRDefault="00394289" w:rsidP="00F136B1">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94289" w:rsidRDefault="00394289" w:rsidP="00F136B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371612">
      <w:rPr>
        <w:b/>
        <w:noProof/>
        <w:sz w:val="20"/>
      </w:rPr>
      <w:t>Part 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71612">
      <w:rPr>
        <w:noProof/>
        <w:sz w:val="20"/>
      </w:rPr>
      <w:t>Dictionary</w:t>
    </w:r>
    <w:r>
      <w:rPr>
        <w:sz w:val="20"/>
      </w:rPr>
      <w:fldChar w:fldCharType="end"/>
    </w:r>
  </w:p>
  <w:p w:rsidR="00394289" w:rsidRPr="007A1328" w:rsidRDefault="00394289" w:rsidP="00F136B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94289" w:rsidRPr="007A1328" w:rsidRDefault="00394289" w:rsidP="00F136B1">
    <w:pPr>
      <w:rPr>
        <w:b/>
        <w:sz w:val="24"/>
      </w:rPr>
    </w:pPr>
  </w:p>
  <w:p w:rsidR="00394289" w:rsidRPr="007A1328" w:rsidRDefault="00394289" w:rsidP="00F136B1">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71612">
      <w:rPr>
        <w:noProof/>
        <w:sz w:val="24"/>
      </w:rPr>
      <w:t>56</w:t>
    </w:r>
    <w:r w:rsidRPr="007A1328">
      <w:rPr>
        <w:sz w:val="24"/>
      </w:rPr>
      <w:fldChar w:fldCharType="end"/>
    </w:r>
  </w:p>
  <w:p w:rsidR="00394289" w:rsidRPr="00F136B1" w:rsidRDefault="00394289" w:rsidP="00F136B1">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289" w:rsidRPr="007A1328" w:rsidRDefault="00394289" w:rsidP="00F136B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94289" w:rsidRPr="007A1328" w:rsidRDefault="00394289" w:rsidP="00F136B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371612">
      <w:rPr>
        <w:noProof/>
        <w:sz w:val="20"/>
      </w:rPr>
      <w:t>Dictionary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371612">
      <w:rPr>
        <w:b/>
        <w:noProof/>
        <w:sz w:val="20"/>
      </w:rPr>
      <w:t>Part 9</w:t>
    </w:r>
    <w:r>
      <w:rPr>
        <w:b/>
        <w:sz w:val="20"/>
      </w:rPr>
      <w:fldChar w:fldCharType="end"/>
    </w:r>
  </w:p>
  <w:p w:rsidR="00394289" w:rsidRPr="007A1328" w:rsidRDefault="00394289" w:rsidP="00F136B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94289" w:rsidRPr="007A1328" w:rsidRDefault="00394289" w:rsidP="00F136B1">
    <w:pPr>
      <w:jc w:val="right"/>
      <w:rPr>
        <w:b/>
        <w:sz w:val="24"/>
      </w:rPr>
    </w:pPr>
  </w:p>
  <w:p w:rsidR="00394289" w:rsidRPr="007A1328" w:rsidRDefault="00394289" w:rsidP="00F136B1">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71612">
      <w:rPr>
        <w:noProof/>
        <w:sz w:val="24"/>
      </w:rPr>
      <w:t>56</w:t>
    </w:r>
    <w:r w:rsidRPr="007A1328">
      <w:rPr>
        <w:sz w:val="24"/>
      </w:rPr>
      <w:fldChar w:fldCharType="end"/>
    </w:r>
  </w:p>
  <w:p w:rsidR="00394289" w:rsidRPr="00F136B1" w:rsidRDefault="00394289" w:rsidP="00F136B1">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289" w:rsidRPr="007A1328" w:rsidRDefault="00394289" w:rsidP="00F136B1"/>
  <w:p w:rsidR="00394289" w:rsidRPr="00F136B1" w:rsidRDefault="00394289" w:rsidP="00F136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289" w:rsidRDefault="00394289" w:rsidP="008B10DA">
    <w:pPr>
      <w:pStyle w:val="Header"/>
      <w:pBdr>
        <w:bottom w:val="single" w:sz="4" w:space="1" w:color="auto"/>
      </w:pBdr>
    </w:pPr>
  </w:p>
  <w:p w:rsidR="00394289" w:rsidRDefault="00394289" w:rsidP="008B10DA">
    <w:pPr>
      <w:pStyle w:val="Header"/>
      <w:pBdr>
        <w:bottom w:val="single" w:sz="4" w:space="1" w:color="auto"/>
      </w:pBdr>
    </w:pPr>
  </w:p>
  <w:p w:rsidR="00394289" w:rsidRPr="001E77D2" w:rsidRDefault="00394289" w:rsidP="008B10DA">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289" w:rsidRPr="005F1388" w:rsidRDefault="00394289" w:rsidP="008B10DA">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289" w:rsidRPr="00ED79B6" w:rsidRDefault="00394289" w:rsidP="00A703E7">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289" w:rsidRPr="00ED79B6" w:rsidRDefault="00394289" w:rsidP="00A703E7">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289" w:rsidRPr="00ED79B6" w:rsidRDefault="00394289" w:rsidP="006F19B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289" w:rsidRDefault="00394289" w:rsidP="006F19B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94289" w:rsidRDefault="00394289" w:rsidP="006F19B4">
    <w:pPr>
      <w:rPr>
        <w:sz w:val="20"/>
      </w:rPr>
    </w:pPr>
    <w:r w:rsidRPr="007A1328">
      <w:rPr>
        <w:b/>
        <w:sz w:val="20"/>
      </w:rPr>
      <w:fldChar w:fldCharType="begin"/>
    </w:r>
    <w:r w:rsidRPr="007A1328">
      <w:rPr>
        <w:b/>
        <w:sz w:val="20"/>
      </w:rPr>
      <w:instrText xml:space="preserve"> STYLEREF CharPartNo </w:instrText>
    </w:r>
    <w:r w:rsidR="00371612">
      <w:rPr>
        <w:b/>
        <w:sz w:val="20"/>
      </w:rPr>
      <w:fldChar w:fldCharType="separate"/>
    </w:r>
    <w:r w:rsidR="003B795F">
      <w:rPr>
        <w:b/>
        <w:noProof/>
        <w:sz w:val="20"/>
      </w:rPr>
      <w:t>Part 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371612">
      <w:rPr>
        <w:sz w:val="20"/>
      </w:rPr>
      <w:fldChar w:fldCharType="separate"/>
    </w:r>
    <w:r w:rsidR="003B795F">
      <w:rPr>
        <w:noProof/>
        <w:sz w:val="20"/>
      </w:rPr>
      <w:t>Dictionary</w:t>
    </w:r>
    <w:r>
      <w:rPr>
        <w:sz w:val="20"/>
      </w:rPr>
      <w:fldChar w:fldCharType="end"/>
    </w:r>
  </w:p>
  <w:p w:rsidR="00394289" w:rsidRPr="007A1328" w:rsidRDefault="00394289" w:rsidP="006F19B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94289" w:rsidRPr="007A1328" w:rsidRDefault="00394289" w:rsidP="006F19B4">
    <w:pPr>
      <w:rPr>
        <w:b/>
        <w:sz w:val="24"/>
      </w:rPr>
    </w:pPr>
  </w:p>
  <w:p w:rsidR="00394289" w:rsidRPr="007A1328" w:rsidRDefault="00394289" w:rsidP="006F19B4">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B795F">
      <w:rPr>
        <w:noProof/>
        <w:sz w:val="24"/>
      </w:rPr>
      <w:t>56</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289" w:rsidRPr="007A1328" w:rsidRDefault="00394289" w:rsidP="006F19B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94289" w:rsidRPr="007A1328" w:rsidRDefault="00394289" w:rsidP="006F19B4">
    <w:pPr>
      <w:jc w:val="right"/>
      <w:rPr>
        <w:sz w:val="20"/>
      </w:rPr>
    </w:pPr>
    <w:r w:rsidRPr="007A1328">
      <w:rPr>
        <w:sz w:val="20"/>
      </w:rPr>
      <w:fldChar w:fldCharType="begin"/>
    </w:r>
    <w:r w:rsidRPr="007A1328">
      <w:rPr>
        <w:sz w:val="20"/>
      </w:rPr>
      <w:instrText xml:space="preserve"> STYLEREF CharPartText </w:instrText>
    </w:r>
    <w:r w:rsidR="00371612">
      <w:rPr>
        <w:sz w:val="20"/>
      </w:rPr>
      <w:fldChar w:fldCharType="separate"/>
    </w:r>
    <w:r w:rsidR="003B795F">
      <w:rPr>
        <w:noProof/>
        <w:sz w:val="20"/>
      </w:rPr>
      <w:t>Dictionary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371612">
      <w:rPr>
        <w:b/>
        <w:sz w:val="20"/>
      </w:rPr>
      <w:fldChar w:fldCharType="separate"/>
    </w:r>
    <w:r w:rsidR="003B795F">
      <w:rPr>
        <w:b/>
        <w:noProof/>
        <w:sz w:val="20"/>
      </w:rPr>
      <w:t>Part 9</w:t>
    </w:r>
    <w:r>
      <w:rPr>
        <w:b/>
        <w:sz w:val="20"/>
      </w:rPr>
      <w:fldChar w:fldCharType="end"/>
    </w:r>
  </w:p>
  <w:p w:rsidR="00394289" w:rsidRPr="007A1328" w:rsidRDefault="00394289" w:rsidP="006F19B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94289" w:rsidRPr="007A1328" w:rsidRDefault="00394289" w:rsidP="006F19B4">
    <w:pPr>
      <w:jc w:val="right"/>
      <w:rPr>
        <w:b/>
        <w:sz w:val="24"/>
      </w:rPr>
    </w:pPr>
  </w:p>
  <w:p w:rsidR="00394289" w:rsidRPr="007A1328" w:rsidRDefault="00394289" w:rsidP="006F19B4">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B795F">
      <w:rPr>
        <w:noProof/>
        <w:sz w:val="24"/>
      </w:rPr>
      <w:t>56</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289" w:rsidRPr="007A1328" w:rsidRDefault="00394289" w:rsidP="006F19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04757A2"/>
    <w:multiLevelType w:val="multilevel"/>
    <w:tmpl w:val="0C09001D"/>
    <w:numStyleLink w:val="1ai"/>
  </w:abstractNum>
  <w:abstractNum w:abstractNumId="31">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26C0C4E"/>
    <w:multiLevelType w:val="singleLevel"/>
    <w:tmpl w:val="D10AEAB8"/>
    <w:lvl w:ilvl="0">
      <w:start w:val="1"/>
      <w:numFmt w:val="decimal"/>
      <w:lvlText w:val="%1"/>
      <w:lvlJc w:val="left"/>
      <w:pPr>
        <w:tabs>
          <w:tab w:val="num" w:pos="360"/>
        </w:tabs>
        <w:ind w:left="0" w:firstLine="0"/>
      </w:pPr>
    </w:lvl>
  </w:abstractNum>
  <w:abstractNum w:abstractNumId="33">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E5455E3"/>
    <w:multiLevelType w:val="multilevel"/>
    <w:tmpl w:val="0C09001D"/>
    <w:numStyleLink w:val="1ai"/>
  </w:abstractNum>
  <w:abstractNum w:abstractNumId="38">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5"/>
  </w:num>
  <w:num w:numId="3">
    <w:abstractNumId w:val="14"/>
  </w:num>
  <w:num w:numId="4">
    <w:abstractNumId w:val="34"/>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7"/>
  </w:num>
  <w:num w:numId="30">
    <w:abstractNumId w:val="18"/>
  </w:num>
  <w:num w:numId="31">
    <w:abstractNumId w:val="30"/>
  </w:num>
  <w:num w:numId="32">
    <w:abstractNumId w:val="20"/>
  </w:num>
  <w:num w:numId="33">
    <w:abstractNumId w:val="13"/>
  </w:num>
  <w:num w:numId="34">
    <w:abstractNumId w:val="35"/>
  </w:num>
  <w:num w:numId="35">
    <w:abstractNumId w:val="38"/>
  </w:num>
  <w:num w:numId="36">
    <w:abstractNumId w:val="33"/>
  </w:num>
  <w:num w:numId="37">
    <w:abstractNumId w:val="17"/>
  </w:num>
  <w:num w:numId="38">
    <w:abstractNumId w:val="31"/>
  </w:num>
  <w:num w:numId="39">
    <w:abstractNumId w:val="11"/>
  </w:num>
  <w:num w:numId="40">
    <w:abstractNumId w:val="24"/>
  </w:num>
  <w:num w:numId="41">
    <w:abstractNumId w:val="36"/>
  </w:num>
  <w:num w:numId="42">
    <w:abstractNumId w:val="26"/>
  </w:num>
  <w:num w:numId="43">
    <w:abstractNumId w:val="22"/>
  </w:num>
  <w:num w:numId="44">
    <w:abstractNumId w:val="10"/>
  </w:num>
  <w:num w:numId="45">
    <w:abstractNumId w:val="27"/>
  </w:num>
  <w:num w:numId="46">
    <w:abstractNumId w:val="32"/>
  </w:num>
  <w:num w:numId="47">
    <w:abstractNumId w:val="21"/>
  </w:num>
  <w:num w:numId="48">
    <w:abstractNumId w:val="12"/>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1501"/>
    <w:rsid w:val="00002474"/>
    <w:rsid w:val="00002E35"/>
    <w:rsid w:val="00002E9D"/>
    <w:rsid w:val="00010CB9"/>
    <w:rsid w:val="00013D46"/>
    <w:rsid w:val="0002021D"/>
    <w:rsid w:val="00027F24"/>
    <w:rsid w:val="0003125E"/>
    <w:rsid w:val="00041453"/>
    <w:rsid w:val="000458F6"/>
    <w:rsid w:val="00052410"/>
    <w:rsid w:val="00053C3A"/>
    <w:rsid w:val="00061A97"/>
    <w:rsid w:val="00063A86"/>
    <w:rsid w:val="00070E70"/>
    <w:rsid w:val="00073101"/>
    <w:rsid w:val="00075DD4"/>
    <w:rsid w:val="0009260E"/>
    <w:rsid w:val="0009469D"/>
    <w:rsid w:val="000A2577"/>
    <w:rsid w:val="000A42A1"/>
    <w:rsid w:val="000A5467"/>
    <w:rsid w:val="000A6B36"/>
    <w:rsid w:val="000A7E68"/>
    <w:rsid w:val="000B008A"/>
    <w:rsid w:val="000B3504"/>
    <w:rsid w:val="000B4FDD"/>
    <w:rsid w:val="000C6F97"/>
    <w:rsid w:val="000C7E67"/>
    <w:rsid w:val="000D01B5"/>
    <w:rsid w:val="000E0CCA"/>
    <w:rsid w:val="000E137B"/>
    <w:rsid w:val="000E166C"/>
    <w:rsid w:val="000E677B"/>
    <w:rsid w:val="000F183C"/>
    <w:rsid w:val="000F3382"/>
    <w:rsid w:val="00112AA4"/>
    <w:rsid w:val="00116CAC"/>
    <w:rsid w:val="00123B38"/>
    <w:rsid w:val="00127C73"/>
    <w:rsid w:val="0013120B"/>
    <w:rsid w:val="00133D57"/>
    <w:rsid w:val="001426B9"/>
    <w:rsid w:val="001510A5"/>
    <w:rsid w:val="00154A14"/>
    <w:rsid w:val="00157B5A"/>
    <w:rsid w:val="00160BE1"/>
    <w:rsid w:val="0016576C"/>
    <w:rsid w:val="00167881"/>
    <w:rsid w:val="001718EF"/>
    <w:rsid w:val="00172C04"/>
    <w:rsid w:val="00176DB9"/>
    <w:rsid w:val="00177DBB"/>
    <w:rsid w:val="001810A3"/>
    <w:rsid w:val="00182E26"/>
    <w:rsid w:val="00183CC6"/>
    <w:rsid w:val="001849BC"/>
    <w:rsid w:val="00185D56"/>
    <w:rsid w:val="001A69FE"/>
    <w:rsid w:val="001B31D8"/>
    <w:rsid w:val="001B4071"/>
    <w:rsid w:val="001B5538"/>
    <w:rsid w:val="001B5915"/>
    <w:rsid w:val="001B5D3A"/>
    <w:rsid w:val="001C4E9D"/>
    <w:rsid w:val="001E14E0"/>
    <w:rsid w:val="001E14F1"/>
    <w:rsid w:val="001E6A80"/>
    <w:rsid w:val="001F140F"/>
    <w:rsid w:val="002001E2"/>
    <w:rsid w:val="00204BA1"/>
    <w:rsid w:val="00207F78"/>
    <w:rsid w:val="00211833"/>
    <w:rsid w:val="00213F8F"/>
    <w:rsid w:val="002144D0"/>
    <w:rsid w:val="0021485F"/>
    <w:rsid w:val="00215433"/>
    <w:rsid w:val="00221348"/>
    <w:rsid w:val="00233648"/>
    <w:rsid w:val="00235CB9"/>
    <w:rsid w:val="002505D8"/>
    <w:rsid w:val="002527B1"/>
    <w:rsid w:val="00252CFD"/>
    <w:rsid w:val="00263FF0"/>
    <w:rsid w:val="00276DB2"/>
    <w:rsid w:val="0028439E"/>
    <w:rsid w:val="00286AF8"/>
    <w:rsid w:val="002911BC"/>
    <w:rsid w:val="00292641"/>
    <w:rsid w:val="00293C03"/>
    <w:rsid w:val="002941A0"/>
    <w:rsid w:val="00295EA9"/>
    <w:rsid w:val="002A0978"/>
    <w:rsid w:val="002A16F8"/>
    <w:rsid w:val="002A21E1"/>
    <w:rsid w:val="002A2B3A"/>
    <w:rsid w:val="002B05EA"/>
    <w:rsid w:val="002B1A7A"/>
    <w:rsid w:val="002B2F12"/>
    <w:rsid w:val="002B4157"/>
    <w:rsid w:val="002C0F07"/>
    <w:rsid w:val="002C1352"/>
    <w:rsid w:val="002C21E5"/>
    <w:rsid w:val="002C5E82"/>
    <w:rsid w:val="002C62FA"/>
    <w:rsid w:val="002E4EF4"/>
    <w:rsid w:val="002E6351"/>
    <w:rsid w:val="002E78F4"/>
    <w:rsid w:val="002F143A"/>
    <w:rsid w:val="002F4B2C"/>
    <w:rsid w:val="002F5816"/>
    <w:rsid w:val="002F5B83"/>
    <w:rsid w:val="002F5BD9"/>
    <w:rsid w:val="003019D6"/>
    <w:rsid w:val="0030535A"/>
    <w:rsid w:val="003134D9"/>
    <w:rsid w:val="003145E9"/>
    <w:rsid w:val="00315458"/>
    <w:rsid w:val="00317D91"/>
    <w:rsid w:val="00322BA4"/>
    <w:rsid w:val="00323A38"/>
    <w:rsid w:val="00323BB9"/>
    <w:rsid w:val="00324408"/>
    <w:rsid w:val="00327646"/>
    <w:rsid w:val="00327F8A"/>
    <w:rsid w:val="003336B6"/>
    <w:rsid w:val="003355AA"/>
    <w:rsid w:val="0034589A"/>
    <w:rsid w:val="00364904"/>
    <w:rsid w:val="003707C4"/>
    <w:rsid w:val="00371612"/>
    <w:rsid w:val="00373CA3"/>
    <w:rsid w:val="003819EF"/>
    <w:rsid w:val="00381AB0"/>
    <w:rsid w:val="00392615"/>
    <w:rsid w:val="00394289"/>
    <w:rsid w:val="003949A7"/>
    <w:rsid w:val="003970EE"/>
    <w:rsid w:val="003A058A"/>
    <w:rsid w:val="003A31CC"/>
    <w:rsid w:val="003B02C0"/>
    <w:rsid w:val="003B02FC"/>
    <w:rsid w:val="003B034F"/>
    <w:rsid w:val="003B19CD"/>
    <w:rsid w:val="003B37C2"/>
    <w:rsid w:val="003B764D"/>
    <w:rsid w:val="003B795F"/>
    <w:rsid w:val="003C0C1D"/>
    <w:rsid w:val="003C5AD2"/>
    <w:rsid w:val="003C6B86"/>
    <w:rsid w:val="003D08D3"/>
    <w:rsid w:val="003D42C2"/>
    <w:rsid w:val="003D4ABA"/>
    <w:rsid w:val="003D7993"/>
    <w:rsid w:val="003E403A"/>
    <w:rsid w:val="003E552A"/>
    <w:rsid w:val="003E5EEF"/>
    <w:rsid w:val="003F08A1"/>
    <w:rsid w:val="003F3145"/>
    <w:rsid w:val="0040127E"/>
    <w:rsid w:val="00402231"/>
    <w:rsid w:val="00405E13"/>
    <w:rsid w:val="00406D50"/>
    <w:rsid w:val="00414609"/>
    <w:rsid w:val="00415A4F"/>
    <w:rsid w:val="004243BD"/>
    <w:rsid w:val="00424565"/>
    <w:rsid w:val="00432AAA"/>
    <w:rsid w:val="0044222B"/>
    <w:rsid w:val="004442B7"/>
    <w:rsid w:val="0046354E"/>
    <w:rsid w:val="004636DD"/>
    <w:rsid w:val="00464949"/>
    <w:rsid w:val="00464DD7"/>
    <w:rsid w:val="00467D87"/>
    <w:rsid w:val="00480769"/>
    <w:rsid w:val="00485AE7"/>
    <w:rsid w:val="00490F42"/>
    <w:rsid w:val="004918A6"/>
    <w:rsid w:val="00493748"/>
    <w:rsid w:val="0049595A"/>
    <w:rsid w:val="00496181"/>
    <w:rsid w:val="004A4139"/>
    <w:rsid w:val="004A48C9"/>
    <w:rsid w:val="004B1453"/>
    <w:rsid w:val="004B33FC"/>
    <w:rsid w:val="004C0C71"/>
    <w:rsid w:val="004C1CF6"/>
    <w:rsid w:val="004E49F4"/>
    <w:rsid w:val="004E52A6"/>
    <w:rsid w:val="004E5C33"/>
    <w:rsid w:val="004E7C57"/>
    <w:rsid w:val="004F35C8"/>
    <w:rsid w:val="004F5B0B"/>
    <w:rsid w:val="004F5DE2"/>
    <w:rsid w:val="004F74A7"/>
    <w:rsid w:val="0050789C"/>
    <w:rsid w:val="00512768"/>
    <w:rsid w:val="00514DD2"/>
    <w:rsid w:val="0051522C"/>
    <w:rsid w:val="005173E0"/>
    <w:rsid w:val="005200F6"/>
    <w:rsid w:val="00531C6E"/>
    <w:rsid w:val="00532DDC"/>
    <w:rsid w:val="00535A57"/>
    <w:rsid w:val="0053605A"/>
    <w:rsid w:val="005428C0"/>
    <w:rsid w:val="00545D1C"/>
    <w:rsid w:val="00566935"/>
    <w:rsid w:val="00571CB9"/>
    <w:rsid w:val="005761B2"/>
    <w:rsid w:val="005862B0"/>
    <w:rsid w:val="00586768"/>
    <w:rsid w:val="00592A38"/>
    <w:rsid w:val="005944C4"/>
    <w:rsid w:val="00595EDC"/>
    <w:rsid w:val="005979DC"/>
    <w:rsid w:val="005A2685"/>
    <w:rsid w:val="005B2CC5"/>
    <w:rsid w:val="005B3CB5"/>
    <w:rsid w:val="005B473B"/>
    <w:rsid w:val="005B622A"/>
    <w:rsid w:val="005B6C63"/>
    <w:rsid w:val="005C0E6A"/>
    <w:rsid w:val="005C1F77"/>
    <w:rsid w:val="005C22A9"/>
    <w:rsid w:val="005C3129"/>
    <w:rsid w:val="005C53A8"/>
    <w:rsid w:val="005D0B82"/>
    <w:rsid w:val="005F0FC8"/>
    <w:rsid w:val="005F1917"/>
    <w:rsid w:val="00601F7E"/>
    <w:rsid w:val="0060268A"/>
    <w:rsid w:val="00606574"/>
    <w:rsid w:val="006106FF"/>
    <w:rsid w:val="006130E9"/>
    <w:rsid w:val="00613F2D"/>
    <w:rsid w:val="00617613"/>
    <w:rsid w:val="00630A75"/>
    <w:rsid w:val="006408C2"/>
    <w:rsid w:val="00642B66"/>
    <w:rsid w:val="00642E67"/>
    <w:rsid w:val="00644628"/>
    <w:rsid w:val="006447F9"/>
    <w:rsid w:val="0065541F"/>
    <w:rsid w:val="00655F24"/>
    <w:rsid w:val="00656C1F"/>
    <w:rsid w:val="00656CF9"/>
    <w:rsid w:val="00660FFA"/>
    <w:rsid w:val="006661E0"/>
    <w:rsid w:val="00675138"/>
    <w:rsid w:val="006764B4"/>
    <w:rsid w:val="00677B4A"/>
    <w:rsid w:val="006805F2"/>
    <w:rsid w:val="006846F5"/>
    <w:rsid w:val="00686E93"/>
    <w:rsid w:val="00690CA6"/>
    <w:rsid w:val="00694573"/>
    <w:rsid w:val="006A08D0"/>
    <w:rsid w:val="006A28BB"/>
    <w:rsid w:val="006A3BD1"/>
    <w:rsid w:val="006A5342"/>
    <w:rsid w:val="006A5C11"/>
    <w:rsid w:val="006A7178"/>
    <w:rsid w:val="006B29E3"/>
    <w:rsid w:val="006B2E03"/>
    <w:rsid w:val="006B43C7"/>
    <w:rsid w:val="006B5C73"/>
    <w:rsid w:val="006B6461"/>
    <w:rsid w:val="006C27B4"/>
    <w:rsid w:val="006D26ED"/>
    <w:rsid w:val="006E0548"/>
    <w:rsid w:val="006E0F72"/>
    <w:rsid w:val="006E1790"/>
    <w:rsid w:val="006E1AC9"/>
    <w:rsid w:val="006E3B0C"/>
    <w:rsid w:val="006E6762"/>
    <w:rsid w:val="006F0FBE"/>
    <w:rsid w:val="006F19B4"/>
    <w:rsid w:val="006F33AD"/>
    <w:rsid w:val="006F509A"/>
    <w:rsid w:val="007066F4"/>
    <w:rsid w:val="0071110F"/>
    <w:rsid w:val="0071234D"/>
    <w:rsid w:val="00722F41"/>
    <w:rsid w:val="00730B9D"/>
    <w:rsid w:val="007330E0"/>
    <w:rsid w:val="00740D1E"/>
    <w:rsid w:val="00746642"/>
    <w:rsid w:val="00752FD5"/>
    <w:rsid w:val="0076065F"/>
    <w:rsid w:val="00767D85"/>
    <w:rsid w:val="00770407"/>
    <w:rsid w:val="00771C84"/>
    <w:rsid w:val="00776C3F"/>
    <w:rsid w:val="00784709"/>
    <w:rsid w:val="00791550"/>
    <w:rsid w:val="00793B51"/>
    <w:rsid w:val="0079625D"/>
    <w:rsid w:val="007A0BFD"/>
    <w:rsid w:val="007A12BD"/>
    <w:rsid w:val="007B3128"/>
    <w:rsid w:val="007B7959"/>
    <w:rsid w:val="007C7427"/>
    <w:rsid w:val="007C7951"/>
    <w:rsid w:val="007D2378"/>
    <w:rsid w:val="007E3A7A"/>
    <w:rsid w:val="007F0C6D"/>
    <w:rsid w:val="007F1FF4"/>
    <w:rsid w:val="007F2614"/>
    <w:rsid w:val="00800A83"/>
    <w:rsid w:val="0080222D"/>
    <w:rsid w:val="00806F30"/>
    <w:rsid w:val="00811A5C"/>
    <w:rsid w:val="008225A7"/>
    <w:rsid w:val="00826FA4"/>
    <w:rsid w:val="00831C81"/>
    <w:rsid w:val="00834BE7"/>
    <w:rsid w:val="00834CFA"/>
    <w:rsid w:val="00836297"/>
    <w:rsid w:val="00836A73"/>
    <w:rsid w:val="0084572C"/>
    <w:rsid w:val="008476B8"/>
    <w:rsid w:val="00856E70"/>
    <w:rsid w:val="008641C0"/>
    <w:rsid w:val="0086439E"/>
    <w:rsid w:val="00867298"/>
    <w:rsid w:val="00870109"/>
    <w:rsid w:val="00880357"/>
    <w:rsid w:val="0088191C"/>
    <w:rsid w:val="00885366"/>
    <w:rsid w:val="00891399"/>
    <w:rsid w:val="00892435"/>
    <w:rsid w:val="008A21CE"/>
    <w:rsid w:val="008B10DA"/>
    <w:rsid w:val="008B5EFC"/>
    <w:rsid w:val="008B621D"/>
    <w:rsid w:val="008B6C45"/>
    <w:rsid w:val="008C309E"/>
    <w:rsid w:val="008C6ADB"/>
    <w:rsid w:val="008C7AFD"/>
    <w:rsid w:val="008D1112"/>
    <w:rsid w:val="008D2E61"/>
    <w:rsid w:val="008E6AEC"/>
    <w:rsid w:val="008E7D06"/>
    <w:rsid w:val="008F1A1F"/>
    <w:rsid w:val="00903F0B"/>
    <w:rsid w:val="00904D5F"/>
    <w:rsid w:val="00906688"/>
    <w:rsid w:val="0090787B"/>
    <w:rsid w:val="00911F79"/>
    <w:rsid w:val="009202C2"/>
    <w:rsid w:val="00924D39"/>
    <w:rsid w:val="00934FF1"/>
    <w:rsid w:val="0093622F"/>
    <w:rsid w:val="00936967"/>
    <w:rsid w:val="00940902"/>
    <w:rsid w:val="00941670"/>
    <w:rsid w:val="00947F21"/>
    <w:rsid w:val="009616AC"/>
    <w:rsid w:val="00961CDF"/>
    <w:rsid w:val="00964802"/>
    <w:rsid w:val="00966EDD"/>
    <w:rsid w:val="00967D1C"/>
    <w:rsid w:val="0097346C"/>
    <w:rsid w:val="009776D5"/>
    <w:rsid w:val="00994E4D"/>
    <w:rsid w:val="009A01FA"/>
    <w:rsid w:val="009A083A"/>
    <w:rsid w:val="009A30A0"/>
    <w:rsid w:val="009A7D64"/>
    <w:rsid w:val="009B6259"/>
    <w:rsid w:val="009C082E"/>
    <w:rsid w:val="009C3273"/>
    <w:rsid w:val="009C4199"/>
    <w:rsid w:val="009C46F1"/>
    <w:rsid w:val="009C6061"/>
    <w:rsid w:val="009D48A5"/>
    <w:rsid w:val="009D7E35"/>
    <w:rsid w:val="009E0D41"/>
    <w:rsid w:val="009E168F"/>
    <w:rsid w:val="009E6350"/>
    <w:rsid w:val="009E651F"/>
    <w:rsid w:val="009F245B"/>
    <w:rsid w:val="009F2817"/>
    <w:rsid w:val="00A015D3"/>
    <w:rsid w:val="00A022D2"/>
    <w:rsid w:val="00A02A5D"/>
    <w:rsid w:val="00A03CFA"/>
    <w:rsid w:val="00A0538C"/>
    <w:rsid w:val="00A127C7"/>
    <w:rsid w:val="00A13BF5"/>
    <w:rsid w:val="00A14322"/>
    <w:rsid w:val="00A1791C"/>
    <w:rsid w:val="00A206BC"/>
    <w:rsid w:val="00A23180"/>
    <w:rsid w:val="00A31FB1"/>
    <w:rsid w:val="00A32BA4"/>
    <w:rsid w:val="00A32D31"/>
    <w:rsid w:val="00A45980"/>
    <w:rsid w:val="00A5622D"/>
    <w:rsid w:val="00A62C0F"/>
    <w:rsid w:val="00A63CAD"/>
    <w:rsid w:val="00A703E7"/>
    <w:rsid w:val="00A72EC7"/>
    <w:rsid w:val="00A75A8C"/>
    <w:rsid w:val="00A769F6"/>
    <w:rsid w:val="00A76D91"/>
    <w:rsid w:val="00A77092"/>
    <w:rsid w:val="00A90BDE"/>
    <w:rsid w:val="00A924B7"/>
    <w:rsid w:val="00A93AB4"/>
    <w:rsid w:val="00A95890"/>
    <w:rsid w:val="00AA051C"/>
    <w:rsid w:val="00AA5F7D"/>
    <w:rsid w:val="00AB0884"/>
    <w:rsid w:val="00AB1BFC"/>
    <w:rsid w:val="00AB1DBA"/>
    <w:rsid w:val="00AB7153"/>
    <w:rsid w:val="00AC2B9B"/>
    <w:rsid w:val="00AC46C0"/>
    <w:rsid w:val="00AD0EEF"/>
    <w:rsid w:val="00AD5267"/>
    <w:rsid w:val="00AD5D83"/>
    <w:rsid w:val="00AD6044"/>
    <w:rsid w:val="00AE0824"/>
    <w:rsid w:val="00AE21AE"/>
    <w:rsid w:val="00AF36AA"/>
    <w:rsid w:val="00AF489E"/>
    <w:rsid w:val="00AF5682"/>
    <w:rsid w:val="00AF5B5C"/>
    <w:rsid w:val="00AF728F"/>
    <w:rsid w:val="00B015A8"/>
    <w:rsid w:val="00B02EF0"/>
    <w:rsid w:val="00B07A5E"/>
    <w:rsid w:val="00B15D89"/>
    <w:rsid w:val="00B16DED"/>
    <w:rsid w:val="00B17049"/>
    <w:rsid w:val="00B2028F"/>
    <w:rsid w:val="00B3202C"/>
    <w:rsid w:val="00B33CE6"/>
    <w:rsid w:val="00B35036"/>
    <w:rsid w:val="00B3715D"/>
    <w:rsid w:val="00B372F7"/>
    <w:rsid w:val="00B373B8"/>
    <w:rsid w:val="00B37871"/>
    <w:rsid w:val="00B422D2"/>
    <w:rsid w:val="00B4302C"/>
    <w:rsid w:val="00B452F4"/>
    <w:rsid w:val="00B47D62"/>
    <w:rsid w:val="00B47FB7"/>
    <w:rsid w:val="00B51019"/>
    <w:rsid w:val="00B54F2F"/>
    <w:rsid w:val="00B556E6"/>
    <w:rsid w:val="00B74581"/>
    <w:rsid w:val="00B76329"/>
    <w:rsid w:val="00B811ED"/>
    <w:rsid w:val="00B83955"/>
    <w:rsid w:val="00B904CB"/>
    <w:rsid w:val="00B93DA9"/>
    <w:rsid w:val="00B9697F"/>
    <w:rsid w:val="00BA2ABA"/>
    <w:rsid w:val="00BA3BDD"/>
    <w:rsid w:val="00BB3950"/>
    <w:rsid w:val="00BB6F32"/>
    <w:rsid w:val="00BB72AE"/>
    <w:rsid w:val="00BC0635"/>
    <w:rsid w:val="00BC2D1E"/>
    <w:rsid w:val="00BC6703"/>
    <w:rsid w:val="00BD1789"/>
    <w:rsid w:val="00BD1C1B"/>
    <w:rsid w:val="00BD47A6"/>
    <w:rsid w:val="00BD574A"/>
    <w:rsid w:val="00BE0568"/>
    <w:rsid w:val="00BE0FB2"/>
    <w:rsid w:val="00BE2406"/>
    <w:rsid w:val="00BE45C6"/>
    <w:rsid w:val="00BF5305"/>
    <w:rsid w:val="00BF6EC5"/>
    <w:rsid w:val="00C00388"/>
    <w:rsid w:val="00C007AD"/>
    <w:rsid w:val="00C010D8"/>
    <w:rsid w:val="00C063A3"/>
    <w:rsid w:val="00C167C8"/>
    <w:rsid w:val="00C23E76"/>
    <w:rsid w:val="00C24B20"/>
    <w:rsid w:val="00C449A2"/>
    <w:rsid w:val="00C5397A"/>
    <w:rsid w:val="00C62480"/>
    <w:rsid w:val="00C62B95"/>
    <w:rsid w:val="00C63D02"/>
    <w:rsid w:val="00C676C5"/>
    <w:rsid w:val="00C761A2"/>
    <w:rsid w:val="00C761CB"/>
    <w:rsid w:val="00C83F74"/>
    <w:rsid w:val="00C85125"/>
    <w:rsid w:val="00C96196"/>
    <w:rsid w:val="00CA1758"/>
    <w:rsid w:val="00CA6E41"/>
    <w:rsid w:val="00CA733C"/>
    <w:rsid w:val="00CB4CF1"/>
    <w:rsid w:val="00CC35B7"/>
    <w:rsid w:val="00CC4AFB"/>
    <w:rsid w:val="00CC76FE"/>
    <w:rsid w:val="00CD7B07"/>
    <w:rsid w:val="00CE0573"/>
    <w:rsid w:val="00CF5852"/>
    <w:rsid w:val="00D01377"/>
    <w:rsid w:val="00D06263"/>
    <w:rsid w:val="00D10F84"/>
    <w:rsid w:val="00D226FB"/>
    <w:rsid w:val="00D2395E"/>
    <w:rsid w:val="00D23BE6"/>
    <w:rsid w:val="00D27A53"/>
    <w:rsid w:val="00D3414A"/>
    <w:rsid w:val="00D35A88"/>
    <w:rsid w:val="00D37FF5"/>
    <w:rsid w:val="00D51F6F"/>
    <w:rsid w:val="00D55587"/>
    <w:rsid w:val="00D568BB"/>
    <w:rsid w:val="00D575FB"/>
    <w:rsid w:val="00D62705"/>
    <w:rsid w:val="00D673FD"/>
    <w:rsid w:val="00D701BF"/>
    <w:rsid w:val="00D7445A"/>
    <w:rsid w:val="00D76191"/>
    <w:rsid w:val="00D80377"/>
    <w:rsid w:val="00D807E9"/>
    <w:rsid w:val="00D80ADD"/>
    <w:rsid w:val="00D819B6"/>
    <w:rsid w:val="00D84EA0"/>
    <w:rsid w:val="00D86AB1"/>
    <w:rsid w:val="00D8719B"/>
    <w:rsid w:val="00DA69AB"/>
    <w:rsid w:val="00DA72F3"/>
    <w:rsid w:val="00DB7E70"/>
    <w:rsid w:val="00DC0886"/>
    <w:rsid w:val="00DC2FD5"/>
    <w:rsid w:val="00DC602F"/>
    <w:rsid w:val="00DD0662"/>
    <w:rsid w:val="00DD7998"/>
    <w:rsid w:val="00DE0F4A"/>
    <w:rsid w:val="00DE2EF6"/>
    <w:rsid w:val="00DE3E0C"/>
    <w:rsid w:val="00DE6CE2"/>
    <w:rsid w:val="00DF2AF9"/>
    <w:rsid w:val="00DF59CC"/>
    <w:rsid w:val="00DF79AB"/>
    <w:rsid w:val="00E02F97"/>
    <w:rsid w:val="00E100E8"/>
    <w:rsid w:val="00E10937"/>
    <w:rsid w:val="00E13612"/>
    <w:rsid w:val="00E13A1D"/>
    <w:rsid w:val="00E21674"/>
    <w:rsid w:val="00E26600"/>
    <w:rsid w:val="00E268A6"/>
    <w:rsid w:val="00E31836"/>
    <w:rsid w:val="00E32347"/>
    <w:rsid w:val="00E32966"/>
    <w:rsid w:val="00E37E8F"/>
    <w:rsid w:val="00E4069C"/>
    <w:rsid w:val="00E42BA4"/>
    <w:rsid w:val="00E47FA5"/>
    <w:rsid w:val="00E565CE"/>
    <w:rsid w:val="00E629F4"/>
    <w:rsid w:val="00E654BE"/>
    <w:rsid w:val="00E71267"/>
    <w:rsid w:val="00E74774"/>
    <w:rsid w:val="00E750C9"/>
    <w:rsid w:val="00E77B09"/>
    <w:rsid w:val="00E848F1"/>
    <w:rsid w:val="00E9121B"/>
    <w:rsid w:val="00EA1D53"/>
    <w:rsid w:val="00EA4177"/>
    <w:rsid w:val="00EA5478"/>
    <w:rsid w:val="00EB01CB"/>
    <w:rsid w:val="00EC440B"/>
    <w:rsid w:val="00EE716F"/>
    <w:rsid w:val="00EF0726"/>
    <w:rsid w:val="00EF4DCF"/>
    <w:rsid w:val="00F1165E"/>
    <w:rsid w:val="00F136B1"/>
    <w:rsid w:val="00F26C69"/>
    <w:rsid w:val="00F31542"/>
    <w:rsid w:val="00F33552"/>
    <w:rsid w:val="00F34286"/>
    <w:rsid w:val="00F34446"/>
    <w:rsid w:val="00F432E5"/>
    <w:rsid w:val="00F4438C"/>
    <w:rsid w:val="00F4501C"/>
    <w:rsid w:val="00F53A2A"/>
    <w:rsid w:val="00F55286"/>
    <w:rsid w:val="00F64012"/>
    <w:rsid w:val="00F83C81"/>
    <w:rsid w:val="00F84199"/>
    <w:rsid w:val="00F910D5"/>
    <w:rsid w:val="00F92889"/>
    <w:rsid w:val="00F93624"/>
    <w:rsid w:val="00F939F0"/>
    <w:rsid w:val="00F93D1F"/>
    <w:rsid w:val="00F96417"/>
    <w:rsid w:val="00FA0071"/>
    <w:rsid w:val="00FA00FC"/>
    <w:rsid w:val="00FA2920"/>
    <w:rsid w:val="00FA3B43"/>
    <w:rsid w:val="00FA3F9E"/>
    <w:rsid w:val="00FA4CEF"/>
    <w:rsid w:val="00FA4CFF"/>
    <w:rsid w:val="00FB3203"/>
    <w:rsid w:val="00FB6D82"/>
    <w:rsid w:val="00FC0982"/>
    <w:rsid w:val="00FC26DF"/>
    <w:rsid w:val="00FC79A6"/>
    <w:rsid w:val="00FC7F9D"/>
    <w:rsid w:val="00FD22BE"/>
    <w:rsid w:val="00FE2139"/>
    <w:rsid w:val="00FE7E76"/>
    <w:rsid w:val="00FF1638"/>
    <w:rsid w:val="00FF23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89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574A"/>
    <w:pPr>
      <w:spacing w:line="260" w:lineRule="atLeast"/>
    </w:pPr>
    <w:rPr>
      <w:rFonts w:eastAsiaTheme="minorHAnsi" w:cstheme="minorBidi"/>
      <w:sz w:val="22"/>
      <w:lang w:eastAsia="en-US"/>
    </w:rPr>
  </w:style>
  <w:style w:type="paragraph" w:styleId="Heading1">
    <w:name w:val="heading 1"/>
    <w:next w:val="Heading2"/>
    <w:autoRedefine/>
    <w:qFormat/>
    <w:rsid w:val="005A2685"/>
    <w:pPr>
      <w:keepNext/>
      <w:keepLines/>
      <w:ind w:left="1134" w:hanging="1134"/>
      <w:outlineLvl w:val="0"/>
    </w:pPr>
    <w:rPr>
      <w:b/>
      <w:bCs/>
      <w:kern w:val="28"/>
      <w:sz w:val="36"/>
      <w:szCs w:val="32"/>
    </w:rPr>
  </w:style>
  <w:style w:type="paragraph" w:styleId="Heading2">
    <w:name w:val="heading 2"/>
    <w:basedOn w:val="Heading1"/>
    <w:next w:val="Heading3"/>
    <w:autoRedefine/>
    <w:qFormat/>
    <w:rsid w:val="005A2685"/>
    <w:pPr>
      <w:spacing w:before="280"/>
      <w:outlineLvl w:val="1"/>
    </w:pPr>
    <w:rPr>
      <w:bCs w:val="0"/>
      <w:iCs/>
      <w:sz w:val="32"/>
      <w:szCs w:val="28"/>
    </w:rPr>
  </w:style>
  <w:style w:type="paragraph" w:styleId="Heading3">
    <w:name w:val="heading 3"/>
    <w:basedOn w:val="Heading1"/>
    <w:next w:val="Heading4"/>
    <w:autoRedefine/>
    <w:qFormat/>
    <w:rsid w:val="005A2685"/>
    <w:pPr>
      <w:spacing w:before="240"/>
      <w:outlineLvl w:val="2"/>
    </w:pPr>
    <w:rPr>
      <w:bCs w:val="0"/>
      <w:sz w:val="28"/>
      <w:szCs w:val="26"/>
    </w:rPr>
  </w:style>
  <w:style w:type="paragraph" w:styleId="Heading4">
    <w:name w:val="heading 4"/>
    <w:basedOn w:val="Heading1"/>
    <w:next w:val="Heading5"/>
    <w:autoRedefine/>
    <w:qFormat/>
    <w:rsid w:val="005A2685"/>
    <w:pPr>
      <w:spacing w:before="220"/>
      <w:outlineLvl w:val="3"/>
    </w:pPr>
    <w:rPr>
      <w:bCs w:val="0"/>
      <w:sz w:val="26"/>
      <w:szCs w:val="28"/>
    </w:rPr>
  </w:style>
  <w:style w:type="paragraph" w:styleId="Heading5">
    <w:name w:val="heading 5"/>
    <w:basedOn w:val="Heading1"/>
    <w:next w:val="subsection"/>
    <w:autoRedefine/>
    <w:qFormat/>
    <w:rsid w:val="005A2685"/>
    <w:pPr>
      <w:spacing w:before="280"/>
      <w:outlineLvl w:val="4"/>
    </w:pPr>
    <w:rPr>
      <w:bCs w:val="0"/>
      <w:iCs/>
      <w:sz w:val="24"/>
      <w:szCs w:val="26"/>
    </w:rPr>
  </w:style>
  <w:style w:type="paragraph" w:styleId="Heading6">
    <w:name w:val="heading 6"/>
    <w:basedOn w:val="Heading1"/>
    <w:next w:val="Heading7"/>
    <w:autoRedefine/>
    <w:qFormat/>
    <w:rsid w:val="005A2685"/>
    <w:pPr>
      <w:outlineLvl w:val="5"/>
    </w:pPr>
    <w:rPr>
      <w:rFonts w:ascii="Arial" w:hAnsi="Arial" w:cs="Arial"/>
      <w:bCs w:val="0"/>
      <w:sz w:val="32"/>
      <w:szCs w:val="22"/>
    </w:rPr>
  </w:style>
  <w:style w:type="paragraph" w:styleId="Heading7">
    <w:name w:val="heading 7"/>
    <w:basedOn w:val="Heading6"/>
    <w:next w:val="Normal"/>
    <w:autoRedefine/>
    <w:qFormat/>
    <w:rsid w:val="005A2685"/>
    <w:pPr>
      <w:spacing w:before="280"/>
      <w:outlineLvl w:val="6"/>
    </w:pPr>
    <w:rPr>
      <w:sz w:val="28"/>
    </w:rPr>
  </w:style>
  <w:style w:type="paragraph" w:styleId="Heading8">
    <w:name w:val="heading 8"/>
    <w:basedOn w:val="Heading6"/>
    <w:next w:val="Normal"/>
    <w:autoRedefine/>
    <w:qFormat/>
    <w:rsid w:val="005A2685"/>
    <w:pPr>
      <w:spacing w:before="240"/>
      <w:outlineLvl w:val="7"/>
    </w:pPr>
    <w:rPr>
      <w:iCs/>
      <w:sz w:val="26"/>
    </w:rPr>
  </w:style>
  <w:style w:type="paragraph" w:styleId="Heading9">
    <w:name w:val="heading 9"/>
    <w:basedOn w:val="Heading1"/>
    <w:next w:val="Normal"/>
    <w:autoRedefine/>
    <w:qFormat/>
    <w:rsid w:val="005A2685"/>
    <w:pPr>
      <w:keepNext w:val="0"/>
      <w:spacing w:before="280"/>
      <w:outlineLvl w:val="8"/>
    </w:pPr>
    <w:rPr>
      <w:i/>
      <w:sz w:val="28"/>
      <w:szCs w:val="22"/>
    </w:rPr>
  </w:style>
  <w:style w:type="character" w:default="1" w:styleId="DefaultParagraphFont">
    <w:name w:val="Default Paragraph Font"/>
    <w:uiPriority w:val="1"/>
    <w:unhideWhenUsed/>
    <w:rsid w:val="00BD574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D574A"/>
  </w:style>
  <w:style w:type="numbering" w:styleId="111111">
    <w:name w:val="Outline List 2"/>
    <w:basedOn w:val="NoList"/>
    <w:rsid w:val="005A2685"/>
    <w:pPr>
      <w:numPr>
        <w:numId w:val="1"/>
      </w:numPr>
    </w:pPr>
  </w:style>
  <w:style w:type="numbering" w:styleId="1ai">
    <w:name w:val="Outline List 1"/>
    <w:basedOn w:val="NoList"/>
    <w:rsid w:val="005A2685"/>
    <w:pPr>
      <w:numPr>
        <w:numId w:val="4"/>
      </w:numPr>
    </w:pPr>
  </w:style>
  <w:style w:type="paragraph" w:customStyle="1" w:styleId="ActHead1">
    <w:name w:val="ActHead 1"/>
    <w:aliases w:val="c"/>
    <w:basedOn w:val="OPCParaBase"/>
    <w:next w:val="Normal"/>
    <w:qFormat/>
    <w:rsid w:val="00BD574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D574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D574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D574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D574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D574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D574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D574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D574A"/>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BD574A"/>
  </w:style>
  <w:style w:type="paragraph" w:customStyle="1" w:styleId="Actno">
    <w:name w:val="Actno"/>
    <w:basedOn w:val="ShortT"/>
    <w:next w:val="Normal"/>
    <w:qFormat/>
    <w:rsid w:val="00BD574A"/>
  </w:style>
  <w:style w:type="character" w:customStyle="1" w:styleId="CharSubPartNoCASA">
    <w:name w:val="CharSubPartNo(CASA)"/>
    <w:basedOn w:val="OPCCharBase"/>
    <w:uiPriority w:val="1"/>
    <w:rsid w:val="00BD574A"/>
  </w:style>
  <w:style w:type="paragraph" w:customStyle="1" w:styleId="ENoteTTIndentHeadingSub">
    <w:name w:val="ENoteTTIndentHeadingSub"/>
    <w:aliases w:val="enTTHis"/>
    <w:basedOn w:val="OPCParaBase"/>
    <w:rsid w:val="00BD574A"/>
    <w:pPr>
      <w:keepNext/>
      <w:spacing w:before="60" w:line="240" w:lineRule="atLeast"/>
      <w:ind w:left="340"/>
    </w:pPr>
    <w:rPr>
      <w:b/>
      <w:sz w:val="16"/>
    </w:rPr>
  </w:style>
  <w:style w:type="paragraph" w:customStyle="1" w:styleId="ENoteTTiSub">
    <w:name w:val="ENoteTTiSub"/>
    <w:aliases w:val="enttis"/>
    <w:basedOn w:val="OPCParaBase"/>
    <w:rsid w:val="00BD574A"/>
    <w:pPr>
      <w:keepNext/>
      <w:spacing w:before="60" w:line="240" w:lineRule="atLeast"/>
      <w:ind w:left="340"/>
    </w:pPr>
    <w:rPr>
      <w:sz w:val="16"/>
    </w:rPr>
  </w:style>
  <w:style w:type="paragraph" w:customStyle="1" w:styleId="SubDivisionMigration">
    <w:name w:val="SubDivisionMigration"/>
    <w:aliases w:val="sdm"/>
    <w:basedOn w:val="OPCParaBase"/>
    <w:rsid w:val="00BD574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D574A"/>
    <w:pPr>
      <w:keepNext/>
      <w:keepLines/>
      <w:spacing w:before="240" w:line="240" w:lineRule="auto"/>
      <w:ind w:left="1134" w:hanging="1134"/>
    </w:pPr>
    <w:rPr>
      <w:b/>
      <w:sz w:val="28"/>
    </w:rPr>
  </w:style>
  <w:style w:type="numbering" w:styleId="ArticleSection">
    <w:name w:val="Outline List 3"/>
    <w:basedOn w:val="NoList"/>
    <w:rsid w:val="005A2685"/>
    <w:pPr>
      <w:numPr>
        <w:numId w:val="5"/>
      </w:numPr>
    </w:pPr>
  </w:style>
  <w:style w:type="paragraph" w:styleId="BalloonText">
    <w:name w:val="Balloon Text"/>
    <w:basedOn w:val="Normal"/>
    <w:link w:val="BalloonTextChar"/>
    <w:uiPriority w:val="99"/>
    <w:unhideWhenUsed/>
    <w:rsid w:val="00BD574A"/>
    <w:pPr>
      <w:spacing w:line="240" w:lineRule="auto"/>
    </w:pPr>
    <w:rPr>
      <w:rFonts w:ascii="Tahoma" w:hAnsi="Tahoma" w:cs="Tahoma"/>
      <w:sz w:val="16"/>
      <w:szCs w:val="16"/>
    </w:rPr>
  </w:style>
  <w:style w:type="paragraph" w:styleId="BlockText">
    <w:name w:val="Block Text"/>
    <w:rsid w:val="005A2685"/>
    <w:pPr>
      <w:spacing w:after="120"/>
      <w:ind w:left="1440" w:right="1440"/>
    </w:pPr>
    <w:rPr>
      <w:sz w:val="22"/>
      <w:szCs w:val="24"/>
    </w:rPr>
  </w:style>
  <w:style w:type="paragraph" w:customStyle="1" w:styleId="Blocks">
    <w:name w:val="Blocks"/>
    <w:aliases w:val="bb"/>
    <w:basedOn w:val="OPCParaBase"/>
    <w:qFormat/>
    <w:rsid w:val="00BD574A"/>
    <w:pPr>
      <w:spacing w:line="240" w:lineRule="auto"/>
    </w:pPr>
    <w:rPr>
      <w:sz w:val="24"/>
    </w:rPr>
  </w:style>
  <w:style w:type="paragraph" w:styleId="BodyText">
    <w:name w:val="Body Text"/>
    <w:rsid w:val="005A2685"/>
    <w:pPr>
      <w:spacing w:after="120"/>
    </w:pPr>
    <w:rPr>
      <w:sz w:val="22"/>
      <w:szCs w:val="24"/>
    </w:rPr>
  </w:style>
  <w:style w:type="paragraph" w:styleId="BodyText2">
    <w:name w:val="Body Text 2"/>
    <w:rsid w:val="005A2685"/>
    <w:pPr>
      <w:spacing w:after="120" w:line="480" w:lineRule="auto"/>
    </w:pPr>
    <w:rPr>
      <w:sz w:val="22"/>
      <w:szCs w:val="24"/>
    </w:rPr>
  </w:style>
  <w:style w:type="paragraph" w:styleId="BodyText3">
    <w:name w:val="Body Text 3"/>
    <w:rsid w:val="005A2685"/>
    <w:pPr>
      <w:spacing w:after="120"/>
    </w:pPr>
    <w:rPr>
      <w:sz w:val="16"/>
      <w:szCs w:val="16"/>
    </w:rPr>
  </w:style>
  <w:style w:type="paragraph" w:styleId="BodyTextFirstIndent">
    <w:name w:val="Body Text First Indent"/>
    <w:basedOn w:val="BodyText"/>
    <w:rsid w:val="005A2685"/>
    <w:pPr>
      <w:ind w:firstLine="210"/>
    </w:pPr>
  </w:style>
  <w:style w:type="paragraph" w:styleId="BodyTextIndent">
    <w:name w:val="Body Text Indent"/>
    <w:rsid w:val="005A2685"/>
    <w:pPr>
      <w:spacing w:after="120"/>
      <w:ind w:left="283"/>
    </w:pPr>
    <w:rPr>
      <w:sz w:val="22"/>
      <w:szCs w:val="24"/>
    </w:rPr>
  </w:style>
  <w:style w:type="paragraph" w:styleId="BodyTextFirstIndent2">
    <w:name w:val="Body Text First Indent 2"/>
    <w:basedOn w:val="BodyTextIndent"/>
    <w:rsid w:val="005A2685"/>
    <w:pPr>
      <w:ind w:firstLine="210"/>
    </w:pPr>
  </w:style>
  <w:style w:type="paragraph" w:styleId="BodyTextIndent2">
    <w:name w:val="Body Text Indent 2"/>
    <w:rsid w:val="005A2685"/>
    <w:pPr>
      <w:spacing w:after="120" w:line="480" w:lineRule="auto"/>
      <w:ind w:left="283"/>
    </w:pPr>
    <w:rPr>
      <w:sz w:val="22"/>
      <w:szCs w:val="24"/>
    </w:rPr>
  </w:style>
  <w:style w:type="paragraph" w:styleId="BodyTextIndent3">
    <w:name w:val="Body Text Indent 3"/>
    <w:rsid w:val="005A2685"/>
    <w:pPr>
      <w:spacing w:after="120"/>
      <w:ind w:left="283"/>
    </w:pPr>
    <w:rPr>
      <w:sz w:val="16"/>
      <w:szCs w:val="16"/>
    </w:rPr>
  </w:style>
  <w:style w:type="paragraph" w:customStyle="1" w:styleId="BoxText">
    <w:name w:val="BoxText"/>
    <w:aliases w:val="bt"/>
    <w:basedOn w:val="OPCParaBase"/>
    <w:qFormat/>
    <w:rsid w:val="00BD574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D574A"/>
    <w:rPr>
      <w:b/>
    </w:rPr>
  </w:style>
  <w:style w:type="paragraph" w:customStyle="1" w:styleId="BoxHeadItalic">
    <w:name w:val="BoxHeadItalic"/>
    <w:aliases w:val="bhi"/>
    <w:basedOn w:val="BoxText"/>
    <w:next w:val="BoxStep"/>
    <w:qFormat/>
    <w:rsid w:val="00BD574A"/>
    <w:rPr>
      <w:i/>
    </w:rPr>
  </w:style>
  <w:style w:type="paragraph" w:customStyle="1" w:styleId="BoxList">
    <w:name w:val="BoxList"/>
    <w:aliases w:val="bl"/>
    <w:basedOn w:val="BoxText"/>
    <w:qFormat/>
    <w:rsid w:val="00BD574A"/>
    <w:pPr>
      <w:ind w:left="1559" w:hanging="425"/>
    </w:pPr>
  </w:style>
  <w:style w:type="paragraph" w:customStyle="1" w:styleId="BoxNote">
    <w:name w:val="BoxNote"/>
    <w:aliases w:val="bn"/>
    <w:basedOn w:val="BoxText"/>
    <w:qFormat/>
    <w:rsid w:val="00BD574A"/>
    <w:pPr>
      <w:tabs>
        <w:tab w:val="left" w:pos="1985"/>
      </w:tabs>
      <w:spacing w:before="122" w:line="198" w:lineRule="exact"/>
      <w:ind w:left="2948" w:hanging="1814"/>
    </w:pPr>
    <w:rPr>
      <w:sz w:val="18"/>
    </w:rPr>
  </w:style>
  <w:style w:type="paragraph" w:customStyle="1" w:styleId="BoxPara">
    <w:name w:val="BoxPara"/>
    <w:aliases w:val="bp"/>
    <w:basedOn w:val="BoxText"/>
    <w:qFormat/>
    <w:rsid w:val="00BD574A"/>
    <w:pPr>
      <w:tabs>
        <w:tab w:val="right" w:pos="2268"/>
      </w:tabs>
      <w:ind w:left="2552" w:hanging="1418"/>
    </w:pPr>
  </w:style>
  <w:style w:type="paragraph" w:customStyle="1" w:styleId="BoxStep">
    <w:name w:val="BoxStep"/>
    <w:aliases w:val="bs"/>
    <w:basedOn w:val="BoxText"/>
    <w:qFormat/>
    <w:rsid w:val="00BD574A"/>
    <w:pPr>
      <w:ind w:left="1985" w:hanging="851"/>
    </w:pPr>
  </w:style>
  <w:style w:type="paragraph" w:styleId="Caption">
    <w:name w:val="caption"/>
    <w:next w:val="Normal"/>
    <w:qFormat/>
    <w:rsid w:val="005A2685"/>
    <w:pPr>
      <w:spacing w:before="120" w:after="120"/>
    </w:pPr>
    <w:rPr>
      <w:b/>
      <w:bCs/>
    </w:rPr>
  </w:style>
  <w:style w:type="character" w:customStyle="1" w:styleId="CharAmPartNo">
    <w:name w:val="CharAmPartNo"/>
    <w:basedOn w:val="OPCCharBase"/>
    <w:uiPriority w:val="1"/>
    <w:qFormat/>
    <w:rsid w:val="00BD574A"/>
  </w:style>
  <w:style w:type="character" w:customStyle="1" w:styleId="CharAmPartText">
    <w:name w:val="CharAmPartText"/>
    <w:basedOn w:val="OPCCharBase"/>
    <w:uiPriority w:val="1"/>
    <w:qFormat/>
    <w:rsid w:val="00BD574A"/>
  </w:style>
  <w:style w:type="character" w:customStyle="1" w:styleId="CharAmSchNo">
    <w:name w:val="CharAmSchNo"/>
    <w:basedOn w:val="OPCCharBase"/>
    <w:uiPriority w:val="1"/>
    <w:qFormat/>
    <w:rsid w:val="00BD574A"/>
  </w:style>
  <w:style w:type="character" w:customStyle="1" w:styleId="CharAmSchText">
    <w:name w:val="CharAmSchText"/>
    <w:basedOn w:val="OPCCharBase"/>
    <w:uiPriority w:val="1"/>
    <w:qFormat/>
    <w:rsid w:val="00BD574A"/>
  </w:style>
  <w:style w:type="character" w:customStyle="1" w:styleId="CharBoldItalic">
    <w:name w:val="CharBoldItalic"/>
    <w:basedOn w:val="OPCCharBase"/>
    <w:uiPriority w:val="1"/>
    <w:qFormat/>
    <w:rsid w:val="00BD574A"/>
    <w:rPr>
      <w:b/>
      <w:i/>
    </w:rPr>
  </w:style>
  <w:style w:type="character" w:customStyle="1" w:styleId="CharChapNo">
    <w:name w:val="CharChapNo"/>
    <w:basedOn w:val="OPCCharBase"/>
    <w:qFormat/>
    <w:rsid w:val="00BD574A"/>
  </w:style>
  <w:style w:type="character" w:customStyle="1" w:styleId="CharChapText">
    <w:name w:val="CharChapText"/>
    <w:basedOn w:val="OPCCharBase"/>
    <w:qFormat/>
    <w:rsid w:val="00BD574A"/>
  </w:style>
  <w:style w:type="character" w:customStyle="1" w:styleId="CharDivNo">
    <w:name w:val="CharDivNo"/>
    <w:basedOn w:val="OPCCharBase"/>
    <w:qFormat/>
    <w:rsid w:val="00BD574A"/>
  </w:style>
  <w:style w:type="character" w:customStyle="1" w:styleId="CharDivText">
    <w:name w:val="CharDivText"/>
    <w:basedOn w:val="OPCCharBase"/>
    <w:qFormat/>
    <w:rsid w:val="00BD574A"/>
  </w:style>
  <w:style w:type="character" w:customStyle="1" w:styleId="CharItalic">
    <w:name w:val="CharItalic"/>
    <w:basedOn w:val="OPCCharBase"/>
    <w:uiPriority w:val="1"/>
    <w:qFormat/>
    <w:rsid w:val="00BD574A"/>
    <w:rPr>
      <w:i/>
    </w:rPr>
  </w:style>
  <w:style w:type="character" w:customStyle="1" w:styleId="CharPartNo">
    <w:name w:val="CharPartNo"/>
    <w:basedOn w:val="OPCCharBase"/>
    <w:qFormat/>
    <w:rsid w:val="00BD574A"/>
  </w:style>
  <w:style w:type="character" w:customStyle="1" w:styleId="CharPartText">
    <w:name w:val="CharPartText"/>
    <w:basedOn w:val="OPCCharBase"/>
    <w:qFormat/>
    <w:rsid w:val="00BD574A"/>
  </w:style>
  <w:style w:type="character" w:customStyle="1" w:styleId="CharSectno">
    <w:name w:val="CharSectno"/>
    <w:basedOn w:val="OPCCharBase"/>
    <w:qFormat/>
    <w:rsid w:val="00BD574A"/>
  </w:style>
  <w:style w:type="character" w:customStyle="1" w:styleId="CharSubdNo">
    <w:name w:val="CharSubdNo"/>
    <w:basedOn w:val="OPCCharBase"/>
    <w:uiPriority w:val="1"/>
    <w:qFormat/>
    <w:rsid w:val="00BD574A"/>
  </w:style>
  <w:style w:type="character" w:customStyle="1" w:styleId="CharSubdText">
    <w:name w:val="CharSubdText"/>
    <w:basedOn w:val="OPCCharBase"/>
    <w:uiPriority w:val="1"/>
    <w:qFormat/>
    <w:rsid w:val="00BD574A"/>
  </w:style>
  <w:style w:type="paragraph" w:styleId="Closing">
    <w:name w:val="Closing"/>
    <w:rsid w:val="005A2685"/>
    <w:pPr>
      <w:ind w:left="4252"/>
    </w:pPr>
    <w:rPr>
      <w:sz w:val="22"/>
      <w:szCs w:val="24"/>
    </w:rPr>
  </w:style>
  <w:style w:type="character" w:styleId="CommentReference">
    <w:name w:val="annotation reference"/>
    <w:basedOn w:val="DefaultParagraphFont"/>
    <w:rsid w:val="005A2685"/>
    <w:rPr>
      <w:sz w:val="16"/>
      <w:szCs w:val="16"/>
    </w:rPr>
  </w:style>
  <w:style w:type="paragraph" w:styleId="CommentText">
    <w:name w:val="annotation text"/>
    <w:rsid w:val="005A2685"/>
  </w:style>
  <w:style w:type="paragraph" w:styleId="CommentSubject">
    <w:name w:val="annotation subject"/>
    <w:next w:val="CommentText"/>
    <w:rsid w:val="005A2685"/>
    <w:rPr>
      <w:b/>
      <w:bCs/>
      <w:szCs w:val="24"/>
    </w:rPr>
  </w:style>
  <w:style w:type="paragraph" w:customStyle="1" w:styleId="notetext">
    <w:name w:val="note(text)"/>
    <w:aliases w:val="n"/>
    <w:basedOn w:val="OPCParaBase"/>
    <w:link w:val="notetextChar"/>
    <w:rsid w:val="00BD574A"/>
    <w:pPr>
      <w:spacing w:before="122" w:line="240" w:lineRule="auto"/>
      <w:ind w:left="1985" w:hanging="851"/>
    </w:pPr>
    <w:rPr>
      <w:sz w:val="18"/>
    </w:rPr>
  </w:style>
  <w:style w:type="paragraph" w:customStyle="1" w:styleId="notemargin">
    <w:name w:val="note(margin)"/>
    <w:aliases w:val="nm"/>
    <w:basedOn w:val="OPCParaBase"/>
    <w:rsid w:val="00BD574A"/>
    <w:pPr>
      <w:tabs>
        <w:tab w:val="left" w:pos="709"/>
      </w:tabs>
      <w:spacing w:before="122" w:line="198" w:lineRule="exact"/>
      <w:ind w:left="709" w:hanging="709"/>
    </w:pPr>
    <w:rPr>
      <w:sz w:val="18"/>
    </w:rPr>
  </w:style>
  <w:style w:type="paragraph" w:customStyle="1" w:styleId="CTA-">
    <w:name w:val="CTA -"/>
    <w:basedOn w:val="OPCParaBase"/>
    <w:rsid w:val="00BD574A"/>
    <w:pPr>
      <w:spacing w:before="60" w:line="240" w:lineRule="atLeast"/>
      <w:ind w:left="85" w:hanging="85"/>
    </w:pPr>
    <w:rPr>
      <w:sz w:val="20"/>
    </w:rPr>
  </w:style>
  <w:style w:type="paragraph" w:customStyle="1" w:styleId="CTA--">
    <w:name w:val="CTA --"/>
    <w:basedOn w:val="OPCParaBase"/>
    <w:next w:val="Normal"/>
    <w:rsid w:val="00BD574A"/>
    <w:pPr>
      <w:spacing w:before="60" w:line="240" w:lineRule="atLeast"/>
      <w:ind w:left="142" w:hanging="142"/>
    </w:pPr>
    <w:rPr>
      <w:sz w:val="20"/>
    </w:rPr>
  </w:style>
  <w:style w:type="paragraph" w:customStyle="1" w:styleId="CTA---">
    <w:name w:val="CTA ---"/>
    <w:basedOn w:val="OPCParaBase"/>
    <w:next w:val="Normal"/>
    <w:rsid w:val="00BD574A"/>
    <w:pPr>
      <w:spacing w:before="60" w:line="240" w:lineRule="atLeast"/>
      <w:ind w:left="198" w:hanging="198"/>
    </w:pPr>
    <w:rPr>
      <w:sz w:val="20"/>
    </w:rPr>
  </w:style>
  <w:style w:type="paragraph" w:customStyle="1" w:styleId="CTA----">
    <w:name w:val="CTA ----"/>
    <w:basedOn w:val="OPCParaBase"/>
    <w:next w:val="Normal"/>
    <w:rsid w:val="00BD574A"/>
    <w:pPr>
      <w:spacing w:before="60" w:line="240" w:lineRule="atLeast"/>
      <w:ind w:left="255" w:hanging="255"/>
    </w:pPr>
    <w:rPr>
      <w:sz w:val="20"/>
    </w:rPr>
  </w:style>
  <w:style w:type="paragraph" w:customStyle="1" w:styleId="CTA1a">
    <w:name w:val="CTA 1(a)"/>
    <w:basedOn w:val="OPCParaBase"/>
    <w:rsid w:val="00BD574A"/>
    <w:pPr>
      <w:tabs>
        <w:tab w:val="right" w:pos="414"/>
      </w:tabs>
      <w:spacing w:before="40" w:line="240" w:lineRule="atLeast"/>
      <w:ind w:left="675" w:hanging="675"/>
    </w:pPr>
    <w:rPr>
      <w:sz w:val="20"/>
    </w:rPr>
  </w:style>
  <w:style w:type="paragraph" w:customStyle="1" w:styleId="CTA1ai">
    <w:name w:val="CTA 1(a)(i)"/>
    <w:basedOn w:val="OPCParaBase"/>
    <w:rsid w:val="00BD574A"/>
    <w:pPr>
      <w:tabs>
        <w:tab w:val="right" w:pos="1004"/>
      </w:tabs>
      <w:spacing w:before="40" w:line="240" w:lineRule="atLeast"/>
      <w:ind w:left="1253" w:hanging="1253"/>
    </w:pPr>
    <w:rPr>
      <w:sz w:val="20"/>
    </w:rPr>
  </w:style>
  <w:style w:type="paragraph" w:customStyle="1" w:styleId="CTA2a">
    <w:name w:val="CTA 2(a)"/>
    <w:basedOn w:val="OPCParaBase"/>
    <w:rsid w:val="00BD574A"/>
    <w:pPr>
      <w:tabs>
        <w:tab w:val="right" w:pos="482"/>
      </w:tabs>
      <w:spacing w:before="40" w:line="240" w:lineRule="atLeast"/>
      <w:ind w:left="748" w:hanging="748"/>
    </w:pPr>
    <w:rPr>
      <w:sz w:val="20"/>
    </w:rPr>
  </w:style>
  <w:style w:type="paragraph" w:customStyle="1" w:styleId="CTA2ai">
    <w:name w:val="CTA 2(a)(i)"/>
    <w:basedOn w:val="OPCParaBase"/>
    <w:rsid w:val="00BD574A"/>
    <w:pPr>
      <w:tabs>
        <w:tab w:val="right" w:pos="1089"/>
      </w:tabs>
      <w:spacing w:before="40" w:line="240" w:lineRule="atLeast"/>
      <w:ind w:left="1327" w:hanging="1327"/>
    </w:pPr>
    <w:rPr>
      <w:sz w:val="20"/>
    </w:rPr>
  </w:style>
  <w:style w:type="paragraph" w:customStyle="1" w:styleId="CTA3a">
    <w:name w:val="CTA 3(a)"/>
    <w:basedOn w:val="OPCParaBase"/>
    <w:rsid w:val="00BD574A"/>
    <w:pPr>
      <w:tabs>
        <w:tab w:val="right" w:pos="556"/>
      </w:tabs>
      <w:spacing w:before="40" w:line="240" w:lineRule="atLeast"/>
      <w:ind w:left="805" w:hanging="805"/>
    </w:pPr>
    <w:rPr>
      <w:sz w:val="20"/>
    </w:rPr>
  </w:style>
  <w:style w:type="paragraph" w:customStyle="1" w:styleId="CTA3ai">
    <w:name w:val="CTA 3(a)(i)"/>
    <w:basedOn w:val="OPCParaBase"/>
    <w:rsid w:val="00BD574A"/>
    <w:pPr>
      <w:tabs>
        <w:tab w:val="right" w:pos="1140"/>
      </w:tabs>
      <w:spacing w:before="40" w:line="240" w:lineRule="atLeast"/>
      <w:ind w:left="1361" w:hanging="1361"/>
    </w:pPr>
    <w:rPr>
      <w:sz w:val="20"/>
    </w:rPr>
  </w:style>
  <w:style w:type="paragraph" w:customStyle="1" w:styleId="CTA4a">
    <w:name w:val="CTA 4(a)"/>
    <w:basedOn w:val="OPCParaBase"/>
    <w:rsid w:val="00BD574A"/>
    <w:pPr>
      <w:tabs>
        <w:tab w:val="right" w:pos="624"/>
      </w:tabs>
      <w:spacing w:before="40" w:line="240" w:lineRule="atLeast"/>
      <w:ind w:left="873" w:hanging="873"/>
    </w:pPr>
    <w:rPr>
      <w:sz w:val="20"/>
    </w:rPr>
  </w:style>
  <w:style w:type="paragraph" w:customStyle="1" w:styleId="CTA4ai">
    <w:name w:val="CTA 4(a)(i)"/>
    <w:basedOn w:val="OPCParaBase"/>
    <w:rsid w:val="00BD574A"/>
    <w:pPr>
      <w:tabs>
        <w:tab w:val="right" w:pos="1213"/>
      </w:tabs>
      <w:spacing w:before="40" w:line="240" w:lineRule="atLeast"/>
      <w:ind w:left="1452" w:hanging="1452"/>
    </w:pPr>
    <w:rPr>
      <w:sz w:val="20"/>
    </w:rPr>
  </w:style>
  <w:style w:type="paragraph" w:customStyle="1" w:styleId="CTACAPS">
    <w:name w:val="CTA CAPS"/>
    <w:basedOn w:val="OPCParaBase"/>
    <w:rsid w:val="00BD574A"/>
    <w:pPr>
      <w:spacing w:before="60" w:line="240" w:lineRule="atLeast"/>
    </w:pPr>
    <w:rPr>
      <w:sz w:val="20"/>
    </w:rPr>
  </w:style>
  <w:style w:type="paragraph" w:customStyle="1" w:styleId="CTAright">
    <w:name w:val="CTA right"/>
    <w:basedOn w:val="OPCParaBase"/>
    <w:rsid w:val="00BD574A"/>
    <w:pPr>
      <w:spacing w:before="60" w:line="240" w:lineRule="auto"/>
      <w:jc w:val="right"/>
    </w:pPr>
    <w:rPr>
      <w:sz w:val="20"/>
    </w:rPr>
  </w:style>
  <w:style w:type="paragraph" w:styleId="Date">
    <w:name w:val="Date"/>
    <w:next w:val="Normal"/>
    <w:rsid w:val="005A2685"/>
    <w:rPr>
      <w:sz w:val="22"/>
      <w:szCs w:val="24"/>
    </w:rPr>
  </w:style>
  <w:style w:type="paragraph" w:customStyle="1" w:styleId="subsection">
    <w:name w:val="subsection"/>
    <w:aliases w:val="ss"/>
    <w:basedOn w:val="OPCParaBase"/>
    <w:link w:val="subsectionChar"/>
    <w:rsid w:val="00BD574A"/>
    <w:pPr>
      <w:tabs>
        <w:tab w:val="right" w:pos="1021"/>
      </w:tabs>
      <w:spacing w:before="180" w:line="240" w:lineRule="auto"/>
      <w:ind w:left="1134" w:hanging="1134"/>
    </w:pPr>
  </w:style>
  <w:style w:type="paragraph" w:customStyle="1" w:styleId="Definition">
    <w:name w:val="Definition"/>
    <w:aliases w:val="dd"/>
    <w:basedOn w:val="OPCParaBase"/>
    <w:rsid w:val="00BD574A"/>
    <w:pPr>
      <w:spacing w:before="180" w:line="240" w:lineRule="auto"/>
      <w:ind w:left="1134"/>
    </w:pPr>
  </w:style>
  <w:style w:type="paragraph" w:styleId="DocumentMap">
    <w:name w:val="Document Map"/>
    <w:rsid w:val="005A2685"/>
    <w:pPr>
      <w:shd w:val="clear" w:color="auto" w:fill="000080"/>
    </w:pPr>
    <w:rPr>
      <w:rFonts w:ascii="Tahoma" w:hAnsi="Tahoma" w:cs="Tahoma"/>
      <w:sz w:val="22"/>
      <w:szCs w:val="24"/>
    </w:rPr>
  </w:style>
  <w:style w:type="paragraph" w:styleId="E-mailSignature">
    <w:name w:val="E-mail Signature"/>
    <w:rsid w:val="005A2685"/>
    <w:rPr>
      <w:sz w:val="22"/>
      <w:szCs w:val="24"/>
    </w:rPr>
  </w:style>
  <w:style w:type="character" w:styleId="Emphasis">
    <w:name w:val="Emphasis"/>
    <w:basedOn w:val="DefaultParagraphFont"/>
    <w:qFormat/>
    <w:rsid w:val="005A2685"/>
    <w:rPr>
      <w:i/>
      <w:iCs/>
    </w:rPr>
  </w:style>
  <w:style w:type="character" w:styleId="EndnoteReference">
    <w:name w:val="endnote reference"/>
    <w:basedOn w:val="DefaultParagraphFont"/>
    <w:rsid w:val="005A2685"/>
    <w:rPr>
      <w:vertAlign w:val="superscript"/>
    </w:rPr>
  </w:style>
  <w:style w:type="paragraph" w:styleId="EndnoteText">
    <w:name w:val="endnote text"/>
    <w:rsid w:val="005A2685"/>
  </w:style>
  <w:style w:type="paragraph" w:styleId="EnvelopeAddress">
    <w:name w:val="envelope address"/>
    <w:rsid w:val="005A2685"/>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5A2685"/>
    <w:rPr>
      <w:rFonts w:ascii="Arial" w:hAnsi="Arial" w:cs="Arial"/>
    </w:rPr>
  </w:style>
  <w:style w:type="character" w:styleId="FollowedHyperlink">
    <w:name w:val="FollowedHyperlink"/>
    <w:basedOn w:val="DefaultParagraphFont"/>
    <w:rsid w:val="005A2685"/>
    <w:rPr>
      <w:color w:val="800080"/>
      <w:u w:val="single"/>
    </w:rPr>
  </w:style>
  <w:style w:type="paragraph" w:styleId="Footer">
    <w:name w:val="footer"/>
    <w:link w:val="FooterChar"/>
    <w:rsid w:val="00BD574A"/>
    <w:pPr>
      <w:tabs>
        <w:tab w:val="center" w:pos="4153"/>
        <w:tab w:val="right" w:pos="8306"/>
      </w:tabs>
    </w:pPr>
    <w:rPr>
      <w:sz w:val="22"/>
      <w:szCs w:val="24"/>
    </w:rPr>
  </w:style>
  <w:style w:type="character" w:styleId="FootnoteReference">
    <w:name w:val="footnote reference"/>
    <w:basedOn w:val="DefaultParagraphFont"/>
    <w:rsid w:val="005A2685"/>
    <w:rPr>
      <w:vertAlign w:val="superscript"/>
    </w:rPr>
  </w:style>
  <w:style w:type="paragraph" w:styleId="FootnoteText">
    <w:name w:val="footnote text"/>
    <w:rsid w:val="005A2685"/>
  </w:style>
  <w:style w:type="paragraph" w:customStyle="1" w:styleId="Formula">
    <w:name w:val="Formula"/>
    <w:basedOn w:val="OPCParaBase"/>
    <w:rsid w:val="00BD574A"/>
    <w:pPr>
      <w:spacing w:line="240" w:lineRule="auto"/>
      <w:ind w:left="1134"/>
    </w:pPr>
    <w:rPr>
      <w:sz w:val="20"/>
    </w:rPr>
  </w:style>
  <w:style w:type="paragraph" w:styleId="Header">
    <w:name w:val="header"/>
    <w:basedOn w:val="OPCParaBase"/>
    <w:link w:val="HeaderChar"/>
    <w:unhideWhenUsed/>
    <w:rsid w:val="00BD574A"/>
    <w:pPr>
      <w:keepNext/>
      <w:keepLines/>
      <w:tabs>
        <w:tab w:val="center" w:pos="4150"/>
        <w:tab w:val="right" w:pos="8307"/>
      </w:tabs>
      <w:spacing w:line="160" w:lineRule="exact"/>
    </w:pPr>
    <w:rPr>
      <w:sz w:val="16"/>
    </w:rPr>
  </w:style>
  <w:style w:type="character" w:customStyle="1" w:styleId="paragraphChar">
    <w:name w:val="paragraph Char"/>
    <w:aliases w:val="a Char"/>
    <w:basedOn w:val="DefaultParagraphFont"/>
    <w:link w:val="paragraph"/>
    <w:rsid w:val="00F31542"/>
    <w:rPr>
      <w:sz w:val="22"/>
    </w:rPr>
  </w:style>
  <w:style w:type="paragraph" w:customStyle="1" w:styleId="House">
    <w:name w:val="House"/>
    <w:basedOn w:val="OPCParaBase"/>
    <w:rsid w:val="00BD574A"/>
    <w:pPr>
      <w:spacing w:line="240" w:lineRule="auto"/>
    </w:pPr>
    <w:rPr>
      <w:sz w:val="28"/>
    </w:rPr>
  </w:style>
  <w:style w:type="character" w:styleId="HTMLAcronym">
    <w:name w:val="HTML Acronym"/>
    <w:basedOn w:val="DefaultParagraphFont"/>
    <w:rsid w:val="005A2685"/>
  </w:style>
  <w:style w:type="paragraph" w:styleId="HTMLAddress">
    <w:name w:val="HTML Address"/>
    <w:rsid w:val="005A2685"/>
    <w:rPr>
      <w:i/>
      <w:iCs/>
      <w:sz w:val="22"/>
      <w:szCs w:val="24"/>
    </w:rPr>
  </w:style>
  <w:style w:type="character" w:styleId="HTMLCite">
    <w:name w:val="HTML Cite"/>
    <w:basedOn w:val="DefaultParagraphFont"/>
    <w:rsid w:val="005A2685"/>
    <w:rPr>
      <w:i/>
      <w:iCs/>
    </w:rPr>
  </w:style>
  <w:style w:type="character" w:styleId="HTMLCode">
    <w:name w:val="HTML Code"/>
    <w:basedOn w:val="DefaultParagraphFont"/>
    <w:rsid w:val="005A2685"/>
    <w:rPr>
      <w:rFonts w:ascii="Courier New" w:hAnsi="Courier New" w:cs="Courier New"/>
      <w:sz w:val="20"/>
      <w:szCs w:val="20"/>
    </w:rPr>
  </w:style>
  <w:style w:type="character" w:styleId="HTMLDefinition">
    <w:name w:val="HTML Definition"/>
    <w:basedOn w:val="DefaultParagraphFont"/>
    <w:rsid w:val="005A2685"/>
    <w:rPr>
      <w:i/>
      <w:iCs/>
    </w:rPr>
  </w:style>
  <w:style w:type="character" w:styleId="HTMLKeyboard">
    <w:name w:val="HTML Keyboard"/>
    <w:basedOn w:val="DefaultParagraphFont"/>
    <w:rsid w:val="005A2685"/>
    <w:rPr>
      <w:rFonts w:ascii="Courier New" w:hAnsi="Courier New" w:cs="Courier New"/>
      <w:sz w:val="20"/>
      <w:szCs w:val="20"/>
    </w:rPr>
  </w:style>
  <w:style w:type="paragraph" w:styleId="HTMLPreformatted">
    <w:name w:val="HTML Preformatted"/>
    <w:rsid w:val="005A2685"/>
    <w:rPr>
      <w:rFonts w:ascii="Courier New" w:hAnsi="Courier New" w:cs="Courier New"/>
    </w:rPr>
  </w:style>
  <w:style w:type="character" w:styleId="HTMLSample">
    <w:name w:val="HTML Sample"/>
    <w:basedOn w:val="DefaultParagraphFont"/>
    <w:rsid w:val="005A2685"/>
    <w:rPr>
      <w:rFonts w:ascii="Courier New" w:hAnsi="Courier New" w:cs="Courier New"/>
    </w:rPr>
  </w:style>
  <w:style w:type="character" w:styleId="HTMLTypewriter">
    <w:name w:val="HTML Typewriter"/>
    <w:basedOn w:val="DefaultParagraphFont"/>
    <w:rsid w:val="005A2685"/>
    <w:rPr>
      <w:rFonts w:ascii="Courier New" w:hAnsi="Courier New" w:cs="Courier New"/>
      <w:sz w:val="20"/>
      <w:szCs w:val="20"/>
    </w:rPr>
  </w:style>
  <w:style w:type="character" w:styleId="HTMLVariable">
    <w:name w:val="HTML Variable"/>
    <w:basedOn w:val="DefaultParagraphFont"/>
    <w:rsid w:val="005A2685"/>
    <w:rPr>
      <w:i/>
      <w:iCs/>
    </w:rPr>
  </w:style>
  <w:style w:type="character" w:styleId="Hyperlink">
    <w:name w:val="Hyperlink"/>
    <w:basedOn w:val="DefaultParagraphFont"/>
    <w:rsid w:val="005A2685"/>
    <w:rPr>
      <w:color w:val="0000FF"/>
      <w:u w:val="single"/>
    </w:rPr>
  </w:style>
  <w:style w:type="paragraph" w:styleId="Index1">
    <w:name w:val="index 1"/>
    <w:next w:val="Normal"/>
    <w:rsid w:val="005A2685"/>
    <w:pPr>
      <w:ind w:left="220" w:hanging="220"/>
    </w:pPr>
    <w:rPr>
      <w:sz w:val="22"/>
      <w:szCs w:val="24"/>
    </w:rPr>
  </w:style>
  <w:style w:type="paragraph" w:styleId="Index2">
    <w:name w:val="index 2"/>
    <w:next w:val="Normal"/>
    <w:rsid w:val="005A2685"/>
    <w:pPr>
      <w:ind w:left="440" w:hanging="220"/>
    </w:pPr>
    <w:rPr>
      <w:sz w:val="22"/>
      <w:szCs w:val="24"/>
    </w:rPr>
  </w:style>
  <w:style w:type="paragraph" w:styleId="Index3">
    <w:name w:val="index 3"/>
    <w:next w:val="Normal"/>
    <w:rsid w:val="005A2685"/>
    <w:pPr>
      <w:ind w:left="660" w:hanging="220"/>
    </w:pPr>
    <w:rPr>
      <w:sz w:val="22"/>
      <w:szCs w:val="24"/>
    </w:rPr>
  </w:style>
  <w:style w:type="paragraph" w:styleId="Index4">
    <w:name w:val="index 4"/>
    <w:next w:val="Normal"/>
    <w:rsid w:val="005A2685"/>
    <w:pPr>
      <w:ind w:left="880" w:hanging="220"/>
    </w:pPr>
    <w:rPr>
      <w:sz w:val="22"/>
      <w:szCs w:val="24"/>
    </w:rPr>
  </w:style>
  <w:style w:type="paragraph" w:styleId="Index5">
    <w:name w:val="index 5"/>
    <w:next w:val="Normal"/>
    <w:rsid w:val="005A2685"/>
    <w:pPr>
      <w:ind w:left="1100" w:hanging="220"/>
    </w:pPr>
    <w:rPr>
      <w:sz w:val="22"/>
      <w:szCs w:val="24"/>
    </w:rPr>
  </w:style>
  <w:style w:type="paragraph" w:styleId="Index6">
    <w:name w:val="index 6"/>
    <w:next w:val="Normal"/>
    <w:rsid w:val="005A2685"/>
    <w:pPr>
      <w:ind w:left="1320" w:hanging="220"/>
    </w:pPr>
    <w:rPr>
      <w:sz w:val="22"/>
      <w:szCs w:val="24"/>
    </w:rPr>
  </w:style>
  <w:style w:type="paragraph" w:styleId="Index7">
    <w:name w:val="index 7"/>
    <w:next w:val="Normal"/>
    <w:rsid w:val="005A2685"/>
    <w:pPr>
      <w:ind w:left="1540" w:hanging="220"/>
    </w:pPr>
    <w:rPr>
      <w:sz w:val="22"/>
      <w:szCs w:val="24"/>
    </w:rPr>
  </w:style>
  <w:style w:type="paragraph" w:styleId="Index8">
    <w:name w:val="index 8"/>
    <w:next w:val="Normal"/>
    <w:rsid w:val="005A2685"/>
    <w:pPr>
      <w:ind w:left="1760" w:hanging="220"/>
    </w:pPr>
    <w:rPr>
      <w:sz w:val="22"/>
      <w:szCs w:val="24"/>
    </w:rPr>
  </w:style>
  <w:style w:type="paragraph" w:styleId="Index9">
    <w:name w:val="index 9"/>
    <w:next w:val="Normal"/>
    <w:rsid w:val="005A2685"/>
    <w:pPr>
      <w:ind w:left="1980" w:hanging="220"/>
    </w:pPr>
    <w:rPr>
      <w:sz w:val="22"/>
      <w:szCs w:val="24"/>
    </w:rPr>
  </w:style>
  <w:style w:type="paragraph" w:styleId="IndexHeading">
    <w:name w:val="index heading"/>
    <w:next w:val="Index1"/>
    <w:rsid w:val="005A2685"/>
    <w:rPr>
      <w:rFonts w:ascii="Arial" w:hAnsi="Arial" w:cs="Arial"/>
      <w:b/>
      <w:bCs/>
      <w:sz w:val="22"/>
      <w:szCs w:val="24"/>
    </w:rPr>
  </w:style>
  <w:style w:type="paragraph" w:customStyle="1" w:styleId="Item">
    <w:name w:val="Item"/>
    <w:aliases w:val="i"/>
    <w:basedOn w:val="OPCParaBase"/>
    <w:next w:val="ItemHead"/>
    <w:rsid w:val="00BD574A"/>
    <w:pPr>
      <w:keepLines/>
      <w:spacing w:before="80" w:line="240" w:lineRule="auto"/>
      <w:ind w:left="709"/>
    </w:pPr>
  </w:style>
  <w:style w:type="paragraph" w:customStyle="1" w:styleId="ItemHead">
    <w:name w:val="ItemHead"/>
    <w:aliases w:val="ih"/>
    <w:basedOn w:val="OPCParaBase"/>
    <w:next w:val="Item"/>
    <w:link w:val="ItemHeadChar"/>
    <w:rsid w:val="00BD574A"/>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BD574A"/>
    <w:rPr>
      <w:sz w:val="16"/>
    </w:rPr>
  </w:style>
  <w:style w:type="paragraph" w:styleId="List">
    <w:name w:val="List"/>
    <w:rsid w:val="005A2685"/>
    <w:pPr>
      <w:ind w:left="283" w:hanging="283"/>
    </w:pPr>
    <w:rPr>
      <w:sz w:val="22"/>
      <w:szCs w:val="24"/>
    </w:rPr>
  </w:style>
  <w:style w:type="paragraph" w:styleId="List2">
    <w:name w:val="List 2"/>
    <w:rsid w:val="005A2685"/>
    <w:pPr>
      <w:ind w:left="566" w:hanging="283"/>
    </w:pPr>
    <w:rPr>
      <w:sz w:val="22"/>
      <w:szCs w:val="24"/>
    </w:rPr>
  </w:style>
  <w:style w:type="paragraph" w:styleId="List3">
    <w:name w:val="List 3"/>
    <w:rsid w:val="005A2685"/>
    <w:pPr>
      <w:ind w:left="849" w:hanging="283"/>
    </w:pPr>
    <w:rPr>
      <w:sz w:val="22"/>
      <w:szCs w:val="24"/>
    </w:rPr>
  </w:style>
  <w:style w:type="paragraph" w:styleId="List4">
    <w:name w:val="List 4"/>
    <w:rsid w:val="005A2685"/>
    <w:pPr>
      <w:ind w:left="1132" w:hanging="283"/>
    </w:pPr>
    <w:rPr>
      <w:sz w:val="22"/>
      <w:szCs w:val="24"/>
    </w:rPr>
  </w:style>
  <w:style w:type="paragraph" w:styleId="List5">
    <w:name w:val="List 5"/>
    <w:rsid w:val="005A2685"/>
    <w:pPr>
      <w:ind w:left="1415" w:hanging="283"/>
    </w:pPr>
    <w:rPr>
      <w:sz w:val="22"/>
      <w:szCs w:val="24"/>
    </w:rPr>
  </w:style>
  <w:style w:type="paragraph" w:styleId="ListBullet">
    <w:name w:val="List Bullet"/>
    <w:rsid w:val="005A2685"/>
    <w:pPr>
      <w:numPr>
        <w:numId w:val="7"/>
      </w:numPr>
      <w:tabs>
        <w:tab w:val="clear" w:pos="360"/>
        <w:tab w:val="num" w:pos="2989"/>
      </w:tabs>
      <w:ind w:left="1225" w:firstLine="1043"/>
    </w:pPr>
    <w:rPr>
      <w:sz w:val="22"/>
      <w:szCs w:val="24"/>
    </w:rPr>
  </w:style>
  <w:style w:type="paragraph" w:styleId="ListBullet2">
    <w:name w:val="List Bullet 2"/>
    <w:rsid w:val="005A2685"/>
    <w:pPr>
      <w:numPr>
        <w:numId w:val="9"/>
      </w:numPr>
      <w:tabs>
        <w:tab w:val="clear" w:pos="643"/>
        <w:tab w:val="num" w:pos="360"/>
      </w:tabs>
      <w:ind w:left="360"/>
    </w:pPr>
    <w:rPr>
      <w:sz w:val="22"/>
      <w:szCs w:val="24"/>
    </w:rPr>
  </w:style>
  <w:style w:type="paragraph" w:styleId="ListBullet3">
    <w:name w:val="List Bullet 3"/>
    <w:rsid w:val="005A2685"/>
    <w:pPr>
      <w:numPr>
        <w:numId w:val="11"/>
      </w:numPr>
      <w:tabs>
        <w:tab w:val="clear" w:pos="926"/>
        <w:tab w:val="num" w:pos="360"/>
      </w:tabs>
      <w:ind w:left="360"/>
    </w:pPr>
    <w:rPr>
      <w:sz w:val="22"/>
      <w:szCs w:val="24"/>
    </w:rPr>
  </w:style>
  <w:style w:type="paragraph" w:styleId="ListBullet4">
    <w:name w:val="List Bullet 4"/>
    <w:rsid w:val="005A2685"/>
    <w:pPr>
      <w:numPr>
        <w:numId w:val="13"/>
      </w:numPr>
      <w:tabs>
        <w:tab w:val="clear" w:pos="1209"/>
        <w:tab w:val="num" w:pos="926"/>
      </w:tabs>
      <w:ind w:left="926"/>
    </w:pPr>
    <w:rPr>
      <w:sz w:val="22"/>
      <w:szCs w:val="24"/>
    </w:rPr>
  </w:style>
  <w:style w:type="paragraph" w:styleId="ListBullet5">
    <w:name w:val="List Bullet 5"/>
    <w:rsid w:val="005A2685"/>
    <w:pPr>
      <w:numPr>
        <w:numId w:val="15"/>
      </w:numPr>
    </w:pPr>
    <w:rPr>
      <w:sz w:val="22"/>
      <w:szCs w:val="24"/>
    </w:rPr>
  </w:style>
  <w:style w:type="paragraph" w:styleId="ListContinue">
    <w:name w:val="List Continue"/>
    <w:rsid w:val="005A2685"/>
    <w:pPr>
      <w:spacing w:after="120"/>
      <w:ind w:left="283"/>
    </w:pPr>
    <w:rPr>
      <w:sz w:val="22"/>
      <w:szCs w:val="24"/>
    </w:rPr>
  </w:style>
  <w:style w:type="paragraph" w:styleId="ListContinue2">
    <w:name w:val="List Continue 2"/>
    <w:rsid w:val="005A2685"/>
    <w:pPr>
      <w:spacing w:after="120"/>
      <w:ind w:left="566"/>
    </w:pPr>
    <w:rPr>
      <w:sz w:val="22"/>
      <w:szCs w:val="24"/>
    </w:rPr>
  </w:style>
  <w:style w:type="paragraph" w:styleId="ListContinue3">
    <w:name w:val="List Continue 3"/>
    <w:rsid w:val="005A2685"/>
    <w:pPr>
      <w:spacing w:after="120"/>
      <w:ind w:left="849"/>
    </w:pPr>
    <w:rPr>
      <w:sz w:val="22"/>
      <w:szCs w:val="24"/>
    </w:rPr>
  </w:style>
  <w:style w:type="paragraph" w:styleId="ListContinue4">
    <w:name w:val="List Continue 4"/>
    <w:rsid w:val="005A2685"/>
    <w:pPr>
      <w:spacing w:after="120"/>
      <w:ind w:left="1132"/>
    </w:pPr>
    <w:rPr>
      <w:sz w:val="22"/>
      <w:szCs w:val="24"/>
    </w:rPr>
  </w:style>
  <w:style w:type="paragraph" w:styleId="ListContinue5">
    <w:name w:val="List Continue 5"/>
    <w:rsid w:val="005A2685"/>
    <w:pPr>
      <w:spacing w:after="120"/>
      <w:ind w:left="1415"/>
    </w:pPr>
    <w:rPr>
      <w:sz w:val="22"/>
      <w:szCs w:val="24"/>
    </w:rPr>
  </w:style>
  <w:style w:type="paragraph" w:styleId="ListNumber">
    <w:name w:val="List Number"/>
    <w:rsid w:val="005A2685"/>
    <w:pPr>
      <w:numPr>
        <w:numId w:val="17"/>
      </w:numPr>
      <w:tabs>
        <w:tab w:val="clear" w:pos="360"/>
        <w:tab w:val="num" w:pos="4242"/>
      </w:tabs>
      <w:ind w:left="3521" w:hanging="1043"/>
    </w:pPr>
    <w:rPr>
      <w:sz w:val="22"/>
      <w:szCs w:val="24"/>
    </w:rPr>
  </w:style>
  <w:style w:type="paragraph" w:styleId="ListNumber2">
    <w:name w:val="List Number 2"/>
    <w:rsid w:val="005A2685"/>
    <w:pPr>
      <w:numPr>
        <w:numId w:val="19"/>
      </w:numPr>
      <w:tabs>
        <w:tab w:val="clear" w:pos="643"/>
        <w:tab w:val="num" w:pos="360"/>
      </w:tabs>
      <w:ind w:left="360" w:firstLine="0"/>
    </w:pPr>
    <w:rPr>
      <w:sz w:val="22"/>
      <w:szCs w:val="24"/>
    </w:rPr>
  </w:style>
  <w:style w:type="paragraph" w:styleId="ListNumber3">
    <w:name w:val="List Number 3"/>
    <w:rsid w:val="005A2685"/>
    <w:pPr>
      <w:numPr>
        <w:numId w:val="21"/>
      </w:numPr>
      <w:tabs>
        <w:tab w:val="clear" w:pos="926"/>
        <w:tab w:val="num" w:pos="360"/>
      </w:tabs>
      <w:ind w:left="360"/>
    </w:pPr>
    <w:rPr>
      <w:sz w:val="22"/>
      <w:szCs w:val="24"/>
    </w:rPr>
  </w:style>
  <w:style w:type="paragraph" w:styleId="ListNumber4">
    <w:name w:val="List Number 4"/>
    <w:rsid w:val="005A2685"/>
    <w:pPr>
      <w:numPr>
        <w:numId w:val="23"/>
      </w:numPr>
      <w:tabs>
        <w:tab w:val="clear" w:pos="1209"/>
        <w:tab w:val="num" w:pos="360"/>
      </w:tabs>
      <w:ind w:left="360"/>
    </w:pPr>
    <w:rPr>
      <w:sz w:val="22"/>
      <w:szCs w:val="24"/>
    </w:rPr>
  </w:style>
  <w:style w:type="paragraph" w:styleId="ListNumber5">
    <w:name w:val="List Number 5"/>
    <w:rsid w:val="005A2685"/>
    <w:pPr>
      <w:numPr>
        <w:numId w:val="25"/>
      </w:numPr>
      <w:tabs>
        <w:tab w:val="clear" w:pos="1492"/>
        <w:tab w:val="num" w:pos="1440"/>
      </w:tabs>
      <w:ind w:left="0" w:firstLine="0"/>
    </w:pPr>
    <w:rPr>
      <w:sz w:val="22"/>
      <w:szCs w:val="24"/>
    </w:rPr>
  </w:style>
  <w:style w:type="paragraph" w:customStyle="1" w:styleId="LongT">
    <w:name w:val="LongT"/>
    <w:basedOn w:val="OPCParaBase"/>
    <w:rsid w:val="00BD574A"/>
    <w:pPr>
      <w:spacing w:line="240" w:lineRule="auto"/>
    </w:pPr>
    <w:rPr>
      <w:b/>
      <w:sz w:val="32"/>
    </w:rPr>
  </w:style>
  <w:style w:type="paragraph" w:styleId="MacroText">
    <w:name w:val="macro"/>
    <w:rsid w:val="005A268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5A268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5A2685"/>
    <w:rPr>
      <w:sz w:val="24"/>
      <w:szCs w:val="24"/>
    </w:rPr>
  </w:style>
  <w:style w:type="paragraph" w:styleId="NormalIndent">
    <w:name w:val="Normal Indent"/>
    <w:rsid w:val="005A2685"/>
    <w:pPr>
      <w:ind w:left="720"/>
    </w:pPr>
    <w:rPr>
      <w:sz w:val="22"/>
      <w:szCs w:val="24"/>
    </w:rPr>
  </w:style>
  <w:style w:type="paragraph" w:styleId="NoteHeading">
    <w:name w:val="Note Heading"/>
    <w:next w:val="Normal"/>
    <w:rsid w:val="005A2685"/>
    <w:rPr>
      <w:sz w:val="22"/>
      <w:szCs w:val="24"/>
    </w:rPr>
  </w:style>
  <w:style w:type="paragraph" w:customStyle="1" w:styleId="notedraft">
    <w:name w:val="note(draft)"/>
    <w:aliases w:val="nd"/>
    <w:basedOn w:val="OPCParaBase"/>
    <w:rsid w:val="00BD574A"/>
    <w:pPr>
      <w:spacing w:before="240" w:line="240" w:lineRule="auto"/>
      <w:ind w:left="284" w:hanging="284"/>
    </w:pPr>
    <w:rPr>
      <w:i/>
      <w:sz w:val="24"/>
    </w:rPr>
  </w:style>
  <w:style w:type="paragraph" w:customStyle="1" w:styleId="notepara">
    <w:name w:val="note(para)"/>
    <w:aliases w:val="na"/>
    <w:basedOn w:val="OPCParaBase"/>
    <w:rsid w:val="00BD574A"/>
    <w:pPr>
      <w:spacing w:before="40" w:line="198" w:lineRule="exact"/>
      <w:ind w:left="2354" w:hanging="369"/>
    </w:pPr>
    <w:rPr>
      <w:sz w:val="18"/>
    </w:rPr>
  </w:style>
  <w:style w:type="paragraph" w:customStyle="1" w:styleId="noteParlAmend">
    <w:name w:val="note(ParlAmend)"/>
    <w:aliases w:val="npp"/>
    <w:basedOn w:val="OPCParaBase"/>
    <w:next w:val="ParlAmend"/>
    <w:rsid w:val="00BD574A"/>
    <w:pPr>
      <w:spacing w:line="240" w:lineRule="auto"/>
      <w:jc w:val="right"/>
    </w:pPr>
    <w:rPr>
      <w:rFonts w:ascii="Arial" w:hAnsi="Arial"/>
      <w:b/>
      <w:i/>
    </w:rPr>
  </w:style>
  <w:style w:type="character" w:styleId="PageNumber">
    <w:name w:val="page number"/>
    <w:basedOn w:val="DefaultParagraphFont"/>
    <w:rsid w:val="005A2685"/>
  </w:style>
  <w:style w:type="paragraph" w:customStyle="1" w:styleId="Page1">
    <w:name w:val="Page1"/>
    <w:basedOn w:val="OPCParaBase"/>
    <w:rsid w:val="00BD574A"/>
    <w:pPr>
      <w:spacing w:before="5600" w:line="240" w:lineRule="auto"/>
    </w:pPr>
    <w:rPr>
      <w:b/>
      <w:sz w:val="32"/>
    </w:rPr>
  </w:style>
  <w:style w:type="paragraph" w:customStyle="1" w:styleId="PageBreak">
    <w:name w:val="PageBreak"/>
    <w:aliases w:val="pb"/>
    <w:basedOn w:val="OPCParaBase"/>
    <w:rsid w:val="00BD574A"/>
    <w:pPr>
      <w:spacing w:line="240" w:lineRule="auto"/>
    </w:pPr>
    <w:rPr>
      <w:sz w:val="20"/>
    </w:rPr>
  </w:style>
  <w:style w:type="character" w:customStyle="1" w:styleId="subsectionChar">
    <w:name w:val="subsection Char"/>
    <w:aliases w:val="ss Char"/>
    <w:basedOn w:val="DefaultParagraphFont"/>
    <w:link w:val="subsection"/>
    <w:rsid w:val="00F31542"/>
    <w:rPr>
      <w:sz w:val="22"/>
    </w:rPr>
  </w:style>
  <w:style w:type="paragraph" w:customStyle="1" w:styleId="paragraph">
    <w:name w:val="paragraph"/>
    <w:aliases w:val="a"/>
    <w:basedOn w:val="OPCParaBase"/>
    <w:link w:val="paragraphChar"/>
    <w:rsid w:val="00BD574A"/>
    <w:pPr>
      <w:tabs>
        <w:tab w:val="right" w:pos="1531"/>
      </w:tabs>
      <w:spacing w:before="40" w:line="240" w:lineRule="auto"/>
      <w:ind w:left="1644" w:hanging="1644"/>
    </w:pPr>
  </w:style>
  <w:style w:type="paragraph" w:customStyle="1" w:styleId="paragraphsub">
    <w:name w:val="paragraph(sub)"/>
    <w:aliases w:val="aa"/>
    <w:basedOn w:val="OPCParaBase"/>
    <w:rsid w:val="00BD574A"/>
    <w:pPr>
      <w:tabs>
        <w:tab w:val="right" w:pos="1985"/>
      </w:tabs>
      <w:spacing w:before="40" w:line="240" w:lineRule="auto"/>
      <w:ind w:left="2098" w:hanging="2098"/>
    </w:pPr>
  </w:style>
  <w:style w:type="paragraph" w:customStyle="1" w:styleId="paragraphsub-sub">
    <w:name w:val="paragraph(sub-sub)"/>
    <w:aliases w:val="aaa"/>
    <w:basedOn w:val="OPCParaBase"/>
    <w:rsid w:val="00BD574A"/>
    <w:pPr>
      <w:tabs>
        <w:tab w:val="right" w:pos="2722"/>
      </w:tabs>
      <w:spacing w:before="40" w:line="240" w:lineRule="auto"/>
      <w:ind w:left="2835" w:hanging="2835"/>
    </w:pPr>
  </w:style>
  <w:style w:type="paragraph" w:customStyle="1" w:styleId="ParlAmend">
    <w:name w:val="ParlAmend"/>
    <w:aliases w:val="pp"/>
    <w:basedOn w:val="OPCParaBase"/>
    <w:rsid w:val="00BD574A"/>
    <w:pPr>
      <w:spacing w:before="240" w:line="240" w:lineRule="atLeast"/>
      <w:ind w:hanging="567"/>
    </w:pPr>
    <w:rPr>
      <w:sz w:val="24"/>
    </w:rPr>
  </w:style>
  <w:style w:type="paragraph" w:customStyle="1" w:styleId="Penalty">
    <w:name w:val="Penalty"/>
    <w:basedOn w:val="OPCParaBase"/>
    <w:rsid w:val="00BD574A"/>
    <w:pPr>
      <w:tabs>
        <w:tab w:val="left" w:pos="2977"/>
      </w:tabs>
      <w:spacing w:before="180" w:line="240" w:lineRule="auto"/>
      <w:ind w:left="1985" w:hanging="851"/>
    </w:pPr>
  </w:style>
  <w:style w:type="paragraph" w:styleId="PlainText">
    <w:name w:val="Plain Text"/>
    <w:rsid w:val="005A2685"/>
    <w:rPr>
      <w:rFonts w:ascii="Courier New" w:hAnsi="Courier New" w:cs="Courier New"/>
      <w:sz w:val="22"/>
    </w:rPr>
  </w:style>
  <w:style w:type="paragraph" w:customStyle="1" w:styleId="Portfolio">
    <w:name w:val="Portfolio"/>
    <w:basedOn w:val="OPCParaBase"/>
    <w:rsid w:val="00BD574A"/>
    <w:pPr>
      <w:spacing w:line="240" w:lineRule="auto"/>
    </w:pPr>
    <w:rPr>
      <w:i/>
      <w:sz w:val="20"/>
    </w:rPr>
  </w:style>
  <w:style w:type="paragraph" w:customStyle="1" w:styleId="Preamble">
    <w:name w:val="Preamble"/>
    <w:basedOn w:val="OPCParaBase"/>
    <w:next w:val="Normal"/>
    <w:rsid w:val="00BD574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D574A"/>
    <w:pPr>
      <w:spacing w:line="240" w:lineRule="auto"/>
    </w:pPr>
    <w:rPr>
      <w:i/>
      <w:sz w:val="20"/>
    </w:rPr>
  </w:style>
  <w:style w:type="paragraph" w:styleId="Salutation">
    <w:name w:val="Salutation"/>
    <w:next w:val="Normal"/>
    <w:rsid w:val="005A2685"/>
    <w:rPr>
      <w:sz w:val="22"/>
      <w:szCs w:val="24"/>
    </w:rPr>
  </w:style>
  <w:style w:type="paragraph" w:customStyle="1" w:styleId="Session">
    <w:name w:val="Session"/>
    <w:basedOn w:val="OPCParaBase"/>
    <w:rsid w:val="00BD574A"/>
    <w:pPr>
      <w:spacing w:line="240" w:lineRule="auto"/>
    </w:pPr>
    <w:rPr>
      <w:sz w:val="28"/>
    </w:rPr>
  </w:style>
  <w:style w:type="paragraph" w:customStyle="1" w:styleId="ShortT">
    <w:name w:val="ShortT"/>
    <w:basedOn w:val="OPCParaBase"/>
    <w:next w:val="Normal"/>
    <w:qFormat/>
    <w:rsid w:val="00BD574A"/>
    <w:pPr>
      <w:spacing w:line="240" w:lineRule="auto"/>
    </w:pPr>
    <w:rPr>
      <w:b/>
      <w:sz w:val="40"/>
    </w:rPr>
  </w:style>
  <w:style w:type="paragraph" w:styleId="Signature">
    <w:name w:val="Signature"/>
    <w:rsid w:val="005A2685"/>
    <w:pPr>
      <w:ind w:left="4252"/>
    </w:pPr>
    <w:rPr>
      <w:sz w:val="22"/>
      <w:szCs w:val="24"/>
    </w:rPr>
  </w:style>
  <w:style w:type="paragraph" w:customStyle="1" w:styleId="Sponsor">
    <w:name w:val="Sponsor"/>
    <w:basedOn w:val="OPCParaBase"/>
    <w:rsid w:val="00BD574A"/>
    <w:pPr>
      <w:spacing w:line="240" w:lineRule="auto"/>
    </w:pPr>
    <w:rPr>
      <w:i/>
    </w:rPr>
  </w:style>
  <w:style w:type="character" w:styleId="Strong">
    <w:name w:val="Strong"/>
    <w:basedOn w:val="DefaultParagraphFont"/>
    <w:qFormat/>
    <w:rsid w:val="005A2685"/>
    <w:rPr>
      <w:b/>
      <w:bCs/>
    </w:rPr>
  </w:style>
  <w:style w:type="paragraph" w:customStyle="1" w:styleId="Subitem">
    <w:name w:val="Subitem"/>
    <w:aliases w:val="iss"/>
    <w:basedOn w:val="OPCParaBase"/>
    <w:rsid w:val="00BD574A"/>
    <w:pPr>
      <w:spacing w:before="180" w:line="240" w:lineRule="auto"/>
      <w:ind w:left="709" w:hanging="709"/>
    </w:pPr>
  </w:style>
  <w:style w:type="paragraph" w:customStyle="1" w:styleId="SubitemHead">
    <w:name w:val="SubitemHead"/>
    <w:aliases w:val="issh"/>
    <w:basedOn w:val="OPCParaBase"/>
    <w:rsid w:val="00BD574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BD574A"/>
    <w:pPr>
      <w:spacing w:before="40" w:line="240" w:lineRule="auto"/>
      <w:ind w:left="1134"/>
    </w:pPr>
  </w:style>
  <w:style w:type="paragraph" w:customStyle="1" w:styleId="SubsectionHead">
    <w:name w:val="SubsectionHead"/>
    <w:aliases w:val="ssh"/>
    <w:basedOn w:val="OPCParaBase"/>
    <w:next w:val="subsection"/>
    <w:rsid w:val="00BD574A"/>
    <w:pPr>
      <w:keepNext/>
      <w:keepLines/>
      <w:spacing w:before="240" w:line="240" w:lineRule="auto"/>
      <w:ind w:left="1134"/>
    </w:pPr>
    <w:rPr>
      <w:i/>
    </w:rPr>
  </w:style>
  <w:style w:type="paragraph" w:styleId="Subtitle">
    <w:name w:val="Subtitle"/>
    <w:qFormat/>
    <w:rsid w:val="005A2685"/>
    <w:pPr>
      <w:spacing w:after="60"/>
      <w:jc w:val="center"/>
    </w:pPr>
    <w:rPr>
      <w:rFonts w:ascii="Arial" w:hAnsi="Arial" w:cs="Arial"/>
      <w:sz w:val="24"/>
      <w:szCs w:val="24"/>
    </w:rPr>
  </w:style>
  <w:style w:type="table" w:styleId="Table3Deffects1">
    <w:name w:val="Table 3D effects 1"/>
    <w:basedOn w:val="TableNormal"/>
    <w:rsid w:val="005A2685"/>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A2685"/>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A2685"/>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A2685"/>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A2685"/>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A2685"/>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A2685"/>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A2685"/>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A2685"/>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A2685"/>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A2685"/>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A2685"/>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A2685"/>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A2685"/>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A2685"/>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A2685"/>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A2685"/>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D574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A268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A2685"/>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A2685"/>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A2685"/>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A268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A2685"/>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A2685"/>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A2685"/>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A2685"/>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A2685"/>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A2685"/>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A268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A268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A2685"/>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A2685"/>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A2685"/>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5A2685"/>
    <w:pPr>
      <w:ind w:left="220" w:hanging="220"/>
    </w:pPr>
    <w:rPr>
      <w:sz w:val="22"/>
      <w:szCs w:val="24"/>
    </w:rPr>
  </w:style>
  <w:style w:type="paragraph" w:styleId="TableofFigures">
    <w:name w:val="table of figures"/>
    <w:next w:val="Normal"/>
    <w:rsid w:val="005A2685"/>
    <w:pPr>
      <w:ind w:left="440" w:hanging="440"/>
    </w:pPr>
    <w:rPr>
      <w:sz w:val="22"/>
      <w:szCs w:val="24"/>
    </w:rPr>
  </w:style>
  <w:style w:type="table" w:styleId="TableProfessional">
    <w:name w:val="Table Professional"/>
    <w:basedOn w:val="TableNormal"/>
    <w:rsid w:val="005A268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A2685"/>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A2685"/>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A2685"/>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A2685"/>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A2685"/>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A2685"/>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A2685"/>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A2685"/>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A2685"/>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BD574A"/>
    <w:pPr>
      <w:spacing w:before="60" w:line="240" w:lineRule="auto"/>
      <w:ind w:left="284" w:hanging="284"/>
    </w:pPr>
    <w:rPr>
      <w:sz w:val="20"/>
    </w:rPr>
  </w:style>
  <w:style w:type="paragraph" w:customStyle="1" w:styleId="Tablei">
    <w:name w:val="Table(i)"/>
    <w:aliases w:val="taa"/>
    <w:basedOn w:val="OPCParaBase"/>
    <w:rsid w:val="00BD574A"/>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BD574A"/>
    <w:pPr>
      <w:tabs>
        <w:tab w:val="left" w:pos="-6543"/>
        <w:tab w:val="left" w:pos="-6260"/>
      </w:tabs>
      <w:spacing w:line="240" w:lineRule="exact"/>
      <w:ind w:left="1055" w:hanging="284"/>
    </w:pPr>
    <w:rPr>
      <w:sz w:val="20"/>
    </w:rPr>
  </w:style>
  <w:style w:type="character" w:customStyle="1" w:styleId="ItemHeadChar">
    <w:name w:val="ItemHead Char"/>
    <w:aliases w:val="ih Char"/>
    <w:basedOn w:val="DefaultParagraphFont"/>
    <w:link w:val="ItemHead"/>
    <w:rsid w:val="00B07A5E"/>
    <w:rPr>
      <w:rFonts w:ascii="Arial" w:hAnsi="Arial"/>
      <w:b/>
      <w:kern w:val="28"/>
      <w:sz w:val="24"/>
    </w:rPr>
  </w:style>
  <w:style w:type="paragraph" w:customStyle="1" w:styleId="Tabletext">
    <w:name w:val="Tabletext"/>
    <w:aliases w:val="tt"/>
    <w:basedOn w:val="OPCParaBase"/>
    <w:rsid w:val="00BD574A"/>
    <w:pPr>
      <w:spacing w:before="60" w:line="240" w:lineRule="atLeast"/>
    </w:pPr>
    <w:rPr>
      <w:sz w:val="20"/>
    </w:rPr>
  </w:style>
  <w:style w:type="paragraph" w:styleId="Title">
    <w:name w:val="Title"/>
    <w:qFormat/>
    <w:rsid w:val="005A2685"/>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BD574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D574A"/>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D574A"/>
    <w:pPr>
      <w:spacing w:before="122" w:line="198" w:lineRule="exact"/>
      <w:ind w:left="1985" w:hanging="851"/>
      <w:jc w:val="right"/>
    </w:pPr>
    <w:rPr>
      <w:sz w:val="18"/>
    </w:rPr>
  </w:style>
  <w:style w:type="paragraph" w:customStyle="1" w:styleId="TLPTableBullet">
    <w:name w:val="TLPTableBullet"/>
    <w:aliases w:val="ttb"/>
    <w:basedOn w:val="OPCParaBase"/>
    <w:rsid w:val="00BD574A"/>
    <w:pPr>
      <w:spacing w:line="240" w:lineRule="exact"/>
      <w:ind w:left="284" w:hanging="284"/>
    </w:pPr>
    <w:rPr>
      <w:sz w:val="20"/>
    </w:rPr>
  </w:style>
  <w:style w:type="paragraph" w:styleId="TOAHeading">
    <w:name w:val="toa heading"/>
    <w:next w:val="Normal"/>
    <w:rsid w:val="005A2685"/>
    <w:pPr>
      <w:spacing w:before="120"/>
    </w:pPr>
    <w:rPr>
      <w:rFonts w:ascii="Arial" w:hAnsi="Arial" w:cs="Arial"/>
      <w:b/>
      <w:bCs/>
      <w:sz w:val="24"/>
      <w:szCs w:val="24"/>
    </w:rPr>
  </w:style>
  <w:style w:type="paragraph" w:styleId="TOC1">
    <w:name w:val="toc 1"/>
    <w:basedOn w:val="OPCParaBase"/>
    <w:next w:val="Normal"/>
    <w:uiPriority w:val="39"/>
    <w:unhideWhenUsed/>
    <w:rsid w:val="00BD574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D574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D574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D574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D574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D574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D574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D574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D574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D574A"/>
    <w:pPr>
      <w:keepLines/>
      <w:spacing w:before="240" w:after="120" w:line="240" w:lineRule="auto"/>
      <w:ind w:left="794"/>
    </w:pPr>
    <w:rPr>
      <w:b/>
      <w:kern w:val="28"/>
      <w:sz w:val="20"/>
    </w:rPr>
  </w:style>
  <w:style w:type="paragraph" w:customStyle="1" w:styleId="TofSectsHeading">
    <w:name w:val="TofSects(Heading)"/>
    <w:basedOn w:val="OPCParaBase"/>
    <w:rsid w:val="00BD574A"/>
    <w:pPr>
      <w:spacing w:before="240" w:after="120" w:line="240" w:lineRule="auto"/>
    </w:pPr>
    <w:rPr>
      <w:b/>
      <w:sz w:val="24"/>
    </w:rPr>
  </w:style>
  <w:style w:type="paragraph" w:customStyle="1" w:styleId="TofSectsSection">
    <w:name w:val="TofSects(Section)"/>
    <w:basedOn w:val="OPCParaBase"/>
    <w:rsid w:val="00BD574A"/>
    <w:pPr>
      <w:keepLines/>
      <w:spacing w:before="40" w:line="240" w:lineRule="auto"/>
      <w:ind w:left="1588" w:hanging="794"/>
    </w:pPr>
    <w:rPr>
      <w:kern w:val="28"/>
      <w:sz w:val="18"/>
    </w:rPr>
  </w:style>
  <w:style w:type="paragraph" w:customStyle="1" w:styleId="TofSectsSubdiv">
    <w:name w:val="TofSects(Subdiv)"/>
    <w:basedOn w:val="OPCParaBase"/>
    <w:rsid w:val="00BD574A"/>
    <w:pPr>
      <w:keepLines/>
      <w:spacing w:before="80" w:line="240" w:lineRule="auto"/>
      <w:ind w:left="1588" w:hanging="794"/>
    </w:pPr>
    <w:rPr>
      <w:kern w:val="28"/>
    </w:rPr>
  </w:style>
  <w:style w:type="character" w:customStyle="1" w:styleId="HeaderChar">
    <w:name w:val="Header Char"/>
    <w:basedOn w:val="DefaultParagraphFont"/>
    <w:link w:val="Header"/>
    <w:rsid w:val="00BD574A"/>
    <w:rPr>
      <w:sz w:val="16"/>
    </w:rPr>
  </w:style>
  <w:style w:type="character" w:customStyle="1" w:styleId="OPCCharBase">
    <w:name w:val="OPCCharBase"/>
    <w:uiPriority w:val="1"/>
    <w:qFormat/>
    <w:rsid w:val="00BD574A"/>
  </w:style>
  <w:style w:type="paragraph" w:customStyle="1" w:styleId="OPCParaBase">
    <w:name w:val="OPCParaBase"/>
    <w:qFormat/>
    <w:rsid w:val="00BD574A"/>
    <w:pPr>
      <w:spacing w:line="260" w:lineRule="atLeast"/>
    </w:pPr>
    <w:rPr>
      <w:sz w:val="22"/>
    </w:rPr>
  </w:style>
  <w:style w:type="paragraph" w:customStyle="1" w:styleId="noteToPara">
    <w:name w:val="noteToPara"/>
    <w:aliases w:val="ntp"/>
    <w:basedOn w:val="OPCParaBase"/>
    <w:rsid w:val="00BD574A"/>
    <w:pPr>
      <w:spacing w:before="122" w:line="198" w:lineRule="exact"/>
      <w:ind w:left="2353" w:hanging="709"/>
    </w:pPr>
    <w:rPr>
      <w:sz w:val="18"/>
    </w:rPr>
  </w:style>
  <w:style w:type="paragraph" w:customStyle="1" w:styleId="WRStyle">
    <w:name w:val="WR Style"/>
    <w:aliases w:val="WR"/>
    <w:basedOn w:val="OPCParaBase"/>
    <w:rsid w:val="00BD574A"/>
    <w:pPr>
      <w:spacing w:before="240" w:line="240" w:lineRule="auto"/>
      <w:ind w:left="284" w:hanging="284"/>
    </w:pPr>
    <w:rPr>
      <w:b/>
      <w:i/>
      <w:kern w:val="28"/>
      <w:sz w:val="24"/>
    </w:rPr>
  </w:style>
  <w:style w:type="character" w:customStyle="1" w:styleId="FooterChar">
    <w:name w:val="Footer Char"/>
    <w:basedOn w:val="DefaultParagraphFont"/>
    <w:link w:val="Footer"/>
    <w:rsid w:val="00BD574A"/>
    <w:rPr>
      <w:sz w:val="22"/>
      <w:szCs w:val="24"/>
    </w:rPr>
  </w:style>
  <w:style w:type="table" w:customStyle="1" w:styleId="CFlag">
    <w:name w:val="CFlag"/>
    <w:basedOn w:val="TableNormal"/>
    <w:uiPriority w:val="99"/>
    <w:rsid w:val="00BD574A"/>
    <w:tblPr/>
  </w:style>
  <w:style w:type="paragraph" w:customStyle="1" w:styleId="SignCoverPageEnd">
    <w:name w:val="SignCoverPageEnd"/>
    <w:basedOn w:val="OPCParaBase"/>
    <w:next w:val="Normal"/>
    <w:rsid w:val="00BD574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D574A"/>
    <w:pPr>
      <w:pBdr>
        <w:top w:val="single" w:sz="4" w:space="1" w:color="auto"/>
      </w:pBdr>
      <w:spacing w:before="360"/>
      <w:ind w:right="397"/>
      <w:jc w:val="both"/>
    </w:pPr>
  </w:style>
  <w:style w:type="paragraph" w:customStyle="1" w:styleId="ENotesHeading1">
    <w:name w:val="ENotesHeading 1"/>
    <w:aliases w:val="Enh1"/>
    <w:basedOn w:val="OPCParaBase"/>
    <w:next w:val="Normal"/>
    <w:rsid w:val="00BD574A"/>
    <w:pPr>
      <w:spacing w:before="120"/>
      <w:outlineLvl w:val="1"/>
    </w:pPr>
    <w:rPr>
      <w:b/>
      <w:sz w:val="28"/>
      <w:szCs w:val="28"/>
    </w:rPr>
  </w:style>
  <w:style w:type="paragraph" w:customStyle="1" w:styleId="ENotesHeading2">
    <w:name w:val="ENotesHeading 2"/>
    <w:aliases w:val="Enh2"/>
    <w:basedOn w:val="OPCParaBase"/>
    <w:next w:val="Normal"/>
    <w:rsid w:val="00BD574A"/>
    <w:pPr>
      <w:spacing w:before="120" w:after="120"/>
      <w:outlineLvl w:val="2"/>
    </w:pPr>
    <w:rPr>
      <w:b/>
      <w:sz w:val="24"/>
      <w:szCs w:val="28"/>
    </w:rPr>
  </w:style>
  <w:style w:type="paragraph" w:customStyle="1" w:styleId="CompiledActNo">
    <w:name w:val="CompiledActNo"/>
    <w:basedOn w:val="OPCParaBase"/>
    <w:next w:val="Normal"/>
    <w:rsid w:val="00BD574A"/>
    <w:rPr>
      <w:b/>
      <w:sz w:val="24"/>
      <w:szCs w:val="24"/>
    </w:rPr>
  </w:style>
  <w:style w:type="paragraph" w:customStyle="1" w:styleId="ENotesText">
    <w:name w:val="ENotesText"/>
    <w:aliases w:val="Ent,ENt"/>
    <w:basedOn w:val="OPCParaBase"/>
    <w:next w:val="Normal"/>
    <w:rsid w:val="00BD574A"/>
    <w:pPr>
      <w:spacing w:before="120"/>
    </w:pPr>
  </w:style>
  <w:style w:type="paragraph" w:customStyle="1" w:styleId="CompiledMadeUnder">
    <w:name w:val="CompiledMadeUnder"/>
    <w:basedOn w:val="OPCParaBase"/>
    <w:next w:val="Normal"/>
    <w:rsid w:val="00BD574A"/>
    <w:rPr>
      <w:i/>
      <w:sz w:val="24"/>
      <w:szCs w:val="24"/>
    </w:rPr>
  </w:style>
  <w:style w:type="paragraph" w:customStyle="1" w:styleId="Paragraphsub-sub-sub">
    <w:name w:val="Paragraph(sub-sub-sub)"/>
    <w:aliases w:val="aaaa"/>
    <w:basedOn w:val="OPCParaBase"/>
    <w:rsid w:val="00BD574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D574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D574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D574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D574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D574A"/>
    <w:pPr>
      <w:spacing w:before="60" w:line="240" w:lineRule="auto"/>
    </w:pPr>
    <w:rPr>
      <w:rFonts w:cs="Arial"/>
      <w:sz w:val="20"/>
      <w:szCs w:val="22"/>
    </w:rPr>
  </w:style>
  <w:style w:type="paragraph" w:customStyle="1" w:styleId="ActHead10">
    <w:name w:val="ActHead 10"/>
    <w:aliases w:val="sp"/>
    <w:basedOn w:val="OPCParaBase"/>
    <w:next w:val="ActHead3"/>
    <w:rsid w:val="00BD574A"/>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BD574A"/>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BD574A"/>
    <w:pPr>
      <w:keepNext/>
      <w:spacing w:before="60" w:line="240" w:lineRule="atLeast"/>
    </w:pPr>
    <w:rPr>
      <w:b/>
      <w:sz w:val="20"/>
    </w:rPr>
  </w:style>
  <w:style w:type="paragraph" w:customStyle="1" w:styleId="NoteToSubpara">
    <w:name w:val="NoteToSubpara"/>
    <w:aliases w:val="nts"/>
    <w:basedOn w:val="OPCParaBase"/>
    <w:rsid w:val="00BD574A"/>
    <w:pPr>
      <w:spacing w:before="40" w:line="198" w:lineRule="exact"/>
      <w:ind w:left="2835" w:hanging="709"/>
    </w:pPr>
    <w:rPr>
      <w:sz w:val="18"/>
    </w:rPr>
  </w:style>
  <w:style w:type="paragraph" w:customStyle="1" w:styleId="ENoteTableHeading">
    <w:name w:val="ENoteTableHeading"/>
    <w:aliases w:val="enth"/>
    <w:basedOn w:val="OPCParaBase"/>
    <w:rsid w:val="00BD574A"/>
    <w:pPr>
      <w:keepNext/>
      <w:spacing w:before="60" w:line="240" w:lineRule="atLeast"/>
    </w:pPr>
    <w:rPr>
      <w:rFonts w:ascii="Arial" w:hAnsi="Arial"/>
      <w:b/>
      <w:sz w:val="16"/>
    </w:rPr>
  </w:style>
  <w:style w:type="paragraph" w:customStyle="1" w:styleId="ENoteTTi">
    <w:name w:val="ENoteTTi"/>
    <w:aliases w:val="entti"/>
    <w:basedOn w:val="OPCParaBase"/>
    <w:rsid w:val="00BD574A"/>
    <w:pPr>
      <w:keepNext/>
      <w:spacing w:before="60" w:line="240" w:lineRule="atLeast"/>
      <w:ind w:left="170"/>
    </w:pPr>
    <w:rPr>
      <w:sz w:val="16"/>
    </w:rPr>
  </w:style>
  <w:style w:type="paragraph" w:customStyle="1" w:styleId="ENoteTTIndentHeading">
    <w:name w:val="ENoteTTIndentHeading"/>
    <w:aliases w:val="enTTHi"/>
    <w:basedOn w:val="OPCParaBase"/>
    <w:rsid w:val="00BD574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D574A"/>
    <w:pPr>
      <w:spacing w:before="60" w:line="240" w:lineRule="atLeast"/>
    </w:pPr>
    <w:rPr>
      <w:sz w:val="16"/>
    </w:rPr>
  </w:style>
  <w:style w:type="paragraph" w:customStyle="1" w:styleId="MadeunderText">
    <w:name w:val="MadeunderText"/>
    <w:basedOn w:val="OPCParaBase"/>
    <w:next w:val="CompiledMadeUnder"/>
    <w:rsid w:val="00BD574A"/>
    <w:pPr>
      <w:spacing w:before="240"/>
    </w:pPr>
    <w:rPr>
      <w:sz w:val="24"/>
      <w:szCs w:val="24"/>
    </w:rPr>
  </w:style>
  <w:style w:type="paragraph" w:customStyle="1" w:styleId="ENotesHeading3">
    <w:name w:val="ENotesHeading 3"/>
    <w:aliases w:val="Enh3"/>
    <w:basedOn w:val="OPCParaBase"/>
    <w:next w:val="Normal"/>
    <w:rsid w:val="00BD574A"/>
    <w:pPr>
      <w:keepNext/>
      <w:spacing w:before="120" w:line="240" w:lineRule="auto"/>
      <w:outlineLvl w:val="4"/>
    </w:pPr>
    <w:rPr>
      <w:b/>
      <w:szCs w:val="24"/>
    </w:rPr>
  </w:style>
  <w:style w:type="paragraph" w:customStyle="1" w:styleId="SubPartCASA">
    <w:name w:val="SubPart(CASA)"/>
    <w:aliases w:val="csp"/>
    <w:basedOn w:val="OPCParaBase"/>
    <w:next w:val="ActHead3"/>
    <w:rsid w:val="00BD574A"/>
    <w:pPr>
      <w:keepNext/>
      <w:keepLines/>
      <w:spacing w:before="280"/>
      <w:outlineLvl w:val="1"/>
    </w:pPr>
    <w:rPr>
      <w:b/>
      <w:kern w:val="28"/>
      <w:sz w:val="32"/>
    </w:rPr>
  </w:style>
  <w:style w:type="paragraph" w:styleId="Revision">
    <w:name w:val="Revision"/>
    <w:hidden/>
    <w:uiPriority w:val="99"/>
    <w:semiHidden/>
    <w:rsid w:val="00F84199"/>
    <w:rPr>
      <w:rFonts w:eastAsiaTheme="minorHAnsi" w:cstheme="minorBidi"/>
      <w:sz w:val="22"/>
      <w:lang w:eastAsia="en-US"/>
    </w:rPr>
  </w:style>
  <w:style w:type="paragraph" w:customStyle="1" w:styleId="FreeForm">
    <w:name w:val="FreeForm"/>
    <w:rsid w:val="00BD574A"/>
    <w:rPr>
      <w:rFonts w:ascii="Arial" w:eastAsiaTheme="minorHAnsi" w:hAnsi="Arial" w:cstheme="minorBidi"/>
      <w:sz w:val="22"/>
      <w:lang w:eastAsia="en-US"/>
    </w:rPr>
  </w:style>
  <w:style w:type="paragraph" w:customStyle="1" w:styleId="SOText">
    <w:name w:val="SO Text"/>
    <w:aliases w:val="sot"/>
    <w:link w:val="SOTextChar"/>
    <w:rsid w:val="00BD574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D574A"/>
    <w:rPr>
      <w:rFonts w:eastAsiaTheme="minorHAnsi" w:cstheme="minorBidi"/>
      <w:sz w:val="22"/>
      <w:lang w:eastAsia="en-US"/>
    </w:rPr>
  </w:style>
  <w:style w:type="paragraph" w:customStyle="1" w:styleId="SOTextNote">
    <w:name w:val="SO TextNote"/>
    <w:aliases w:val="sont"/>
    <w:basedOn w:val="SOText"/>
    <w:qFormat/>
    <w:rsid w:val="00BD574A"/>
    <w:pPr>
      <w:spacing w:before="122" w:line="198" w:lineRule="exact"/>
      <w:ind w:left="1843" w:hanging="709"/>
    </w:pPr>
    <w:rPr>
      <w:sz w:val="18"/>
    </w:rPr>
  </w:style>
  <w:style w:type="paragraph" w:customStyle="1" w:styleId="SOPara">
    <w:name w:val="SO Para"/>
    <w:aliases w:val="soa"/>
    <w:basedOn w:val="SOText"/>
    <w:link w:val="SOParaChar"/>
    <w:qFormat/>
    <w:rsid w:val="00BD574A"/>
    <w:pPr>
      <w:tabs>
        <w:tab w:val="right" w:pos="1786"/>
      </w:tabs>
      <w:spacing w:before="40"/>
      <w:ind w:left="2070" w:hanging="936"/>
    </w:pPr>
  </w:style>
  <w:style w:type="character" w:customStyle="1" w:styleId="SOParaChar">
    <w:name w:val="SO Para Char"/>
    <w:aliases w:val="soa Char"/>
    <w:basedOn w:val="DefaultParagraphFont"/>
    <w:link w:val="SOPara"/>
    <w:rsid w:val="00BD574A"/>
    <w:rPr>
      <w:rFonts w:eastAsiaTheme="minorHAnsi" w:cstheme="minorBidi"/>
      <w:sz w:val="22"/>
      <w:lang w:eastAsia="en-US"/>
    </w:rPr>
  </w:style>
  <w:style w:type="paragraph" w:customStyle="1" w:styleId="FileName">
    <w:name w:val="FileName"/>
    <w:basedOn w:val="Normal"/>
    <w:rsid w:val="00BD574A"/>
  </w:style>
  <w:style w:type="paragraph" w:customStyle="1" w:styleId="SOHeadBold">
    <w:name w:val="SO HeadBold"/>
    <w:aliases w:val="sohb"/>
    <w:basedOn w:val="SOText"/>
    <w:next w:val="SOText"/>
    <w:link w:val="SOHeadBoldChar"/>
    <w:qFormat/>
    <w:rsid w:val="00BD574A"/>
    <w:rPr>
      <w:b/>
    </w:rPr>
  </w:style>
  <w:style w:type="character" w:customStyle="1" w:styleId="SOHeadBoldChar">
    <w:name w:val="SO HeadBold Char"/>
    <w:aliases w:val="sohb Char"/>
    <w:basedOn w:val="DefaultParagraphFont"/>
    <w:link w:val="SOHeadBold"/>
    <w:rsid w:val="00BD574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D574A"/>
    <w:rPr>
      <w:i/>
    </w:rPr>
  </w:style>
  <w:style w:type="character" w:customStyle="1" w:styleId="SOHeadItalicChar">
    <w:name w:val="SO HeadItalic Char"/>
    <w:aliases w:val="sohi Char"/>
    <w:basedOn w:val="DefaultParagraphFont"/>
    <w:link w:val="SOHeadItalic"/>
    <w:rsid w:val="00BD574A"/>
    <w:rPr>
      <w:rFonts w:eastAsiaTheme="minorHAnsi" w:cstheme="minorBidi"/>
      <w:i/>
      <w:sz w:val="22"/>
      <w:lang w:eastAsia="en-US"/>
    </w:rPr>
  </w:style>
  <w:style w:type="paragraph" w:customStyle="1" w:styleId="SOBullet">
    <w:name w:val="SO Bullet"/>
    <w:aliases w:val="sotb"/>
    <w:basedOn w:val="SOText"/>
    <w:link w:val="SOBulletChar"/>
    <w:qFormat/>
    <w:rsid w:val="00BD574A"/>
    <w:pPr>
      <w:ind w:left="1559" w:hanging="425"/>
    </w:pPr>
  </w:style>
  <w:style w:type="character" w:customStyle="1" w:styleId="SOBulletChar">
    <w:name w:val="SO Bullet Char"/>
    <w:aliases w:val="sotb Char"/>
    <w:basedOn w:val="DefaultParagraphFont"/>
    <w:link w:val="SOBullet"/>
    <w:rsid w:val="00BD574A"/>
    <w:rPr>
      <w:rFonts w:eastAsiaTheme="minorHAnsi" w:cstheme="minorBidi"/>
      <w:sz w:val="22"/>
      <w:lang w:eastAsia="en-US"/>
    </w:rPr>
  </w:style>
  <w:style w:type="paragraph" w:customStyle="1" w:styleId="SOBulletNote">
    <w:name w:val="SO BulletNote"/>
    <w:aliases w:val="sonb"/>
    <w:basedOn w:val="SOTextNote"/>
    <w:link w:val="SOBulletNoteChar"/>
    <w:qFormat/>
    <w:rsid w:val="00BD574A"/>
    <w:pPr>
      <w:tabs>
        <w:tab w:val="left" w:pos="1560"/>
      </w:tabs>
      <w:ind w:left="2268" w:hanging="1134"/>
    </w:pPr>
  </w:style>
  <w:style w:type="character" w:customStyle="1" w:styleId="SOBulletNoteChar">
    <w:name w:val="SO BulletNote Char"/>
    <w:aliases w:val="sonb Char"/>
    <w:basedOn w:val="DefaultParagraphFont"/>
    <w:link w:val="SOBulletNote"/>
    <w:rsid w:val="00BD574A"/>
    <w:rPr>
      <w:rFonts w:eastAsiaTheme="minorHAnsi" w:cstheme="minorBidi"/>
      <w:sz w:val="18"/>
      <w:lang w:eastAsia="en-US"/>
    </w:rPr>
  </w:style>
  <w:style w:type="paragraph" w:customStyle="1" w:styleId="EnStatement">
    <w:name w:val="EnStatement"/>
    <w:basedOn w:val="Normal"/>
    <w:rsid w:val="00BD574A"/>
    <w:pPr>
      <w:numPr>
        <w:numId w:val="49"/>
      </w:numPr>
    </w:pPr>
    <w:rPr>
      <w:rFonts w:eastAsia="Times New Roman" w:cs="Times New Roman"/>
      <w:lang w:eastAsia="en-AU"/>
    </w:rPr>
  </w:style>
  <w:style w:type="paragraph" w:customStyle="1" w:styleId="EnStatementHeading">
    <w:name w:val="EnStatementHeading"/>
    <w:basedOn w:val="Normal"/>
    <w:rsid w:val="00BD574A"/>
    <w:rPr>
      <w:rFonts w:eastAsia="Times New Roman" w:cs="Times New Roman"/>
      <w:b/>
      <w:lang w:eastAsia="en-AU"/>
    </w:rPr>
  </w:style>
  <w:style w:type="character" w:customStyle="1" w:styleId="notetextChar">
    <w:name w:val="note(text) Char"/>
    <w:aliases w:val="n Char"/>
    <w:link w:val="notetext"/>
    <w:rsid w:val="00AD0EEF"/>
    <w:rPr>
      <w:sz w:val="18"/>
    </w:rPr>
  </w:style>
  <w:style w:type="character" w:customStyle="1" w:styleId="ActHead5Char">
    <w:name w:val="ActHead 5 Char"/>
    <w:aliases w:val="s Char"/>
    <w:link w:val="ActHead5"/>
    <w:rsid w:val="00AD0EEF"/>
    <w:rPr>
      <w:b/>
      <w:kern w:val="28"/>
      <w:sz w:val="24"/>
    </w:rPr>
  </w:style>
  <w:style w:type="character" w:customStyle="1" w:styleId="subsection2Char">
    <w:name w:val="subsection2 Char"/>
    <w:aliases w:val="ss2 Char"/>
    <w:link w:val="subsection2"/>
    <w:rsid w:val="00AD0EE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574A"/>
    <w:pPr>
      <w:spacing w:line="260" w:lineRule="atLeast"/>
    </w:pPr>
    <w:rPr>
      <w:rFonts w:eastAsiaTheme="minorHAnsi" w:cstheme="minorBidi"/>
      <w:sz w:val="22"/>
      <w:lang w:eastAsia="en-US"/>
    </w:rPr>
  </w:style>
  <w:style w:type="paragraph" w:styleId="Heading1">
    <w:name w:val="heading 1"/>
    <w:next w:val="Heading2"/>
    <w:autoRedefine/>
    <w:qFormat/>
    <w:rsid w:val="005A2685"/>
    <w:pPr>
      <w:keepNext/>
      <w:keepLines/>
      <w:ind w:left="1134" w:hanging="1134"/>
      <w:outlineLvl w:val="0"/>
    </w:pPr>
    <w:rPr>
      <w:b/>
      <w:bCs/>
      <w:kern w:val="28"/>
      <w:sz w:val="36"/>
      <w:szCs w:val="32"/>
    </w:rPr>
  </w:style>
  <w:style w:type="paragraph" w:styleId="Heading2">
    <w:name w:val="heading 2"/>
    <w:basedOn w:val="Heading1"/>
    <w:next w:val="Heading3"/>
    <w:autoRedefine/>
    <w:qFormat/>
    <w:rsid w:val="005A2685"/>
    <w:pPr>
      <w:spacing w:before="280"/>
      <w:outlineLvl w:val="1"/>
    </w:pPr>
    <w:rPr>
      <w:bCs w:val="0"/>
      <w:iCs/>
      <w:sz w:val="32"/>
      <w:szCs w:val="28"/>
    </w:rPr>
  </w:style>
  <w:style w:type="paragraph" w:styleId="Heading3">
    <w:name w:val="heading 3"/>
    <w:basedOn w:val="Heading1"/>
    <w:next w:val="Heading4"/>
    <w:autoRedefine/>
    <w:qFormat/>
    <w:rsid w:val="005A2685"/>
    <w:pPr>
      <w:spacing w:before="240"/>
      <w:outlineLvl w:val="2"/>
    </w:pPr>
    <w:rPr>
      <w:bCs w:val="0"/>
      <w:sz w:val="28"/>
      <w:szCs w:val="26"/>
    </w:rPr>
  </w:style>
  <w:style w:type="paragraph" w:styleId="Heading4">
    <w:name w:val="heading 4"/>
    <w:basedOn w:val="Heading1"/>
    <w:next w:val="Heading5"/>
    <w:autoRedefine/>
    <w:qFormat/>
    <w:rsid w:val="005A2685"/>
    <w:pPr>
      <w:spacing w:before="220"/>
      <w:outlineLvl w:val="3"/>
    </w:pPr>
    <w:rPr>
      <w:bCs w:val="0"/>
      <w:sz w:val="26"/>
      <w:szCs w:val="28"/>
    </w:rPr>
  </w:style>
  <w:style w:type="paragraph" w:styleId="Heading5">
    <w:name w:val="heading 5"/>
    <w:basedOn w:val="Heading1"/>
    <w:next w:val="subsection"/>
    <w:autoRedefine/>
    <w:qFormat/>
    <w:rsid w:val="005A2685"/>
    <w:pPr>
      <w:spacing w:before="280"/>
      <w:outlineLvl w:val="4"/>
    </w:pPr>
    <w:rPr>
      <w:bCs w:val="0"/>
      <w:iCs/>
      <w:sz w:val="24"/>
      <w:szCs w:val="26"/>
    </w:rPr>
  </w:style>
  <w:style w:type="paragraph" w:styleId="Heading6">
    <w:name w:val="heading 6"/>
    <w:basedOn w:val="Heading1"/>
    <w:next w:val="Heading7"/>
    <w:autoRedefine/>
    <w:qFormat/>
    <w:rsid w:val="005A2685"/>
    <w:pPr>
      <w:outlineLvl w:val="5"/>
    </w:pPr>
    <w:rPr>
      <w:rFonts w:ascii="Arial" w:hAnsi="Arial" w:cs="Arial"/>
      <w:bCs w:val="0"/>
      <w:sz w:val="32"/>
      <w:szCs w:val="22"/>
    </w:rPr>
  </w:style>
  <w:style w:type="paragraph" w:styleId="Heading7">
    <w:name w:val="heading 7"/>
    <w:basedOn w:val="Heading6"/>
    <w:next w:val="Normal"/>
    <w:autoRedefine/>
    <w:qFormat/>
    <w:rsid w:val="005A2685"/>
    <w:pPr>
      <w:spacing w:before="280"/>
      <w:outlineLvl w:val="6"/>
    </w:pPr>
    <w:rPr>
      <w:sz w:val="28"/>
    </w:rPr>
  </w:style>
  <w:style w:type="paragraph" w:styleId="Heading8">
    <w:name w:val="heading 8"/>
    <w:basedOn w:val="Heading6"/>
    <w:next w:val="Normal"/>
    <w:autoRedefine/>
    <w:qFormat/>
    <w:rsid w:val="005A2685"/>
    <w:pPr>
      <w:spacing w:before="240"/>
      <w:outlineLvl w:val="7"/>
    </w:pPr>
    <w:rPr>
      <w:iCs/>
      <w:sz w:val="26"/>
    </w:rPr>
  </w:style>
  <w:style w:type="paragraph" w:styleId="Heading9">
    <w:name w:val="heading 9"/>
    <w:basedOn w:val="Heading1"/>
    <w:next w:val="Normal"/>
    <w:autoRedefine/>
    <w:qFormat/>
    <w:rsid w:val="005A2685"/>
    <w:pPr>
      <w:keepNext w:val="0"/>
      <w:spacing w:before="280"/>
      <w:outlineLvl w:val="8"/>
    </w:pPr>
    <w:rPr>
      <w:i/>
      <w:sz w:val="28"/>
      <w:szCs w:val="22"/>
    </w:rPr>
  </w:style>
  <w:style w:type="character" w:default="1" w:styleId="DefaultParagraphFont">
    <w:name w:val="Default Paragraph Font"/>
    <w:uiPriority w:val="1"/>
    <w:unhideWhenUsed/>
    <w:rsid w:val="00BD574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D574A"/>
  </w:style>
  <w:style w:type="numbering" w:styleId="111111">
    <w:name w:val="Outline List 2"/>
    <w:basedOn w:val="NoList"/>
    <w:rsid w:val="005A2685"/>
    <w:pPr>
      <w:numPr>
        <w:numId w:val="1"/>
      </w:numPr>
    </w:pPr>
  </w:style>
  <w:style w:type="numbering" w:styleId="1ai">
    <w:name w:val="Outline List 1"/>
    <w:basedOn w:val="NoList"/>
    <w:rsid w:val="005A2685"/>
    <w:pPr>
      <w:numPr>
        <w:numId w:val="4"/>
      </w:numPr>
    </w:pPr>
  </w:style>
  <w:style w:type="paragraph" w:customStyle="1" w:styleId="ActHead1">
    <w:name w:val="ActHead 1"/>
    <w:aliases w:val="c"/>
    <w:basedOn w:val="OPCParaBase"/>
    <w:next w:val="Normal"/>
    <w:qFormat/>
    <w:rsid w:val="00BD574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D574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D574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D574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D574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D574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D574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D574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D574A"/>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BD574A"/>
  </w:style>
  <w:style w:type="paragraph" w:customStyle="1" w:styleId="Actno">
    <w:name w:val="Actno"/>
    <w:basedOn w:val="ShortT"/>
    <w:next w:val="Normal"/>
    <w:qFormat/>
    <w:rsid w:val="00BD574A"/>
  </w:style>
  <w:style w:type="character" w:customStyle="1" w:styleId="CharSubPartNoCASA">
    <w:name w:val="CharSubPartNo(CASA)"/>
    <w:basedOn w:val="OPCCharBase"/>
    <w:uiPriority w:val="1"/>
    <w:rsid w:val="00BD574A"/>
  </w:style>
  <w:style w:type="paragraph" w:customStyle="1" w:styleId="ENoteTTIndentHeadingSub">
    <w:name w:val="ENoteTTIndentHeadingSub"/>
    <w:aliases w:val="enTTHis"/>
    <w:basedOn w:val="OPCParaBase"/>
    <w:rsid w:val="00BD574A"/>
    <w:pPr>
      <w:keepNext/>
      <w:spacing w:before="60" w:line="240" w:lineRule="atLeast"/>
      <w:ind w:left="340"/>
    </w:pPr>
    <w:rPr>
      <w:b/>
      <w:sz w:val="16"/>
    </w:rPr>
  </w:style>
  <w:style w:type="paragraph" w:customStyle="1" w:styleId="ENoteTTiSub">
    <w:name w:val="ENoteTTiSub"/>
    <w:aliases w:val="enttis"/>
    <w:basedOn w:val="OPCParaBase"/>
    <w:rsid w:val="00BD574A"/>
    <w:pPr>
      <w:keepNext/>
      <w:spacing w:before="60" w:line="240" w:lineRule="atLeast"/>
      <w:ind w:left="340"/>
    </w:pPr>
    <w:rPr>
      <w:sz w:val="16"/>
    </w:rPr>
  </w:style>
  <w:style w:type="paragraph" w:customStyle="1" w:styleId="SubDivisionMigration">
    <w:name w:val="SubDivisionMigration"/>
    <w:aliases w:val="sdm"/>
    <w:basedOn w:val="OPCParaBase"/>
    <w:rsid w:val="00BD574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D574A"/>
    <w:pPr>
      <w:keepNext/>
      <w:keepLines/>
      <w:spacing w:before="240" w:line="240" w:lineRule="auto"/>
      <w:ind w:left="1134" w:hanging="1134"/>
    </w:pPr>
    <w:rPr>
      <w:b/>
      <w:sz w:val="28"/>
    </w:rPr>
  </w:style>
  <w:style w:type="numbering" w:styleId="ArticleSection">
    <w:name w:val="Outline List 3"/>
    <w:basedOn w:val="NoList"/>
    <w:rsid w:val="005A2685"/>
    <w:pPr>
      <w:numPr>
        <w:numId w:val="5"/>
      </w:numPr>
    </w:pPr>
  </w:style>
  <w:style w:type="paragraph" w:styleId="BalloonText">
    <w:name w:val="Balloon Text"/>
    <w:basedOn w:val="Normal"/>
    <w:link w:val="BalloonTextChar"/>
    <w:uiPriority w:val="99"/>
    <w:unhideWhenUsed/>
    <w:rsid w:val="00BD574A"/>
    <w:pPr>
      <w:spacing w:line="240" w:lineRule="auto"/>
    </w:pPr>
    <w:rPr>
      <w:rFonts w:ascii="Tahoma" w:hAnsi="Tahoma" w:cs="Tahoma"/>
      <w:sz w:val="16"/>
      <w:szCs w:val="16"/>
    </w:rPr>
  </w:style>
  <w:style w:type="paragraph" w:styleId="BlockText">
    <w:name w:val="Block Text"/>
    <w:rsid w:val="005A2685"/>
    <w:pPr>
      <w:spacing w:after="120"/>
      <w:ind w:left="1440" w:right="1440"/>
    </w:pPr>
    <w:rPr>
      <w:sz w:val="22"/>
      <w:szCs w:val="24"/>
    </w:rPr>
  </w:style>
  <w:style w:type="paragraph" w:customStyle="1" w:styleId="Blocks">
    <w:name w:val="Blocks"/>
    <w:aliases w:val="bb"/>
    <w:basedOn w:val="OPCParaBase"/>
    <w:qFormat/>
    <w:rsid w:val="00BD574A"/>
    <w:pPr>
      <w:spacing w:line="240" w:lineRule="auto"/>
    </w:pPr>
    <w:rPr>
      <w:sz w:val="24"/>
    </w:rPr>
  </w:style>
  <w:style w:type="paragraph" w:styleId="BodyText">
    <w:name w:val="Body Text"/>
    <w:rsid w:val="005A2685"/>
    <w:pPr>
      <w:spacing w:after="120"/>
    </w:pPr>
    <w:rPr>
      <w:sz w:val="22"/>
      <w:szCs w:val="24"/>
    </w:rPr>
  </w:style>
  <w:style w:type="paragraph" w:styleId="BodyText2">
    <w:name w:val="Body Text 2"/>
    <w:rsid w:val="005A2685"/>
    <w:pPr>
      <w:spacing w:after="120" w:line="480" w:lineRule="auto"/>
    </w:pPr>
    <w:rPr>
      <w:sz w:val="22"/>
      <w:szCs w:val="24"/>
    </w:rPr>
  </w:style>
  <w:style w:type="paragraph" w:styleId="BodyText3">
    <w:name w:val="Body Text 3"/>
    <w:rsid w:val="005A2685"/>
    <w:pPr>
      <w:spacing w:after="120"/>
    </w:pPr>
    <w:rPr>
      <w:sz w:val="16"/>
      <w:szCs w:val="16"/>
    </w:rPr>
  </w:style>
  <w:style w:type="paragraph" w:styleId="BodyTextFirstIndent">
    <w:name w:val="Body Text First Indent"/>
    <w:basedOn w:val="BodyText"/>
    <w:rsid w:val="005A2685"/>
    <w:pPr>
      <w:ind w:firstLine="210"/>
    </w:pPr>
  </w:style>
  <w:style w:type="paragraph" w:styleId="BodyTextIndent">
    <w:name w:val="Body Text Indent"/>
    <w:rsid w:val="005A2685"/>
    <w:pPr>
      <w:spacing w:after="120"/>
      <w:ind w:left="283"/>
    </w:pPr>
    <w:rPr>
      <w:sz w:val="22"/>
      <w:szCs w:val="24"/>
    </w:rPr>
  </w:style>
  <w:style w:type="paragraph" w:styleId="BodyTextFirstIndent2">
    <w:name w:val="Body Text First Indent 2"/>
    <w:basedOn w:val="BodyTextIndent"/>
    <w:rsid w:val="005A2685"/>
    <w:pPr>
      <w:ind w:firstLine="210"/>
    </w:pPr>
  </w:style>
  <w:style w:type="paragraph" w:styleId="BodyTextIndent2">
    <w:name w:val="Body Text Indent 2"/>
    <w:rsid w:val="005A2685"/>
    <w:pPr>
      <w:spacing w:after="120" w:line="480" w:lineRule="auto"/>
      <w:ind w:left="283"/>
    </w:pPr>
    <w:rPr>
      <w:sz w:val="22"/>
      <w:szCs w:val="24"/>
    </w:rPr>
  </w:style>
  <w:style w:type="paragraph" w:styleId="BodyTextIndent3">
    <w:name w:val="Body Text Indent 3"/>
    <w:rsid w:val="005A2685"/>
    <w:pPr>
      <w:spacing w:after="120"/>
      <w:ind w:left="283"/>
    </w:pPr>
    <w:rPr>
      <w:sz w:val="16"/>
      <w:szCs w:val="16"/>
    </w:rPr>
  </w:style>
  <w:style w:type="paragraph" w:customStyle="1" w:styleId="BoxText">
    <w:name w:val="BoxText"/>
    <w:aliases w:val="bt"/>
    <w:basedOn w:val="OPCParaBase"/>
    <w:qFormat/>
    <w:rsid w:val="00BD574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D574A"/>
    <w:rPr>
      <w:b/>
    </w:rPr>
  </w:style>
  <w:style w:type="paragraph" w:customStyle="1" w:styleId="BoxHeadItalic">
    <w:name w:val="BoxHeadItalic"/>
    <w:aliases w:val="bhi"/>
    <w:basedOn w:val="BoxText"/>
    <w:next w:val="BoxStep"/>
    <w:qFormat/>
    <w:rsid w:val="00BD574A"/>
    <w:rPr>
      <w:i/>
    </w:rPr>
  </w:style>
  <w:style w:type="paragraph" w:customStyle="1" w:styleId="BoxList">
    <w:name w:val="BoxList"/>
    <w:aliases w:val="bl"/>
    <w:basedOn w:val="BoxText"/>
    <w:qFormat/>
    <w:rsid w:val="00BD574A"/>
    <w:pPr>
      <w:ind w:left="1559" w:hanging="425"/>
    </w:pPr>
  </w:style>
  <w:style w:type="paragraph" w:customStyle="1" w:styleId="BoxNote">
    <w:name w:val="BoxNote"/>
    <w:aliases w:val="bn"/>
    <w:basedOn w:val="BoxText"/>
    <w:qFormat/>
    <w:rsid w:val="00BD574A"/>
    <w:pPr>
      <w:tabs>
        <w:tab w:val="left" w:pos="1985"/>
      </w:tabs>
      <w:spacing w:before="122" w:line="198" w:lineRule="exact"/>
      <w:ind w:left="2948" w:hanging="1814"/>
    </w:pPr>
    <w:rPr>
      <w:sz w:val="18"/>
    </w:rPr>
  </w:style>
  <w:style w:type="paragraph" w:customStyle="1" w:styleId="BoxPara">
    <w:name w:val="BoxPara"/>
    <w:aliases w:val="bp"/>
    <w:basedOn w:val="BoxText"/>
    <w:qFormat/>
    <w:rsid w:val="00BD574A"/>
    <w:pPr>
      <w:tabs>
        <w:tab w:val="right" w:pos="2268"/>
      </w:tabs>
      <w:ind w:left="2552" w:hanging="1418"/>
    </w:pPr>
  </w:style>
  <w:style w:type="paragraph" w:customStyle="1" w:styleId="BoxStep">
    <w:name w:val="BoxStep"/>
    <w:aliases w:val="bs"/>
    <w:basedOn w:val="BoxText"/>
    <w:qFormat/>
    <w:rsid w:val="00BD574A"/>
    <w:pPr>
      <w:ind w:left="1985" w:hanging="851"/>
    </w:pPr>
  </w:style>
  <w:style w:type="paragraph" w:styleId="Caption">
    <w:name w:val="caption"/>
    <w:next w:val="Normal"/>
    <w:qFormat/>
    <w:rsid w:val="005A2685"/>
    <w:pPr>
      <w:spacing w:before="120" w:after="120"/>
    </w:pPr>
    <w:rPr>
      <w:b/>
      <w:bCs/>
    </w:rPr>
  </w:style>
  <w:style w:type="character" w:customStyle="1" w:styleId="CharAmPartNo">
    <w:name w:val="CharAmPartNo"/>
    <w:basedOn w:val="OPCCharBase"/>
    <w:uiPriority w:val="1"/>
    <w:qFormat/>
    <w:rsid w:val="00BD574A"/>
  </w:style>
  <w:style w:type="character" w:customStyle="1" w:styleId="CharAmPartText">
    <w:name w:val="CharAmPartText"/>
    <w:basedOn w:val="OPCCharBase"/>
    <w:uiPriority w:val="1"/>
    <w:qFormat/>
    <w:rsid w:val="00BD574A"/>
  </w:style>
  <w:style w:type="character" w:customStyle="1" w:styleId="CharAmSchNo">
    <w:name w:val="CharAmSchNo"/>
    <w:basedOn w:val="OPCCharBase"/>
    <w:uiPriority w:val="1"/>
    <w:qFormat/>
    <w:rsid w:val="00BD574A"/>
  </w:style>
  <w:style w:type="character" w:customStyle="1" w:styleId="CharAmSchText">
    <w:name w:val="CharAmSchText"/>
    <w:basedOn w:val="OPCCharBase"/>
    <w:uiPriority w:val="1"/>
    <w:qFormat/>
    <w:rsid w:val="00BD574A"/>
  </w:style>
  <w:style w:type="character" w:customStyle="1" w:styleId="CharBoldItalic">
    <w:name w:val="CharBoldItalic"/>
    <w:basedOn w:val="OPCCharBase"/>
    <w:uiPriority w:val="1"/>
    <w:qFormat/>
    <w:rsid w:val="00BD574A"/>
    <w:rPr>
      <w:b/>
      <w:i/>
    </w:rPr>
  </w:style>
  <w:style w:type="character" w:customStyle="1" w:styleId="CharChapNo">
    <w:name w:val="CharChapNo"/>
    <w:basedOn w:val="OPCCharBase"/>
    <w:qFormat/>
    <w:rsid w:val="00BD574A"/>
  </w:style>
  <w:style w:type="character" w:customStyle="1" w:styleId="CharChapText">
    <w:name w:val="CharChapText"/>
    <w:basedOn w:val="OPCCharBase"/>
    <w:qFormat/>
    <w:rsid w:val="00BD574A"/>
  </w:style>
  <w:style w:type="character" w:customStyle="1" w:styleId="CharDivNo">
    <w:name w:val="CharDivNo"/>
    <w:basedOn w:val="OPCCharBase"/>
    <w:qFormat/>
    <w:rsid w:val="00BD574A"/>
  </w:style>
  <w:style w:type="character" w:customStyle="1" w:styleId="CharDivText">
    <w:name w:val="CharDivText"/>
    <w:basedOn w:val="OPCCharBase"/>
    <w:qFormat/>
    <w:rsid w:val="00BD574A"/>
  </w:style>
  <w:style w:type="character" w:customStyle="1" w:styleId="CharItalic">
    <w:name w:val="CharItalic"/>
    <w:basedOn w:val="OPCCharBase"/>
    <w:uiPriority w:val="1"/>
    <w:qFormat/>
    <w:rsid w:val="00BD574A"/>
    <w:rPr>
      <w:i/>
    </w:rPr>
  </w:style>
  <w:style w:type="character" w:customStyle="1" w:styleId="CharPartNo">
    <w:name w:val="CharPartNo"/>
    <w:basedOn w:val="OPCCharBase"/>
    <w:qFormat/>
    <w:rsid w:val="00BD574A"/>
  </w:style>
  <w:style w:type="character" w:customStyle="1" w:styleId="CharPartText">
    <w:name w:val="CharPartText"/>
    <w:basedOn w:val="OPCCharBase"/>
    <w:qFormat/>
    <w:rsid w:val="00BD574A"/>
  </w:style>
  <w:style w:type="character" w:customStyle="1" w:styleId="CharSectno">
    <w:name w:val="CharSectno"/>
    <w:basedOn w:val="OPCCharBase"/>
    <w:qFormat/>
    <w:rsid w:val="00BD574A"/>
  </w:style>
  <w:style w:type="character" w:customStyle="1" w:styleId="CharSubdNo">
    <w:name w:val="CharSubdNo"/>
    <w:basedOn w:val="OPCCharBase"/>
    <w:uiPriority w:val="1"/>
    <w:qFormat/>
    <w:rsid w:val="00BD574A"/>
  </w:style>
  <w:style w:type="character" w:customStyle="1" w:styleId="CharSubdText">
    <w:name w:val="CharSubdText"/>
    <w:basedOn w:val="OPCCharBase"/>
    <w:uiPriority w:val="1"/>
    <w:qFormat/>
    <w:rsid w:val="00BD574A"/>
  </w:style>
  <w:style w:type="paragraph" w:styleId="Closing">
    <w:name w:val="Closing"/>
    <w:rsid w:val="005A2685"/>
    <w:pPr>
      <w:ind w:left="4252"/>
    </w:pPr>
    <w:rPr>
      <w:sz w:val="22"/>
      <w:szCs w:val="24"/>
    </w:rPr>
  </w:style>
  <w:style w:type="character" w:styleId="CommentReference">
    <w:name w:val="annotation reference"/>
    <w:basedOn w:val="DefaultParagraphFont"/>
    <w:rsid w:val="005A2685"/>
    <w:rPr>
      <w:sz w:val="16"/>
      <w:szCs w:val="16"/>
    </w:rPr>
  </w:style>
  <w:style w:type="paragraph" w:styleId="CommentText">
    <w:name w:val="annotation text"/>
    <w:rsid w:val="005A2685"/>
  </w:style>
  <w:style w:type="paragraph" w:styleId="CommentSubject">
    <w:name w:val="annotation subject"/>
    <w:next w:val="CommentText"/>
    <w:rsid w:val="005A2685"/>
    <w:rPr>
      <w:b/>
      <w:bCs/>
      <w:szCs w:val="24"/>
    </w:rPr>
  </w:style>
  <w:style w:type="paragraph" w:customStyle="1" w:styleId="notetext">
    <w:name w:val="note(text)"/>
    <w:aliases w:val="n"/>
    <w:basedOn w:val="OPCParaBase"/>
    <w:link w:val="notetextChar"/>
    <w:rsid w:val="00BD574A"/>
    <w:pPr>
      <w:spacing w:before="122" w:line="240" w:lineRule="auto"/>
      <w:ind w:left="1985" w:hanging="851"/>
    </w:pPr>
    <w:rPr>
      <w:sz w:val="18"/>
    </w:rPr>
  </w:style>
  <w:style w:type="paragraph" w:customStyle="1" w:styleId="notemargin">
    <w:name w:val="note(margin)"/>
    <w:aliases w:val="nm"/>
    <w:basedOn w:val="OPCParaBase"/>
    <w:rsid w:val="00BD574A"/>
    <w:pPr>
      <w:tabs>
        <w:tab w:val="left" w:pos="709"/>
      </w:tabs>
      <w:spacing w:before="122" w:line="198" w:lineRule="exact"/>
      <w:ind w:left="709" w:hanging="709"/>
    </w:pPr>
    <w:rPr>
      <w:sz w:val="18"/>
    </w:rPr>
  </w:style>
  <w:style w:type="paragraph" w:customStyle="1" w:styleId="CTA-">
    <w:name w:val="CTA -"/>
    <w:basedOn w:val="OPCParaBase"/>
    <w:rsid w:val="00BD574A"/>
    <w:pPr>
      <w:spacing w:before="60" w:line="240" w:lineRule="atLeast"/>
      <w:ind w:left="85" w:hanging="85"/>
    </w:pPr>
    <w:rPr>
      <w:sz w:val="20"/>
    </w:rPr>
  </w:style>
  <w:style w:type="paragraph" w:customStyle="1" w:styleId="CTA--">
    <w:name w:val="CTA --"/>
    <w:basedOn w:val="OPCParaBase"/>
    <w:next w:val="Normal"/>
    <w:rsid w:val="00BD574A"/>
    <w:pPr>
      <w:spacing w:before="60" w:line="240" w:lineRule="atLeast"/>
      <w:ind w:left="142" w:hanging="142"/>
    </w:pPr>
    <w:rPr>
      <w:sz w:val="20"/>
    </w:rPr>
  </w:style>
  <w:style w:type="paragraph" w:customStyle="1" w:styleId="CTA---">
    <w:name w:val="CTA ---"/>
    <w:basedOn w:val="OPCParaBase"/>
    <w:next w:val="Normal"/>
    <w:rsid w:val="00BD574A"/>
    <w:pPr>
      <w:spacing w:before="60" w:line="240" w:lineRule="atLeast"/>
      <w:ind w:left="198" w:hanging="198"/>
    </w:pPr>
    <w:rPr>
      <w:sz w:val="20"/>
    </w:rPr>
  </w:style>
  <w:style w:type="paragraph" w:customStyle="1" w:styleId="CTA----">
    <w:name w:val="CTA ----"/>
    <w:basedOn w:val="OPCParaBase"/>
    <w:next w:val="Normal"/>
    <w:rsid w:val="00BD574A"/>
    <w:pPr>
      <w:spacing w:before="60" w:line="240" w:lineRule="atLeast"/>
      <w:ind w:left="255" w:hanging="255"/>
    </w:pPr>
    <w:rPr>
      <w:sz w:val="20"/>
    </w:rPr>
  </w:style>
  <w:style w:type="paragraph" w:customStyle="1" w:styleId="CTA1a">
    <w:name w:val="CTA 1(a)"/>
    <w:basedOn w:val="OPCParaBase"/>
    <w:rsid w:val="00BD574A"/>
    <w:pPr>
      <w:tabs>
        <w:tab w:val="right" w:pos="414"/>
      </w:tabs>
      <w:spacing w:before="40" w:line="240" w:lineRule="atLeast"/>
      <w:ind w:left="675" w:hanging="675"/>
    </w:pPr>
    <w:rPr>
      <w:sz w:val="20"/>
    </w:rPr>
  </w:style>
  <w:style w:type="paragraph" w:customStyle="1" w:styleId="CTA1ai">
    <w:name w:val="CTA 1(a)(i)"/>
    <w:basedOn w:val="OPCParaBase"/>
    <w:rsid w:val="00BD574A"/>
    <w:pPr>
      <w:tabs>
        <w:tab w:val="right" w:pos="1004"/>
      </w:tabs>
      <w:spacing w:before="40" w:line="240" w:lineRule="atLeast"/>
      <w:ind w:left="1253" w:hanging="1253"/>
    </w:pPr>
    <w:rPr>
      <w:sz w:val="20"/>
    </w:rPr>
  </w:style>
  <w:style w:type="paragraph" w:customStyle="1" w:styleId="CTA2a">
    <w:name w:val="CTA 2(a)"/>
    <w:basedOn w:val="OPCParaBase"/>
    <w:rsid w:val="00BD574A"/>
    <w:pPr>
      <w:tabs>
        <w:tab w:val="right" w:pos="482"/>
      </w:tabs>
      <w:spacing w:before="40" w:line="240" w:lineRule="atLeast"/>
      <w:ind w:left="748" w:hanging="748"/>
    </w:pPr>
    <w:rPr>
      <w:sz w:val="20"/>
    </w:rPr>
  </w:style>
  <w:style w:type="paragraph" w:customStyle="1" w:styleId="CTA2ai">
    <w:name w:val="CTA 2(a)(i)"/>
    <w:basedOn w:val="OPCParaBase"/>
    <w:rsid w:val="00BD574A"/>
    <w:pPr>
      <w:tabs>
        <w:tab w:val="right" w:pos="1089"/>
      </w:tabs>
      <w:spacing w:before="40" w:line="240" w:lineRule="atLeast"/>
      <w:ind w:left="1327" w:hanging="1327"/>
    </w:pPr>
    <w:rPr>
      <w:sz w:val="20"/>
    </w:rPr>
  </w:style>
  <w:style w:type="paragraph" w:customStyle="1" w:styleId="CTA3a">
    <w:name w:val="CTA 3(a)"/>
    <w:basedOn w:val="OPCParaBase"/>
    <w:rsid w:val="00BD574A"/>
    <w:pPr>
      <w:tabs>
        <w:tab w:val="right" w:pos="556"/>
      </w:tabs>
      <w:spacing w:before="40" w:line="240" w:lineRule="atLeast"/>
      <w:ind w:left="805" w:hanging="805"/>
    </w:pPr>
    <w:rPr>
      <w:sz w:val="20"/>
    </w:rPr>
  </w:style>
  <w:style w:type="paragraph" w:customStyle="1" w:styleId="CTA3ai">
    <w:name w:val="CTA 3(a)(i)"/>
    <w:basedOn w:val="OPCParaBase"/>
    <w:rsid w:val="00BD574A"/>
    <w:pPr>
      <w:tabs>
        <w:tab w:val="right" w:pos="1140"/>
      </w:tabs>
      <w:spacing w:before="40" w:line="240" w:lineRule="atLeast"/>
      <w:ind w:left="1361" w:hanging="1361"/>
    </w:pPr>
    <w:rPr>
      <w:sz w:val="20"/>
    </w:rPr>
  </w:style>
  <w:style w:type="paragraph" w:customStyle="1" w:styleId="CTA4a">
    <w:name w:val="CTA 4(a)"/>
    <w:basedOn w:val="OPCParaBase"/>
    <w:rsid w:val="00BD574A"/>
    <w:pPr>
      <w:tabs>
        <w:tab w:val="right" w:pos="624"/>
      </w:tabs>
      <w:spacing w:before="40" w:line="240" w:lineRule="atLeast"/>
      <w:ind w:left="873" w:hanging="873"/>
    </w:pPr>
    <w:rPr>
      <w:sz w:val="20"/>
    </w:rPr>
  </w:style>
  <w:style w:type="paragraph" w:customStyle="1" w:styleId="CTA4ai">
    <w:name w:val="CTA 4(a)(i)"/>
    <w:basedOn w:val="OPCParaBase"/>
    <w:rsid w:val="00BD574A"/>
    <w:pPr>
      <w:tabs>
        <w:tab w:val="right" w:pos="1213"/>
      </w:tabs>
      <w:spacing w:before="40" w:line="240" w:lineRule="atLeast"/>
      <w:ind w:left="1452" w:hanging="1452"/>
    </w:pPr>
    <w:rPr>
      <w:sz w:val="20"/>
    </w:rPr>
  </w:style>
  <w:style w:type="paragraph" w:customStyle="1" w:styleId="CTACAPS">
    <w:name w:val="CTA CAPS"/>
    <w:basedOn w:val="OPCParaBase"/>
    <w:rsid w:val="00BD574A"/>
    <w:pPr>
      <w:spacing w:before="60" w:line="240" w:lineRule="atLeast"/>
    </w:pPr>
    <w:rPr>
      <w:sz w:val="20"/>
    </w:rPr>
  </w:style>
  <w:style w:type="paragraph" w:customStyle="1" w:styleId="CTAright">
    <w:name w:val="CTA right"/>
    <w:basedOn w:val="OPCParaBase"/>
    <w:rsid w:val="00BD574A"/>
    <w:pPr>
      <w:spacing w:before="60" w:line="240" w:lineRule="auto"/>
      <w:jc w:val="right"/>
    </w:pPr>
    <w:rPr>
      <w:sz w:val="20"/>
    </w:rPr>
  </w:style>
  <w:style w:type="paragraph" w:styleId="Date">
    <w:name w:val="Date"/>
    <w:next w:val="Normal"/>
    <w:rsid w:val="005A2685"/>
    <w:rPr>
      <w:sz w:val="22"/>
      <w:szCs w:val="24"/>
    </w:rPr>
  </w:style>
  <w:style w:type="paragraph" w:customStyle="1" w:styleId="subsection">
    <w:name w:val="subsection"/>
    <w:aliases w:val="ss"/>
    <w:basedOn w:val="OPCParaBase"/>
    <w:link w:val="subsectionChar"/>
    <w:rsid w:val="00BD574A"/>
    <w:pPr>
      <w:tabs>
        <w:tab w:val="right" w:pos="1021"/>
      </w:tabs>
      <w:spacing w:before="180" w:line="240" w:lineRule="auto"/>
      <w:ind w:left="1134" w:hanging="1134"/>
    </w:pPr>
  </w:style>
  <w:style w:type="paragraph" w:customStyle="1" w:styleId="Definition">
    <w:name w:val="Definition"/>
    <w:aliases w:val="dd"/>
    <w:basedOn w:val="OPCParaBase"/>
    <w:rsid w:val="00BD574A"/>
    <w:pPr>
      <w:spacing w:before="180" w:line="240" w:lineRule="auto"/>
      <w:ind w:left="1134"/>
    </w:pPr>
  </w:style>
  <w:style w:type="paragraph" w:styleId="DocumentMap">
    <w:name w:val="Document Map"/>
    <w:rsid w:val="005A2685"/>
    <w:pPr>
      <w:shd w:val="clear" w:color="auto" w:fill="000080"/>
    </w:pPr>
    <w:rPr>
      <w:rFonts w:ascii="Tahoma" w:hAnsi="Tahoma" w:cs="Tahoma"/>
      <w:sz w:val="22"/>
      <w:szCs w:val="24"/>
    </w:rPr>
  </w:style>
  <w:style w:type="paragraph" w:styleId="E-mailSignature">
    <w:name w:val="E-mail Signature"/>
    <w:rsid w:val="005A2685"/>
    <w:rPr>
      <w:sz w:val="22"/>
      <w:szCs w:val="24"/>
    </w:rPr>
  </w:style>
  <w:style w:type="character" w:styleId="Emphasis">
    <w:name w:val="Emphasis"/>
    <w:basedOn w:val="DefaultParagraphFont"/>
    <w:qFormat/>
    <w:rsid w:val="005A2685"/>
    <w:rPr>
      <w:i/>
      <w:iCs/>
    </w:rPr>
  </w:style>
  <w:style w:type="character" w:styleId="EndnoteReference">
    <w:name w:val="endnote reference"/>
    <w:basedOn w:val="DefaultParagraphFont"/>
    <w:rsid w:val="005A2685"/>
    <w:rPr>
      <w:vertAlign w:val="superscript"/>
    </w:rPr>
  </w:style>
  <w:style w:type="paragraph" w:styleId="EndnoteText">
    <w:name w:val="endnote text"/>
    <w:rsid w:val="005A2685"/>
  </w:style>
  <w:style w:type="paragraph" w:styleId="EnvelopeAddress">
    <w:name w:val="envelope address"/>
    <w:rsid w:val="005A2685"/>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5A2685"/>
    <w:rPr>
      <w:rFonts w:ascii="Arial" w:hAnsi="Arial" w:cs="Arial"/>
    </w:rPr>
  </w:style>
  <w:style w:type="character" w:styleId="FollowedHyperlink">
    <w:name w:val="FollowedHyperlink"/>
    <w:basedOn w:val="DefaultParagraphFont"/>
    <w:rsid w:val="005A2685"/>
    <w:rPr>
      <w:color w:val="800080"/>
      <w:u w:val="single"/>
    </w:rPr>
  </w:style>
  <w:style w:type="paragraph" w:styleId="Footer">
    <w:name w:val="footer"/>
    <w:link w:val="FooterChar"/>
    <w:rsid w:val="00BD574A"/>
    <w:pPr>
      <w:tabs>
        <w:tab w:val="center" w:pos="4153"/>
        <w:tab w:val="right" w:pos="8306"/>
      </w:tabs>
    </w:pPr>
    <w:rPr>
      <w:sz w:val="22"/>
      <w:szCs w:val="24"/>
    </w:rPr>
  </w:style>
  <w:style w:type="character" w:styleId="FootnoteReference">
    <w:name w:val="footnote reference"/>
    <w:basedOn w:val="DefaultParagraphFont"/>
    <w:rsid w:val="005A2685"/>
    <w:rPr>
      <w:vertAlign w:val="superscript"/>
    </w:rPr>
  </w:style>
  <w:style w:type="paragraph" w:styleId="FootnoteText">
    <w:name w:val="footnote text"/>
    <w:rsid w:val="005A2685"/>
  </w:style>
  <w:style w:type="paragraph" w:customStyle="1" w:styleId="Formula">
    <w:name w:val="Formula"/>
    <w:basedOn w:val="OPCParaBase"/>
    <w:rsid w:val="00BD574A"/>
    <w:pPr>
      <w:spacing w:line="240" w:lineRule="auto"/>
      <w:ind w:left="1134"/>
    </w:pPr>
    <w:rPr>
      <w:sz w:val="20"/>
    </w:rPr>
  </w:style>
  <w:style w:type="paragraph" w:styleId="Header">
    <w:name w:val="header"/>
    <w:basedOn w:val="OPCParaBase"/>
    <w:link w:val="HeaderChar"/>
    <w:unhideWhenUsed/>
    <w:rsid w:val="00BD574A"/>
    <w:pPr>
      <w:keepNext/>
      <w:keepLines/>
      <w:tabs>
        <w:tab w:val="center" w:pos="4150"/>
        <w:tab w:val="right" w:pos="8307"/>
      </w:tabs>
      <w:spacing w:line="160" w:lineRule="exact"/>
    </w:pPr>
    <w:rPr>
      <w:sz w:val="16"/>
    </w:rPr>
  </w:style>
  <w:style w:type="character" w:customStyle="1" w:styleId="paragraphChar">
    <w:name w:val="paragraph Char"/>
    <w:aliases w:val="a Char"/>
    <w:basedOn w:val="DefaultParagraphFont"/>
    <w:link w:val="paragraph"/>
    <w:rsid w:val="00F31542"/>
    <w:rPr>
      <w:sz w:val="22"/>
    </w:rPr>
  </w:style>
  <w:style w:type="paragraph" w:customStyle="1" w:styleId="House">
    <w:name w:val="House"/>
    <w:basedOn w:val="OPCParaBase"/>
    <w:rsid w:val="00BD574A"/>
    <w:pPr>
      <w:spacing w:line="240" w:lineRule="auto"/>
    </w:pPr>
    <w:rPr>
      <w:sz w:val="28"/>
    </w:rPr>
  </w:style>
  <w:style w:type="character" w:styleId="HTMLAcronym">
    <w:name w:val="HTML Acronym"/>
    <w:basedOn w:val="DefaultParagraphFont"/>
    <w:rsid w:val="005A2685"/>
  </w:style>
  <w:style w:type="paragraph" w:styleId="HTMLAddress">
    <w:name w:val="HTML Address"/>
    <w:rsid w:val="005A2685"/>
    <w:rPr>
      <w:i/>
      <w:iCs/>
      <w:sz w:val="22"/>
      <w:szCs w:val="24"/>
    </w:rPr>
  </w:style>
  <w:style w:type="character" w:styleId="HTMLCite">
    <w:name w:val="HTML Cite"/>
    <w:basedOn w:val="DefaultParagraphFont"/>
    <w:rsid w:val="005A2685"/>
    <w:rPr>
      <w:i/>
      <w:iCs/>
    </w:rPr>
  </w:style>
  <w:style w:type="character" w:styleId="HTMLCode">
    <w:name w:val="HTML Code"/>
    <w:basedOn w:val="DefaultParagraphFont"/>
    <w:rsid w:val="005A2685"/>
    <w:rPr>
      <w:rFonts w:ascii="Courier New" w:hAnsi="Courier New" w:cs="Courier New"/>
      <w:sz w:val="20"/>
      <w:szCs w:val="20"/>
    </w:rPr>
  </w:style>
  <w:style w:type="character" w:styleId="HTMLDefinition">
    <w:name w:val="HTML Definition"/>
    <w:basedOn w:val="DefaultParagraphFont"/>
    <w:rsid w:val="005A2685"/>
    <w:rPr>
      <w:i/>
      <w:iCs/>
    </w:rPr>
  </w:style>
  <w:style w:type="character" w:styleId="HTMLKeyboard">
    <w:name w:val="HTML Keyboard"/>
    <w:basedOn w:val="DefaultParagraphFont"/>
    <w:rsid w:val="005A2685"/>
    <w:rPr>
      <w:rFonts w:ascii="Courier New" w:hAnsi="Courier New" w:cs="Courier New"/>
      <w:sz w:val="20"/>
      <w:szCs w:val="20"/>
    </w:rPr>
  </w:style>
  <w:style w:type="paragraph" w:styleId="HTMLPreformatted">
    <w:name w:val="HTML Preformatted"/>
    <w:rsid w:val="005A2685"/>
    <w:rPr>
      <w:rFonts w:ascii="Courier New" w:hAnsi="Courier New" w:cs="Courier New"/>
    </w:rPr>
  </w:style>
  <w:style w:type="character" w:styleId="HTMLSample">
    <w:name w:val="HTML Sample"/>
    <w:basedOn w:val="DefaultParagraphFont"/>
    <w:rsid w:val="005A2685"/>
    <w:rPr>
      <w:rFonts w:ascii="Courier New" w:hAnsi="Courier New" w:cs="Courier New"/>
    </w:rPr>
  </w:style>
  <w:style w:type="character" w:styleId="HTMLTypewriter">
    <w:name w:val="HTML Typewriter"/>
    <w:basedOn w:val="DefaultParagraphFont"/>
    <w:rsid w:val="005A2685"/>
    <w:rPr>
      <w:rFonts w:ascii="Courier New" w:hAnsi="Courier New" w:cs="Courier New"/>
      <w:sz w:val="20"/>
      <w:szCs w:val="20"/>
    </w:rPr>
  </w:style>
  <w:style w:type="character" w:styleId="HTMLVariable">
    <w:name w:val="HTML Variable"/>
    <w:basedOn w:val="DefaultParagraphFont"/>
    <w:rsid w:val="005A2685"/>
    <w:rPr>
      <w:i/>
      <w:iCs/>
    </w:rPr>
  </w:style>
  <w:style w:type="character" w:styleId="Hyperlink">
    <w:name w:val="Hyperlink"/>
    <w:basedOn w:val="DefaultParagraphFont"/>
    <w:rsid w:val="005A2685"/>
    <w:rPr>
      <w:color w:val="0000FF"/>
      <w:u w:val="single"/>
    </w:rPr>
  </w:style>
  <w:style w:type="paragraph" w:styleId="Index1">
    <w:name w:val="index 1"/>
    <w:next w:val="Normal"/>
    <w:rsid w:val="005A2685"/>
    <w:pPr>
      <w:ind w:left="220" w:hanging="220"/>
    </w:pPr>
    <w:rPr>
      <w:sz w:val="22"/>
      <w:szCs w:val="24"/>
    </w:rPr>
  </w:style>
  <w:style w:type="paragraph" w:styleId="Index2">
    <w:name w:val="index 2"/>
    <w:next w:val="Normal"/>
    <w:rsid w:val="005A2685"/>
    <w:pPr>
      <w:ind w:left="440" w:hanging="220"/>
    </w:pPr>
    <w:rPr>
      <w:sz w:val="22"/>
      <w:szCs w:val="24"/>
    </w:rPr>
  </w:style>
  <w:style w:type="paragraph" w:styleId="Index3">
    <w:name w:val="index 3"/>
    <w:next w:val="Normal"/>
    <w:rsid w:val="005A2685"/>
    <w:pPr>
      <w:ind w:left="660" w:hanging="220"/>
    </w:pPr>
    <w:rPr>
      <w:sz w:val="22"/>
      <w:szCs w:val="24"/>
    </w:rPr>
  </w:style>
  <w:style w:type="paragraph" w:styleId="Index4">
    <w:name w:val="index 4"/>
    <w:next w:val="Normal"/>
    <w:rsid w:val="005A2685"/>
    <w:pPr>
      <w:ind w:left="880" w:hanging="220"/>
    </w:pPr>
    <w:rPr>
      <w:sz w:val="22"/>
      <w:szCs w:val="24"/>
    </w:rPr>
  </w:style>
  <w:style w:type="paragraph" w:styleId="Index5">
    <w:name w:val="index 5"/>
    <w:next w:val="Normal"/>
    <w:rsid w:val="005A2685"/>
    <w:pPr>
      <w:ind w:left="1100" w:hanging="220"/>
    </w:pPr>
    <w:rPr>
      <w:sz w:val="22"/>
      <w:szCs w:val="24"/>
    </w:rPr>
  </w:style>
  <w:style w:type="paragraph" w:styleId="Index6">
    <w:name w:val="index 6"/>
    <w:next w:val="Normal"/>
    <w:rsid w:val="005A2685"/>
    <w:pPr>
      <w:ind w:left="1320" w:hanging="220"/>
    </w:pPr>
    <w:rPr>
      <w:sz w:val="22"/>
      <w:szCs w:val="24"/>
    </w:rPr>
  </w:style>
  <w:style w:type="paragraph" w:styleId="Index7">
    <w:name w:val="index 7"/>
    <w:next w:val="Normal"/>
    <w:rsid w:val="005A2685"/>
    <w:pPr>
      <w:ind w:left="1540" w:hanging="220"/>
    </w:pPr>
    <w:rPr>
      <w:sz w:val="22"/>
      <w:szCs w:val="24"/>
    </w:rPr>
  </w:style>
  <w:style w:type="paragraph" w:styleId="Index8">
    <w:name w:val="index 8"/>
    <w:next w:val="Normal"/>
    <w:rsid w:val="005A2685"/>
    <w:pPr>
      <w:ind w:left="1760" w:hanging="220"/>
    </w:pPr>
    <w:rPr>
      <w:sz w:val="22"/>
      <w:szCs w:val="24"/>
    </w:rPr>
  </w:style>
  <w:style w:type="paragraph" w:styleId="Index9">
    <w:name w:val="index 9"/>
    <w:next w:val="Normal"/>
    <w:rsid w:val="005A2685"/>
    <w:pPr>
      <w:ind w:left="1980" w:hanging="220"/>
    </w:pPr>
    <w:rPr>
      <w:sz w:val="22"/>
      <w:szCs w:val="24"/>
    </w:rPr>
  </w:style>
  <w:style w:type="paragraph" w:styleId="IndexHeading">
    <w:name w:val="index heading"/>
    <w:next w:val="Index1"/>
    <w:rsid w:val="005A2685"/>
    <w:rPr>
      <w:rFonts w:ascii="Arial" w:hAnsi="Arial" w:cs="Arial"/>
      <w:b/>
      <w:bCs/>
      <w:sz w:val="22"/>
      <w:szCs w:val="24"/>
    </w:rPr>
  </w:style>
  <w:style w:type="paragraph" w:customStyle="1" w:styleId="Item">
    <w:name w:val="Item"/>
    <w:aliases w:val="i"/>
    <w:basedOn w:val="OPCParaBase"/>
    <w:next w:val="ItemHead"/>
    <w:rsid w:val="00BD574A"/>
    <w:pPr>
      <w:keepLines/>
      <w:spacing w:before="80" w:line="240" w:lineRule="auto"/>
      <w:ind w:left="709"/>
    </w:pPr>
  </w:style>
  <w:style w:type="paragraph" w:customStyle="1" w:styleId="ItemHead">
    <w:name w:val="ItemHead"/>
    <w:aliases w:val="ih"/>
    <w:basedOn w:val="OPCParaBase"/>
    <w:next w:val="Item"/>
    <w:link w:val="ItemHeadChar"/>
    <w:rsid w:val="00BD574A"/>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BD574A"/>
    <w:rPr>
      <w:sz w:val="16"/>
    </w:rPr>
  </w:style>
  <w:style w:type="paragraph" w:styleId="List">
    <w:name w:val="List"/>
    <w:rsid w:val="005A2685"/>
    <w:pPr>
      <w:ind w:left="283" w:hanging="283"/>
    </w:pPr>
    <w:rPr>
      <w:sz w:val="22"/>
      <w:szCs w:val="24"/>
    </w:rPr>
  </w:style>
  <w:style w:type="paragraph" w:styleId="List2">
    <w:name w:val="List 2"/>
    <w:rsid w:val="005A2685"/>
    <w:pPr>
      <w:ind w:left="566" w:hanging="283"/>
    </w:pPr>
    <w:rPr>
      <w:sz w:val="22"/>
      <w:szCs w:val="24"/>
    </w:rPr>
  </w:style>
  <w:style w:type="paragraph" w:styleId="List3">
    <w:name w:val="List 3"/>
    <w:rsid w:val="005A2685"/>
    <w:pPr>
      <w:ind w:left="849" w:hanging="283"/>
    </w:pPr>
    <w:rPr>
      <w:sz w:val="22"/>
      <w:szCs w:val="24"/>
    </w:rPr>
  </w:style>
  <w:style w:type="paragraph" w:styleId="List4">
    <w:name w:val="List 4"/>
    <w:rsid w:val="005A2685"/>
    <w:pPr>
      <w:ind w:left="1132" w:hanging="283"/>
    </w:pPr>
    <w:rPr>
      <w:sz w:val="22"/>
      <w:szCs w:val="24"/>
    </w:rPr>
  </w:style>
  <w:style w:type="paragraph" w:styleId="List5">
    <w:name w:val="List 5"/>
    <w:rsid w:val="005A2685"/>
    <w:pPr>
      <w:ind w:left="1415" w:hanging="283"/>
    </w:pPr>
    <w:rPr>
      <w:sz w:val="22"/>
      <w:szCs w:val="24"/>
    </w:rPr>
  </w:style>
  <w:style w:type="paragraph" w:styleId="ListBullet">
    <w:name w:val="List Bullet"/>
    <w:rsid w:val="005A2685"/>
    <w:pPr>
      <w:numPr>
        <w:numId w:val="7"/>
      </w:numPr>
      <w:tabs>
        <w:tab w:val="clear" w:pos="360"/>
        <w:tab w:val="num" w:pos="2989"/>
      </w:tabs>
      <w:ind w:left="1225" w:firstLine="1043"/>
    </w:pPr>
    <w:rPr>
      <w:sz w:val="22"/>
      <w:szCs w:val="24"/>
    </w:rPr>
  </w:style>
  <w:style w:type="paragraph" w:styleId="ListBullet2">
    <w:name w:val="List Bullet 2"/>
    <w:rsid w:val="005A2685"/>
    <w:pPr>
      <w:numPr>
        <w:numId w:val="9"/>
      </w:numPr>
      <w:tabs>
        <w:tab w:val="clear" w:pos="643"/>
        <w:tab w:val="num" w:pos="360"/>
      </w:tabs>
      <w:ind w:left="360"/>
    </w:pPr>
    <w:rPr>
      <w:sz w:val="22"/>
      <w:szCs w:val="24"/>
    </w:rPr>
  </w:style>
  <w:style w:type="paragraph" w:styleId="ListBullet3">
    <w:name w:val="List Bullet 3"/>
    <w:rsid w:val="005A2685"/>
    <w:pPr>
      <w:numPr>
        <w:numId w:val="11"/>
      </w:numPr>
      <w:tabs>
        <w:tab w:val="clear" w:pos="926"/>
        <w:tab w:val="num" w:pos="360"/>
      </w:tabs>
      <w:ind w:left="360"/>
    </w:pPr>
    <w:rPr>
      <w:sz w:val="22"/>
      <w:szCs w:val="24"/>
    </w:rPr>
  </w:style>
  <w:style w:type="paragraph" w:styleId="ListBullet4">
    <w:name w:val="List Bullet 4"/>
    <w:rsid w:val="005A2685"/>
    <w:pPr>
      <w:numPr>
        <w:numId w:val="13"/>
      </w:numPr>
      <w:tabs>
        <w:tab w:val="clear" w:pos="1209"/>
        <w:tab w:val="num" w:pos="926"/>
      </w:tabs>
      <w:ind w:left="926"/>
    </w:pPr>
    <w:rPr>
      <w:sz w:val="22"/>
      <w:szCs w:val="24"/>
    </w:rPr>
  </w:style>
  <w:style w:type="paragraph" w:styleId="ListBullet5">
    <w:name w:val="List Bullet 5"/>
    <w:rsid w:val="005A2685"/>
    <w:pPr>
      <w:numPr>
        <w:numId w:val="15"/>
      </w:numPr>
    </w:pPr>
    <w:rPr>
      <w:sz w:val="22"/>
      <w:szCs w:val="24"/>
    </w:rPr>
  </w:style>
  <w:style w:type="paragraph" w:styleId="ListContinue">
    <w:name w:val="List Continue"/>
    <w:rsid w:val="005A2685"/>
    <w:pPr>
      <w:spacing w:after="120"/>
      <w:ind w:left="283"/>
    </w:pPr>
    <w:rPr>
      <w:sz w:val="22"/>
      <w:szCs w:val="24"/>
    </w:rPr>
  </w:style>
  <w:style w:type="paragraph" w:styleId="ListContinue2">
    <w:name w:val="List Continue 2"/>
    <w:rsid w:val="005A2685"/>
    <w:pPr>
      <w:spacing w:after="120"/>
      <w:ind w:left="566"/>
    </w:pPr>
    <w:rPr>
      <w:sz w:val="22"/>
      <w:szCs w:val="24"/>
    </w:rPr>
  </w:style>
  <w:style w:type="paragraph" w:styleId="ListContinue3">
    <w:name w:val="List Continue 3"/>
    <w:rsid w:val="005A2685"/>
    <w:pPr>
      <w:spacing w:after="120"/>
      <w:ind w:left="849"/>
    </w:pPr>
    <w:rPr>
      <w:sz w:val="22"/>
      <w:szCs w:val="24"/>
    </w:rPr>
  </w:style>
  <w:style w:type="paragraph" w:styleId="ListContinue4">
    <w:name w:val="List Continue 4"/>
    <w:rsid w:val="005A2685"/>
    <w:pPr>
      <w:spacing w:after="120"/>
      <w:ind w:left="1132"/>
    </w:pPr>
    <w:rPr>
      <w:sz w:val="22"/>
      <w:szCs w:val="24"/>
    </w:rPr>
  </w:style>
  <w:style w:type="paragraph" w:styleId="ListContinue5">
    <w:name w:val="List Continue 5"/>
    <w:rsid w:val="005A2685"/>
    <w:pPr>
      <w:spacing w:after="120"/>
      <w:ind w:left="1415"/>
    </w:pPr>
    <w:rPr>
      <w:sz w:val="22"/>
      <w:szCs w:val="24"/>
    </w:rPr>
  </w:style>
  <w:style w:type="paragraph" w:styleId="ListNumber">
    <w:name w:val="List Number"/>
    <w:rsid w:val="005A2685"/>
    <w:pPr>
      <w:numPr>
        <w:numId w:val="17"/>
      </w:numPr>
      <w:tabs>
        <w:tab w:val="clear" w:pos="360"/>
        <w:tab w:val="num" w:pos="4242"/>
      </w:tabs>
      <w:ind w:left="3521" w:hanging="1043"/>
    </w:pPr>
    <w:rPr>
      <w:sz w:val="22"/>
      <w:szCs w:val="24"/>
    </w:rPr>
  </w:style>
  <w:style w:type="paragraph" w:styleId="ListNumber2">
    <w:name w:val="List Number 2"/>
    <w:rsid w:val="005A2685"/>
    <w:pPr>
      <w:numPr>
        <w:numId w:val="19"/>
      </w:numPr>
      <w:tabs>
        <w:tab w:val="clear" w:pos="643"/>
        <w:tab w:val="num" w:pos="360"/>
      </w:tabs>
      <w:ind w:left="360" w:firstLine="0"/>
    </w:pPr>
    <w:rPr>
      <w:sz w:val="22"/>
      <w:szCs w:val="24"/>
    </w:rPr>
  </w:style>
  <w:style w:type="paragraph" w:styleId="ListNumber3">
    <w:name w:val="List Number 3"/>
    <w:rsid w:val="005A2685"/>
    <w:pPr>
      <w:numPr>
        <w:numId w:val="21"/>
      </w:numPr>
      <w:tabs>
        <w:tab w:val="clear" w:pos="926"/>
        <w:tab w:val="num" w:pos="360"/>
      </w:tabs>
      <w:ind w:left="360"/>
    </w:pPr>
    <w:rPr>
      <w:sz w:val="22"/>
      <w:szCs w:val="24"/>
    </w:rPr>
  </w:style>
  <w:style w:type="paragraph" w:styleId="ListNumber4">
    <w:name w:val="List Number 4"/>
    <w:rsid w:val="005A2685"/>
    <w:pPr>
      <w:numPr>
        <w:numId w:val="23"/>
      </w:numPr>
      <w:tabs>
        <w:tab w:val="clear" w:pos="1209"/>
        <w:tab w:val="num" w:pos="360"/>
      </w:tabs>
      <w:ind w:left="360"/>
    </w:pPr>
    <w:rPr>
      <w:sz w:val="22"/>
      <w:szCs w:val="24"/>
    </w:rPr>
  </w:style>
  <w:style w:type="paragraph" w:styleId="ListNumber5">
    <w:name w:val="List Number 5"/>
    <w:rsid w:val="005A2685"/>
    <w:pPr>
      <w:numPr>
        <w:numId w:val="25"/>
      </w:numPr>
      <w:tabs>
        <w:tab w:val="clear" w:pos="1492"/>
        <w:tab w:val="num" w:pos="1440"/>
      </w:tabs>
      <w:ind w:left="0" w:firstLine="0"/>
    </w:pPr>
    <w:rPr>
      <w:sz w:val="22"/>
      <w:szCs w:val="24"/>
    </w:rPr>
  </w:style>
  <w:style w:type="paragraph" w:customStyle="1" w:styleId="LongT">
    <w:name w:val="LongT"/>
    <w:basedOn w:val="OPCParaBase"/>
    <w:rsid w:val="00BD574A"/>
    <w:pPr>
      <w:spacing w:line="240" w:lineRule="auto"/>
    </w:pPr>
    <w:rPr>
      <w:b/>
      <w:sz w:val="32"/>
    </w:rPr>
  </w:style>
  <w:style w:type="paragraph" w:styleId="MacroText">
    <w:name w:val="macro"/>
    <w:rsid w:val="005A268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5A268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5A2685"/>
    <w:rPr>
      <w:sz w:val="24"/>
      <w:szCs w:val="24"/>
    </w:rPr>
  </w:style>
  <w:style w:type="paragraph" w:styleId="NormalIndent">
    <w:name w:val="Normal Indent"/>
    <w:rsid w:val="005A2685"/>
    <w:pPr>
      <w:ind w:left="720"/>
    </w:pPr>
    <w:rPr>
      <w:sz w:val="22"/>
      <w:szCs w:val="24"/>
    </w:rPr>
  </w:style>
  <w:style w:type="paragraph" w:styleId="NoteHeading">
    <w:name w:val="Note Heading"/>
    <w:next w:val="Normal"/>
    <w:rsid w:val="005A2685"/>
    <w:rPr>
      <w:sz w:val="22"/>
      <w:szCs w:val="24"/>
    </w:rPr>
  </w:style>
  <w:style w:type="paragraph" w:customStyle="1" w:styleId="notedraft">
    <w:name w:val="note(draft)"/>
    <w:aliases w:val="nd"/>
    <w:basedOn w:val="OPCParaBase"/>
    <w:rsid w:val="00BD574A"/>
    <w:pPr>
      <w:spacing w:before="240" w:line="240" w:lineRule="auto"/>
      <w:ind w:left="284" w:hanging="284"/>
    </w:pPr>
    <w:rPr>
      <w:i/>
      <w:sz w:val="24"/>
    </w:rPr>
  </w:style>
  <w:style w:type="paragraph" w:customStyle="1" w:styleId="notepara">
    <w:name w:val="note(para)"/>
    <w:aliases w:val="na"/>
    <w:basedOn w:val="OPCParaBase"/>
    <w:rsid w:val="00BD574A"/>
    <w:pPr>
      <w:spacing w:before="40" w:line="198" w:lineRule="exact"/>
      <w:ind w:left="2354" w:hanging="369"/>
    </w:pPr>
    <w:rPr>
      <w:sz w:val="18"/>
    </w:rPr>
  </w:style>
  <w:style w:type="paragraph" w:customStyle="1" w:styleId="noteParlAmend">
    <w:name w:val="note(ParlAmend)"/>
    <w:aliases w:val="npp"/>
    <w:basedOn w:val="OPCParaBase"/>
    <w:next w:val="ParlAmend"/>
    <w:rsid w:val="00BD574A"/>
    <w:pPr>
      <w:spacing w:line="240" w:lineRule="auto"/>
      <w:jc w:val="right"/>
    </w:pPr>
    <w:rPr>
      <w:rFonts w:ascii="Arial" w:hAnsi="Arial"/>
      <w:b/>
      <w:i/>
    </w:rPr>
  </w:style>
  <w:style w:type="character" w:styleId="PageNumber">
    <w:name w:val="page number"/>
    <w:basedOn w:val="DefaultParagraphFont"/>
    <w:rsid w:val="005A2685"/>
  </w:style>
  <w:style w:type="paragraph" w:customStyle="1" w:styleId="Page1">
    <w:name w:val="Page1"/>
    <w:basedOn w:val="OPCParaBase"/>
    <w:rsid w:val="00BD574A"/>
    <w:pPr>
      <w:spacing w:before="5600" w:line="240" w:lineRule="auto"/>
    </w:pPr>
    <w:rPr>
      <w:b/>
      <w:sz w:val="32"/>
    </w:rPr>
  </w:style>
  <w:style w:type="paragraph" w:customStyle="1" w:styleId="PageBreak">
    <w:name w:val="PageBreak"/>
    <w:aliases w:val="pb"/>
    <w:basedOn w:val="OPCParaBase"/>
    <w:rsid w:val="00BD574A"/>
    <w:pPr>
      <w:spacing w:line="240" w:lineRule="auto"/>
    </w:pPr>
    <w:rPr>
      <w:sz w:val="20"/>
    </w:rPr>
  </w:style>
  <w:style w:type="character" w:customStyle="1" w:styleId="subsectionChar">
    <w:name w:val="subsection Char"/>
    <w:aliases w:val="ss Char"/>
    <w:basedOn w:val="DefaultParagraphFont"/>
    <w:link w:val="subsection"/>
    <w:rsid w:val="00F31542"/>
    <w:rPr>
      <w:sz w:val="22"/>
    </w:rPr>
  </w:style>
  <w:style w:type="paragraph" w:customStyle="1" w:styleId="paragraph">
    <w:name w:val="paragraph"/>
    <w:aliases w:val="a"/>
    <w:basedOn w:val="OPCParaBase"/>
    <w:link w:val="paragraphChar"/>
    <w:rsid w:val="00BD574A"/>
    <w:pPr>
      <w:tabs>
        <w:tab w:val="right" w:pos="1531"/>
      </w:tabs>
      <w:spacing w:before="40" w:line="240" w:lineRule="auto"/>
      <w:ind w:left="1644" w:hanging="1644"/>
    </w:pPr>
  </w:style>
  <w:style w:type="paragraph" w:customStyle="1" w:styleId="paragraphsub">
    <w:name w:val="paragraph(sub)"/>
    <w:aliases w:val="aa"/>
    <w:basedOn w:val="OPCParaBase"/>
    <w:rsid w:val="00BD574A"/>
    <w:pPr>
      <w:tabs>
        <w:tab w:val="right" w:pos="1985"/>
      </w:tabs>
      <w:spacing w:before="40" w:line="240" w:lineRule="auto"/>
      <w:ind w:left="2098" w:hanging="2098"/>
    </w:pPr>
  </w:style>
  <w:style w:type="paragraph" w:customStyle="1" w:styleId="paragraphsub-sub">
    <w:name w:val="paragraph(sub-sub)"/>
    <w:aliases w:val="aaa"/>
    <w:basedOn w:val="OPCParaBase"/>
    <w:rsid w:val="00BD574A"/>
    <w:pPr>
      <w:tabs>
        <w:tab w:val="right" w:pos="2722"/>
      </w:tabs>
      <w:spacing w:before="40" w:line="240" w:lineRule="auto"/>
      <w:ind w:left="2835" w:hanging="2835"/>
    </w:pPr>
  </w:style>
  <w:style w:type="paragraph" w:customStyle="1" w:styleId="ParlAmend">
    <w:name w:val="ParlAmend"/>
    <w:aliases w:val="pp"/>
    <w:basedOn w:val="OPCParaBase"/>
    <w:rsid w:val="00BD574A"/>
    <w:pPr>
      <w:spacing w:before="240" w:line="240" w:lineRule="atLeast"/>
      <w:ind w:hanging="567"/>
    </w:pPr>
    <w:rPr>
      <w:sz w:val="24"/>
    </w:rPr>
  </w:style>
  <w:style w:type="paragraph" w:customStyle="1" w:styleId="Penalty">
    <w:name w:val="Penalty"/>
    <w:basedOn w:val="OPCParaBase"/>
    <w:rsid w:val="00BD574A"/>
    <w:pPr>
      <w:tabs>
        <w:tab w:val="left" w:pos="2977"/>
      </w:tabs>
      <w:spacing w:before="180" w:line="240" w:lineRule="auto"/>
      <w:ind w:left="1985" w:hanging="851"/>
    </w:pPr>
  </w:style>
  <w:style w:type="paragraph" w:styleId="PlainText">
    <w:name w:val="Plain Text"/>
    <w:rsid w:val="005A2685"/>
    <w:rPr>
      <w:rFonts w:ascii="Courier New" w:hAnsi="Courier New" w:cs="Courier New"/>
      <w:sz w:val="22"/>
    </w:rPr>
  </w:style>
  <w:style w:type="paragraph" w:customStyle="1" w:styleId="Portfolio">
    <w:name w:val="Portfolio"/>
    <w:basedOn w:val="OPCParaBase"/>
    <w:rsid w:val="00BD574A"/>
    <w:pPr>
      <w:spacing w:line="240" w:lineRule="auto"/>
    </w:pPr>
    <w:rPr>
      <w:i/>
      <w:sz w:val="20"/>
    </w:rPr>
  </w:style>
  <w:style w:type="paragraph" w:customStyle="1" w:styleId="Preamble">
    <w:name w:val="Preamble"/>
    <w:basedOn w:val="OPCParaBase"/>
    <w:next w:val="Normal"/>
    <w:rsid w:val="00BD574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D574A"/>
    <w:pPr>
      <w:spacing w:line="240" w:lineRule="auto"/>
    </w:pPr>
    <w:rPr>
      <w:i/>
      <w:sz w:val="20"/>
    </w:rPr>
  </w:style>
  <w:style w:type="paragraph" w:styleId="Salutation">
    <w:name w:val="Salutation"/>
    <w:next w:val="Normal"/>
    <w:rsid w:val="005A2685"/>
    <w:rPr>
      <w:sz w:val="22"/>
      <w:szCs w:val="24"/>
    </w:rPr>
  </w:style>
  <w:style w:type="paragraph" w:customStyle="1" w:styleId="Session">
    <w:name w:val="Session"/>
    <w:basedOn w:val="OPCParaBase"/>
    <w:rsid w:val="00BD574A"/>
    <w:pPr>
      <w:spacing w:line="240" w:lineRule="auto"/>
    </w:pPr>
    <w:rPr>
      <w:sz w:val="28"/>
    </w:rPr>
  </w:style>
  <w:style w:type="paragraph" w:customStyle="1" w:styleId="ShortT">
    <w:name w:val="ShortT"/>
    <w:basedOn w:val="OPCParaBase"/>
    <w:next w:val="Normal"/>
    <w:qFormat/>
    <w:rsid w:val="00BD574A"/>
    <w:pPr>
      <w:spacing w:line="240" w:lineRule="auto"/>
    </w:pPr>
    <w:rPr>
      <w:b/>
      <w:sz w:val="40"/>
    </w:rPr>
  </w:style>
  <w:style w:type="paragraph" w:styleId="Signature">
    <w:name w:val="Signature"/>
    <w:rsid w:val="005A2685"/>
    <w:pPr>
      <w:ind w:left="4252"/>
    </w:pPr>
    <w:rPr>
      <w:sz w:val="22"/>
      <w:szCs w:val="24"/>
    </w:rPr>
  </w:style>
  <w:style w:type="paragraph" w:customStyle="1" w:styleId="Sponsor">
    <w:name w:val="Sponsor"/>
    <w:basedOn w:val="OPCParaBase"/>
    <w:rsid w:val="00BD574A"/>
    <w:pPr>
      <w:spacing w:line="240" w:lineRule="auto"/>
    </w:pPr>
    <w:rPr>
      <w:i/>
    </w:rPr>
  </w:style>
  <w:style w:type="character" w:styleId="Strong">
    <w:name w:val="Strong"/>
    <w:basedOn w:val="DefaultParagraphFont"/>
    <w:qFormat/>
    <w:rsid w:val="005A2685"/>
    <w:rPr>
      <w:b/>
      <w:bCs/>
    </w:rPr>
  </w:style>
  <w:style w:type="paragraph" w:customStyle="1" w:styleId="Subitem">
    <w:name w:val="Subitem"/>
    <w:aliases w:val="iss"/>
    <w:basedOn w:val="OPCParaBase"/>
    <w:rsid w:val="00BD574A"/>
    <w:pPr>
      <w:spacing w:before="180" w:line="240" w:lineRule="auto"/>
      <w:ind w:left="709" w:hanging="709"/>
    </w:pPr>
  </w:style>
  <w:style w:type="paragraph" w:customStyle="1" w:styleId="SubitemHead">
    <w:name w:val="SubitemHead"/>
    <w:aliases w:val="issh"/>
    <w:basedOn w:val="OPCParaBase"/>
    <w:rsid w:val="00BD574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BD574A"/>
    <w:pPr>
      <w:spacing w:before="40" w:line="240" w:lineRule="auto"/>
      <w:ind w:left="1134"/>
    </w:pPr>
  </w:style>
  <w:style w:type="paragraph" w:customStyle="1" w:styleId="SubsectionHead">
    <w:name w:val="SubsectionHead"/>
    <w:aliases w:val="ssh"/>
    <w:basedOn w:val="OPCParaBase"/>
    <w:next w:val="subsection"/>
    <w:rsid w:val="00BD574A"/>
    <w:pPr>
      <w:keepNext/>
      <w:keepLines/>
      <w:spacing w:before="240" w:line="240" w:lineRule="auto"/>
      <w:ind w:left="1134"/>
    </w:pPr>
    <w:rPr>
      <w:i/>
    </w:rPr>
  </w:style>
  <w:style w:type="paragraph" w:styleId="Subtitle">
    <w:name w:val="Subtitle"/>
    <w:qFormat/>
    <w:rsid w:val="005A2685"/>
    <w:pPr>
      <w:spacing w:after="60"/>
      <w:jc w:val="center"/>
    </w:pPr>
    <w:rPr>
      <w:rFonts w:ascii="Arial" w:hAnsi="Arial" w:cs="Arial"/>
      <w:sz w:val="24"/>
      <w:szCs w:val="24"/>
    </w:rPr>
  </w:style>
  <w:style w:type="table" w:styleId="Table3Deffects1">
    <w:name w:val="Table 3D effects 1"/>
    <w:basedOn w:val="TableNormal"/>
    <w:rsid w:val="005A2685"/>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A2685"/>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A2685"/>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A2685"/>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A2685"/>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A2685"/>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A2685"/>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A2685"/>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A2685"/>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A2685"/>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A2685"/>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A2685"/>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A2685"/>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A2685"/>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A2685"/>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A2685"/>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A2685"/>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D574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A268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A2685"/>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A2685"/>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A2685"/>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A268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A2685"/>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A2685"/>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A2685"/>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A2685"/>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A2685"/>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A2685"/>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A268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A268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A2685"/>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A2685"/>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A2685"/>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5A2685"/>
    <w:pPr>
      <w:ind w:left="220" w:hanging="220"/>
    </w:pPr>
    <w:rPr>
      <w:sz w:val="22"/>
      <w:szCs w:val="24"/>
    </w:rPr>
  </w:style>
  <w:style w:type="paragraph" w:styleId="TableofFigures">
    <w:name w:val="table of figures"/>
    <w:next w:val="Normal"/>
    <w:rsid w:val="005A2685"/>
    <w:pPr>
      <w:ind w:left="440" w:hanging="440"/>
    </w:pPr>
    <w:rPr>
      <w:sz w:val="22"/>
      <w:szCs w:val="24"/>
    </w:rPr>
  </w:style>
  <w:style w:type="table" w:styleId="TableProfessional">
    <w:name w:val="Table Professional"/>
    <w:basedOn w:val="TableNormal"/>
    <w:rsid w:val="005A268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A2685"/>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A2685"/>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A2685"/>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A2685"/>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A2685"/>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A2685"/>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A2685"/>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A2685"/>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A2685"/>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BD574A"/>
    <w:pPr>
      <w:spacing w:before="60" w:line="240" w:lineRule="auto"/>
      <w:ind w:left="284" w:hanging="284"/>
    </w:pPr>
    <w:rPr>
      <w:sz w:val="20"/>
    </w:rPr>
  </w:style>
  <w:style w:type="paragraph" w:customStyle="1" w:styleId="Tablei">
    <w:name w:val="Table(i)"/>
    <w:aliases w:val="taa"/>
    <w:basedOn w:val="OPCParaBase"/>
    <w:rsid w:val="00BD574A"/>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BD574A"/>
    <w:pPr>
      <w:tabs>
        <w:tab w:val="left" w:pos="-6543"/>
        <w:tab w:val="left" w:pos="-6260"/>
      </w:tabs>
      <w:spacing w:line="240" w:lineRule="exact"/>
      <w:ind w:left="1055" w:hanging="284"/>
    </w:pPr>
    <w:rPr>
      <w:sz w:val="20"/>
    </w:rPr>
  </w:style>
  <w:style w:type="character" w:customStyle="1" w:styleId="ItemHeadChar">
    <w:name w:val="ItemHead Char"/>
    <w:aliases w:val="ih Char"/>
    <w:basedOn w:val="DefaultParagraphFont"/>
    <w:link w:val="ItemHead"/>
    <w:rsid w:val="00B07A5E"/>
    <w:rPr>
      <w:rFonts w:ascii="Arial" w:hAnsi="Arial"/>
      <w:b/>
      <w:kern w:val="28"/>
      <w:sz w:val="24"/>
    </w:rPr>
  </w:style>
  <w:style w:type="paragraph" w:customStyle="1" w:styleId="Tabletext">
    <w:name w:val="Tabletext"/>
    <w:aliases w:val="tt"/>
    <w:basedOn w:val="OPCParaBase"/>
    <w:rsid w:val="00BD574A"/>
    <w:pPr>
      <w:spacing w:before="60" w:line="240" w:lineRule="atLeast"/>
    </w:pPr>
    <w:rPr>
      <w:sz w:val="20"/>
    </w:rPr>
  </w:style>
  <w:style w:type="paragraph" w:styleId="Title">
    <w:name w:val="Title"/>
    <w:qFormat/>
    <w:rsid w:val="005A2685"/>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BD574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D574A"/>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D574A"/>
    <w:pPr>
      <w:spacing w:before="122" w:line="198" w:lineRule="exact"/>
      <w:ind w:left="1985" w:hanging="851"/>
      <w:jc w:val="right"/>
    </w:pPr>
    <w:rPr>
      <w:sz w:val="18"/>
    </w:rPr>
  </w:style>
  <w:style w:type="paragraph" w:customStyle="1" w:styleId="TLPTableBullet">
    <w:name w:val="TLPTableBullet"/>
    <w:aliases w:val="ttb"/>
    <w:basedOn w:val="OPCParaBase"/>
    <w:rsid w:val="00BD574A"/>
    <w:pPr>
      <w:spacing w:line="240" w:lineRule="exact"/>
      <w:ind w:left="284" w:hanging="284"/>
    </w:pPr>
    <w:rPr>
      <w:sz w:val="20"/>
    </w:rPr>
  </w:style>
  <w:style w:type="paragraph" w:styleId="TOAHeading">
    <w:name w:val="toa heading"/>
    <w:next w:val="Normal"/>
    <w:rsid w:val="005A2685"/>
    <w:pPr>
      <w:spacing w:before="120"/>
    </w:pPr>
    <w:rPr>
      <w:rFonts w:ascii="Arial" w:hAnsi="Arial" w:cs="Arial"/>
      <w:b/>
      <w:bCs/>
      <w:sz w:val="24"/>
      <w:szCs w:val="24"/>
    </w:rPr>
  </w:style>
  <w:style w:type="paragraph" w:styleId="TOC1">
    <w:name w:val="toc 1"/>
    <w:basedOn w:val="OPCParaBase"/>
    <w:next w:val="Normal"/>
    <w:uiPriority w:val="39"/>
    <w:unhideWhenUsed/>
    <w:rsid w:val="00BD574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D574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D574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D574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D574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D574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D574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D574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D574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D574A"/>
    <w:pPr>
      <w:keepLines/>
      <w:spacing w:before="240" w:after="120" w:line="240" w:lineRule="auto"/>
      <w:ind w:left="794"/>
    </w:pPr>
    <w:rPr>
      <w:b/>
      <w:kern w:val="28"/>
      <w:sz w:val="20"/>
    </w:rPr>
  </w:style>
  <w:style w:type="paragraph" w:customStyle="1" w:styleId="TofSectsHeading">
    <w:name w:val="TofSects(Heading)"/>
    <w:basedOn w:val="OPCParaBase"/>
    <w:rsid w:val="00BD574A"/>
    <w:pPr>
      <w:spacing w:before="240" w:after="120" w:line="240" w:lineRule="auto"/>
    </w:pPr>
    <w:rPr>
      <w:b/>
      <w:sz w:val="24"/>
    </w:rPr>
  </w:style>
  <w:style w:type="paragraph" w:customStyle="1" w:styleId="TofSectsSection">
    <w:name w:val="TofSects(Section)"/>
    <w:basedOn w:val="OPCParaBase"/>
    <w:rsid w:val="00BD574A"/>
    <w:pPr>
      <w:keepLines/>
      <w:spacing w:before="40" w:line="240" w:lineRule="auto"/>
      <w:ind w:left="1588" w:hanging="794"/>
    </w:pPr>
    <w:rPr>
      <w:kern w:val="28"/>
      <w:sz w:val="18"/>
    </w:rPr>
  </w:style>
  <w:style w:type="paragraph" w:customStyle="1" w:styleId="TofSectsSubdiv">
    <w:name w:val="TofSects(Subdiv)"/>
    <w:basedOn w:val="OPCParaBase"/>
    <w:rsid w:val="00BD574A"/>
    <w:pPr>
      <w:keepLines/>
      <w:spacing w:before="80" w:line="240" w:lineRule="auto"/>
      <w:ind w:left="1588" w:hanging="794"/>
    </w:pPr>
    <w:rPr>
      <w:kern w:val="28"/>
    </w:rPr>
  </w:style>
  <w:style w:type="character" w:customStyle="1" w:styleId="HeaderChar">
    <w:name w:val="Header Char"/>
    <w:basedOn w:val="DefaultParagraphFont"/>
    <w:link w:val="Header"/>
    <w:rsid w:val="00BD574A"/>
    <w:rPr>
      <w:sz w:val="16"/>
    </w:rPr>
  </w:style>
  <w:style w:type="character" w:customStyle="1" w:styleId="OPCCharBase">
    <w:name w:val="OPCCharBase"/>
    <w:uiPriority w:val="1"/>
    <w:qFormat/>
    <w:rsid w:val="00BD574A"/>
  </w:style>
  <w:style w:type="paragraph" w:customStyle="1" w:styleId="OPCParaBase">
    <w:name w:val="OPCParaBase"/>
    <w:qFormat/>
    <w:rsid w:val="00BD574A"/>
    <w:pPr>
      <w:spacing w:line="260" w:lineRule="atLeast"/>
    </w:pPr>
    <w:rPr>
      <w:sz w:val="22"/>
    </w:rPr>
  </w:style>
  <w:style w:type="paragraph" w:customStyle="1" w:styleId="noteToPara">
    <w:name w:val="noteToPara"/>
    <w:aliases w:val="ntp"/>
    <w:basedOn w:val="OPCParaBase"/>
    <w:rsid w:val="00BD574A"/>
    <w:pPr>
      <w:spacing w:before="122" w:line="198" w:lineRule="exact"/>
      <w:ind w:left="2353" w:hanging="709"/>
    </w:pPr>
    <w:rPr>
      <w:sz w:val="18"/>
    </w:rPr>
  </w:style>
  <w:style w:type="paragraph" w:customStyle="1" w:styleId="WRStyle">
    <w:name w:val="WR Style"/>
    <w:aliases w:val="WR"/>
    <w:basedOn w:val="OPCParaBase"/>
    <w:rsid w:val="00BD574A"/>
    <w:pPr>
      <w:spacing w:before="240" w:line="240" w:lineRule="auto"/>
      <w:ind w:left="284" w:hanging="284"/>
    </w:pPr>
    <w:rPr>
      <w:b/>
      <w:i/>
      <w:kern w:val="28"/>
      <w:sz w:val="24"/>
    </w:rPr>
  </w:style>
  <w:style w:type="character" w:customStyle="1" w:styleId="FooterChar">
    <w:name w:val="Footer Char"/>
    <w:basedOn w:val="DefaultParagraphFont"/>
    <w:link w:val="Footer"/>
    <w:rsid w:val="00BD574A"/>
    <w:rPr>
      <w:sz w:val="22"/>
      <w:szCs w:val="24"/>
    </w:rPr>
  </w:style>
  <w:style w:type="table" w:customStyle="1" w:styleId="CFlag">
    <w:name w:val="CFlag"/>
    <w:basedOn w:val="TableNormal"/>
    <w:uiPriority w:val="99"/>
    <w:rsid w:val="00BD574A"/>
    <w:tblPr/>
  </w:style>
  <w:style w:type="paragraph" w:customStyle="1" w:styleId="SignCoverPageEnd">
    <w:name w:val="SignCoverPageEnd"/>
    <w:basedOn w:val="OPCParaBase"/>
    <w:next w:val="Normal"/>
    <w:rsid w:val="00BD574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D574A"/>
    <w:pPr>
      <w:pBdr>
        <w:top w:val="single" w:sz="4" w:space="1" w:color="auto"/>
      </w:pBdr>
      <w:spacing w:before="360"/>
      <w:ind w:right="397"/>
      <w:jc w:val="both"/>
    </w:pPr>
  </w:style>
  <w:style w:type="paragraph" w:customStyle="1" w:styleId="ENotesHeading1">
    <w:name w:val="ENotesHeading 1"/>
    <w:aliases w:val="Enh1"/>
    <w:basedOn w:val="OPCParaBase"/>
    <w:next w:val="Normal"/>
    <w:rsid w:val="00BD574A"/>
    <w:pPr>
      <w:spacing w:before="120"/>
      <w:outlineLvl w:val="1"/>
    </w:pPr>
    <w:rPr>
      <w:b/>
      <w:sz w:val="28"/>
      <w:szCs w:val="28"/>
    </w:rPr>
  </w:style>
  <w:style w:type="paragraph" w:customStyle="1" w:styleId="ENotesHeading2">
    <w:name w:val="ENotesHeading 2"/>
    <w:aliases w:val="Enh2"/>
    <w:basedOn w:val="OPCParaBase"/>
    <w:next w:val="Normal"/>
    <w:rsid w:val="00BD574A"/>
    <w:pPr>
      <w:spacing w:before="120" w:after="120"/>
      <w:outlineLvl w:val="2"/>
    </w:pPr>
    <w:rPr>
      <w:b/>
      <w:sz w:val="24"/>
      <w:szCs w:val="28"/>
    </w:rPr>
  </w:style>
  <w:style w:type="paragraph" w:customStyle="1" w:styleId="CompiledActNo">
    <w:name w:val="CompiledActNo"/>
    <w:basedOn w:val="OPCParaBase"/>
    <w:next w:val="Normal"/>
    <w:rsid w:val="00BD574A"/>
    <w:rPr>
      <w:b/>
      <w:sz w:val="24"/>
      <w:szCs w:val="24"/>
    </w:rPr>
  </w:style>
  <w:style w:type="paragraph" w:customStyle="1" w:styleId="ENotesText">
    <w:name w:val="ENotesText"/>
    <w:aliases w:val="Ent,ENt"/>
    <w:basedOn w:val="OPCParaBase"/>
    <w:next w:val="Normal"/>
    <w:rsid w:val="00BD574A"/>
    <w:pPr>
      <w:spacing w:before="120"/>
    </w:pPr>
  </w:style>
  <w:style w:type="paragraph" w:customStyle="1" w:styleId="CompiledMadeUnder">
    <w:name w:val="CompiledMadeUnder"/>
    <w:basedOn w:val="OPCParaBase"/>
    <w:next w:val="Normal"/>
    <w:rsid w:val="00BD574A"/>
    <w:rPr>
      <w:i/>
      <w:sz w:val="24"/>
      <w:szCs w:val="24"/>
    </w:rPr>
  </w:style>
  <w:style w:type="paragraph" w:customStyle="1" w:styleId="Paragraphsub-sub-sub">
    <w:name w:val="Paragraph(sub-sub-sub)"/>
    <w:aliases w:val="aaaa"/>
    <w:basedOn w:val="OPCParaBase"/>
    <w:rsid w:val="00BD574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D574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D574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D574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D574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D574A"/>
    <w:pPr>
      <w:spacing w:before="60" w:line="240" w:lineRule="auto"/>
    </w:pPr>
    <w:rPr>
      <w:rFonts w:cs="Arial"/>
      <w:sz w:val="20"/>
      <w:szCs w:val="22"/>
    </w:rPr>
  </w:style>
  <w:style w:type="paragraph" w:customStyle="1" w:styleId="ActHead10">
    <w:name w:val="ActHead 10"/>
    <w:aliases w:val="sp"/>
    <w:basedOn w:val="OPCParaBase"/>
    <w:next w:val="ActHead3"/>
    <w:rsid w:val="00BD574A"/>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BD574A"/>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BD574A"/>
    <w:pPr>
      <w:keepNext/>
      <w:spacing w:before="60" w:line="240" w:lineRule="atLeast"/>
    </w:pPr>
    <w:rPr>
      <w:b/>
      <w:sz w:val="20"/>
    </w:rPr>
  </w:style>
  <w:style w:type="paragraph" w:customStyle="1" w:styleId="NoteToSubpara">
    <w:name w:val="NoteToSubpara"/>
    <w:aliases w:val="nts"/>
    <w:basedOn w:val="OPCParaBase"/>
    <w:rsid w:val="00BD574A"/>
    <w:pPr>
      <w:spacing w:before="40" w:line="198" w:lineRule="exact"/>
      <w:ind w:left="2835" w:hanging="709"/>
    </w:pPr>
    <w:rPr>
      <w:sz w:val="18"/>
    </w:rPr>
  </w:style>
  <w:style w:type="paragraph" w:customStyle="1" w:styleId="ENoteTableHeading">
    <w:name w:val="ENoteTableHeading"/>
    <w:aliases w:val="enth"/>
    <w:basedOn w:val="OPCParaBase"/>
    <w:rsid w:val="00BD574A"/>
    <w:pPr>
      <w:keepNext/>
      <w:spacing w:before="60" w:line="240" w:lineRule="atLeast"/>
    </w:pPr>
    <w:rPr>
      <w:rFonts w:ascii="Arial" w:hAnsi="Arial"/>
      <w:b/>
      <w:sz w:val="16"/>
    </w:rPr>
  </w:style>
  <w:style w:type="paragraph" w:customStyle="1" w:styleId="ENoteTTi">
    <w:name w:val="ENoteTTi"/>
    <w:aliases w:val="entti"/>
    <w:basedOn w:val="OPCParaBase"/>
    <w:rsid w:val="00BD574A"/>
    <w:pPr>
      <w:keepNext/>
      <w:spacing w:before="60" w:line="240" w:lineRule="atLeast"/>
      <w:ind w:left="170"/>
    </w:pPr>
    <w:rPr>
      <w:sz w:val="16"/>
    </w:rPr>
  </w:style>
  <w:style w:type="paragraph" w:customStyle="1" w:styleId="ENoteTTIndentHeading">
    <w:name w:val="ENoteTTIndentHeading"/>
    <w:aliases w:val="enTTHi"/>
    <w:basedOn w:val="OPCParaBase"/>
    <w:rsid w:val="00BD574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D574A"/>
    <w:pPr>
      <w:spacing w:before="60" w:line="240" w:lineRule="atLeast"/>
    </w:pPr>
    <w:rPr>
      <w:sz w:val="16"/>
    </w:rPr>
  </w:style>
  <w:style w:type="paragraph" w:customStyle="1" w:styleId="MadeunderText">
    <w:name w:val="MadeunderText"/>
    <w:basedOn w:val="OPCParaBase"/>
    <w:next w:val="CompiledMadeUnder"/>
    <w:rsid w:val="00BD574A"/>
    <w:pPr>
      <w:spacing w:before="240"/>
    </w:pPr>
    <w:rPr>
      <w:sz w:val="24"/>
      <w:szCs w:val="24"/>
    </w:rPr>
  </w:style>
  <w:style w:type="paragraph" w:customStyle="1" w:styleId="ENotesHeading3">
    <w:name w:val="ENotesHeading 3"/>
    <w:aliases w:val="Enh3"/>
    <w:basedOn w:val="OPCParaBase"/>
    <w:next w:val="Normal"/>
    <w:rsid w:val="00BD574A"/>
    <w:pPr>
      <w:keepNext/>
      <w:spacing w:before="120" w:line="240" w:lineRule="auto"/>
      <w:outlineLvl w:val="4"/>
    </w:pPr>
    <w:rPr>
      <w:b/>
      <w:szCs w:val="24"/>
    </w:rPr>
  </w:style>
  <w:style w:type="paragraph" w:customStyle="1" w:styleId="SubPartCASA">
    <w:name w:val="SubPart(CASA)"/>
    <w:aliases w:val="csp"/>
    <w:basedOn w:val="OPCParaBase"/>
    <w:next w:val="ActHead3"/>
    <w:rsid w:val="00BD574A"/>
    <w:pPr>
      <w:keepNext/>
      <w:keepLines/>
      <w:spacing w:before="280"/>
      <w:outlineLvl w:val="1"/>
    </w:pPr>
    <w:rPr>
      <w:b/>
      <w:kern w:val="28"/>
      <w:sz w:val="32"/>
    </w:rPr>
  </w:style>
  <w:style w:type="paragraph" w:styleId="Revision">
    <w:name w:val="Revision"/>
    <w:hidden/>
    <w:uiPriority w:val="99"/>
    <w:semiHidden/>
    <w:rsid w:val="00F84199"/>
    <w:rPr>
      <w:rFonts w:eastAsiaTheme="minorHAnsi" w:cstheme="minorBidi"/>
      <w:sz w:val="22"/>
      <w:lang w:eastAsia="en-US"/>
    </w:rPr>
  </w:style>
  <w:style w:type="paragraph" w:customStyle="1" w:styleId="FreeForm">
    <w:name w:val="FreeForm"/>
    <w:rsid w:val="00BD574A"/>
    <w:rPr>
      <w:rFonts w:ascii="Arial" w:eastAsiaTheme="minorHAnsi" w:hAnsi="Arial" w:cstheme="minorBidi"/>
      <w:sz w:val="22"/>
      <w:lang w:eastAsia="en-US"/>
    </w:rPr>
  </w:style>
  <w:style w:type="paragraph" w:customStyle="1" w:styleId="SOText">
    <w:name w:val="SO Text"/>
    <w:aliases w:val="sot"/>
    <w:link w:val="SOTextChar"/>
    <w:rsid w:val="00BD574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D574A"/>
    <w:rPr>
      <w:rFonts w:eastAsiaTheme="minorHAnsi" w:cstheme="minorBidi"/>
      <w:sz w:val="22"/>
      <w:lang w:eastAsia="en-US"/>
    </w:rPr>
  </w:style>
  <w:style w:type="paragraph" w:customStyle="1" w:styleId="SOTextNote">
    <w:name w:val="SO TextNote"/>
    <w:aliases w:val="sont"/>
    <w:basedOn w:val="SOText"/>
    <w:qFormat/>
    <w:rsid w:val="00BD574A"/>
    <w:pPr>
      <w:spacing w:before="122" w:line="198" w:lineRule="exact"/>
      <w:ind w:left="1843" w:hanging="709"/>
    </w:pPr>
    <w:rPr>
      <w:sz w:val="18"/>
    </w:rPr>
  </w:style>
  <w:style w:type="paragraph" w:customStyle="1" w:styleId="SOPara">
    <w:name w:val="SO Para"/>
    <w:aliases w:val="soa"/>
    <w:basedOn w:val="SOText"/>
    <w:link w:val="SOParaChar"/>
    <w:qFormat/>
    <w:rsid w:val="00BD574A"/>
    <w:pPr>
      <w:tabs>
        <w:tab w:val="right" w:pos="1786"/>
      </w:tabs>
      <w:spacing w:before="40"/>
      <w:ind w:left="2070" w:hanging="936"/>
    </w:pPr>
  </w:style>
  <w:style w:type="character" w:customStyle="1" w:styleId="SOParaChar">
    <w:name w:val="SO Para Char"/>
    <w:aliases w:val="soa Char"/>
    <w:basedOn w:val="DefaultParagraphFont"/>
    <w:link w:val="SOPara"/>
    <w:rsid w:val="00BD574A"/>
    <w:rPr>
      <w:rFonts w:eastAsiaTheme="minorHAnsi" w:cstheme="minorBidi"/>
      <w:sz w:val="22"/>
      <w:lang w:eastAsia="en-US"/>
    </w:rPr>
  </w:style>
  <w:style w:type="paragraph" w:customStyle="1" w:styleId="FileName">
    <w:name w:val="FileName"/>
    <w:basedOn w:val="Normal"/>
    <w:rsid w:val="00BD574A"/>
  </w:style>
  <w:style w:type="paragraph" w:customStyle="1" w:styleId="SOHeadBold">
    <w:name w:val="SO HeadBold"/>
    <w:aliases w:val="sohb"/>
    <w:basedOn w:val="SOText"/>
    <w:next w:val="SOText"/>
    <w:link w:val="SOHeadBoldChar"/>
    <w:qFormat/>
    <w:rsid w:val="00BD574A"/>
    <w:rPr>
      <w:b/>
    </w:rPr>
  </w:style>
  <w:style w:type="character" w:customStyle="1" w:styleId="SOHeadBoldChar">
    <w:name w:val="SO HeadBold Char"/>
    <w:aliases w:val="sohb Char"/>
    <w:basedOn w:val="DefaultParagraphFont"/>
    <w:link w:val="SOHeadBold"/>
    <w:rsid w:val="00BD574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D574A"/>
    <w:rPr>
      <w:i/>
    </w:rPr>
  </w:style>
  <w:style w:type="character" w:customStyle="1" w:styleId="SOHeadItalicChar">
    <w:name w:val="SO HeadItalic Char"/>
    <w:aliases w:val="sohi Char"/>
    <w:basedOn w:val="DefaultParagraphFont"/>
    <w:link w:val="SOHeadItalic"/>
    <w:rsid w:val="00BD574A"/>
    <w:rPr>
      <w:rFonts w:eastAsiaTheme="minorHAnsi" w:cstheme="minorBidi"/>
      <w:i/>
      <w:sz w:val="22"/>
      <w:lang w:eastAsia="en-US"/>
    </w:rPr>
  </w:style>
  <w:style w:type="paragraph" w:customStyle="1" w:styleId="SOBullet">
    <w:name w:val="SO Bullet"/>
    <w:aliases w:val="sotb"/>
    <w:basedOn w:val="SOText"/>
    <w:link w:val="SOBulletChar"/>
    <w:qFormat/>
    <w:rsid w:val="00BD574A"/>
    <w:pPr>
      <w:ind w:left="1559" w:hanging="425"/>
    </w:pPr>
  </w:style>
  <w:style w:type="character" w:customStyle="1" w:styleId="SOBulletChar">
    <w:name w:val="SO Bullet Char"/>
    <w:aliases w:val="sotb Char"/>
    <w:basedOn w:val="DefaultParagraphFont"/>
    <w:link w:val="SOBullet"/>
    <w:rsid w:val="00BD574A"/>
    <w:rPr>
      <w:rFonts w:eastAsiaTheme="minorHAnsi" w:cstheme="minorBidi"/>
      <w:sz w:val="22"/>
      <w:lang w:eastAsia="en-US"/>
    </w:rPr>
  </w:style>
  <w:style w:type="paragraph" w:customStyle="1" w:styleId="SOBulletNote">
    <w:name w:val="SO BulletNote"/>
    <w:aliases w:val="sonb"/>
    <w:basedOn w:val="SOTextNote"/>
    <w:link w:val="SOBulletNoteChar"/>
    <w:qFormat/>
    <w:rsid w:val="00BD574A"/>
    <w:pPr>
      <w:tabs>
        <w:tab w:val="left" w:pos="1560"/>
      </w:tabs>
      <w:ind w:left="2268" w:hanging="1134"/>
    </w:pPr>
  </w:style>
  <w:style w:type="character" w:customStyle="1" w:styleId="SOBulletNoteChar">
    <w:name w:val="SO BulletNote Char"/>
    <w:aliases w:val="sonb Char"/>
    <w:basedOn w:val="DefaultParagraphFont"/>
    <w:link w:val="SOBulletNote"/>
    <w:rsid w:val="00BD574A"/>
    <w:rPr>
      <w:rFonts w:eastAsiaTheme="minorHAnsi" w:cstheme="minorBidi"/>
      <w:sz w:val="18"/>
      <w:lang w:eastAsia="en-US"/>
    </w:rPr>
  </w:style>
  <w:style w:type="paragraph" w:customStyle="1" w:styleId="EnStatement">
    <w:name w:val="EnStatement"/>
    <w:basedOn w:val="Normal"/>
    <w:rsid w:val="00BD574A"/>
    <w:pPr>
      <w:numPr>
        <w:numId w:val="49"/>
      </w:numPr>
    </w:pPr>
    <w:rPr>
      <w:rFonts w:eastAsia="Times New Roman" w:cs="Times New Roman"/>
      <w:lang w:eastAsia="en-AU"/>
    </w:rPr>
  </w:style>
  <w:style w:type="paragraph" w:customStyle="1" w:styleId="EnStatementHeading">
    <w:name w:val="EnStatementHeading"/>
    <w:basedOn w:val="Normal"/>
    <w:rsid w:val="00BD574A"/>
    <w:rPr>
      <w:rFonts w:eastAsia="Times New Roman" w:cs="Times New Roman"/>
      <w:b/>
      <w:lang w:eastAsia="en-AU"/>
    </w:rPr>
  </w:style>
  <w:style w:type="character" w:customStyle="1" w:styleId="notetextChar">
    <w:name w:val="note(text) Char"/>
    <w:aliases w:val="n Char"/>
    <w:link w:val="notetext"/>
    <w:rsid w:val="00AD0EEF"/>
    <w:rPr>
      <w:sz w:val="18"/>
    </w:rPr>
  </w:style>
  <w:style w:type="character" w:customStyle="1" w:styleId="ActHead5Char">
    <w:name w:val="ActHead 5 Char"/>
    <w:aliases w:val="s Char"/>
    <w:link w:val="ActHead5"/>
    <w:rsid w:val="00AD0EEF"/>
    <w:rPr>
      <w:b/>
      <w:kern w:val="28"/>
      <w:sz w:val="24"/>
    </w:rPr>
  </w:style>
  <w:style w:type="character" w:customStyle="1" w:styleId="subsection2Char">
    <w:name w:val="subsection2 Char"/>
    <w:aliases w:val="ss2 Char"/>
    <w:link w:val="subsection2"/>
    <w:rsid w:val="00AD0EE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952760">
      <w:bodyDiv w:val="1"/>
      <w:marLeft w:val="0"/>
      <w:marRight w:val="0"/>
      <w:marTop w:val="0"/>
      <w:marBottom w:val="0"/>
      <w:divBdr>
        <w:top w:val="none" w:sz="0" w:space="0" w:color="auto"/>
        <w:left w:val="none" w:sz="0" w:space="0" w:color="auto"/>
        <w:bottom w:val="none" w:sz="0" w:space="0" w:color="auto"/>
        <w:right w:val="none" w:sz="0" w:space="0" w:color="auto"/>
      </w:divBdr>
    </w:div>
    <w:div w:id="1574847845">
      <w:bodyDiv w:val="1"/>
      <w:marLeft w:val="0"/>
      <w:marRight w:val="0"/>
      <w:marTop w:val="0"/>
      <w:marBottom w:val="0"/>
      <w:divBdr>
        <w:top w:val="none" w:sz="0" w:space="0" w:color="auto"/>
        <w:left w:val="none" w:sz="0" w:space="0" w:color="auto"/>
        <w:bottom w:val="none" w:sz="0" w:space="0" w:color="auto"/>
        <w:right w:val="none" w:sz="0" w:space="0" w:color="auto"/>
      </w:divBdr>
      <w:divsChild>
        <w:div w:id="250625201">
          <w:marLeft w:val="0"/>
          <w:marRight w:val="0"/>
          <w:marTop w:val="0"/>
          <w:marBottom w:val="0"/>
          <w:divBdr>
            <w:top w:val="none" w:sz="0" w:space="0" w:color="auto"/>
            <w:left w:val="none" w:sz="0" w:space="0" w:color="auto"/>
            <w:bottom w:val="none" w:sz="0" w:space="0" w:color="auto"/>
            <w:right w:val="none" w:sz="0" w:space="0" w:color="auto"/>
          </w:divBdr>
          <w:divsChild>
            <w:div w:id="1300720528">
              <w:marLeft w:val="0"/>
              <w:marRight w:val="0"/>
              <w:marTop w:val="0"/>
              <w:marBottom w:val="0"/>
              <w:divBdr>
                <w:top w:val="none" w:sz="0" w:space="0" w:color="auto"/>
                <w:left w:val="none" w:sz="0" w:space="0" w:color="auto"/>
                <w:bottom w:val="none" w:sz="0" w:space="0" w:color="auto"/>
                <w:right w:val="none" w:sz="0" w:space="0" w:color="auto"/>
              </w:divBdr>
              <w:divsChild>
                <w:div w:id="818112885">
                  <w:marLeft w:val="0"/>
                  <w:marRight w:val="0"/>
                  <w:marTop w:val="0"/>
                  <w:marBottom w:val="0"/>
                  <w:divBdr>
                    <w:top w:val="none" w:sz="0" w:space="0" w:color="auto"/>
                    <w:left w:val="none" w:sz="0" w:space="0" w:color="auto"/>
                    <w:bottom w:val="none" w:sz="0" w:space="0" w:color="auto"/>
                    <w:right w:val="none" w:sz="0" w:space="0" w:color="auto"/>
                  </w:divBdr>
                  <w:divsChild>
                    <w:div w:id="252009229">
                      <w:marLeft w:val="0"/>
                      <w:marRight w:val="0"/>
                      <w:marTop w:val="0"/>
                      <w:marBottom w:val="0"/>
                      <w:divBdr>
                        <w:top w:val="none" w:sz="0" w:space="0" w:color="auto"/>
                        <w:left w:val="none" w:sz="0" w:space="0" w:color="auto"/>
                        <w:bottom w:val="none" w:sz="0" w:space="0" w:color="auto"/>
                        <w:right w:val="none" w:sz="0" w:space="0" w:color="auto"/>
                      </w:divBdr>
                      <w:divsChild>
                        <w:div w:id="2047176606">
                          <w:marLeft w:val="0"/>
                          <w:marRight w:val="0"/>
                          <w:marTop w:val="0"/>
                          <w:marBottom w:val="0"/>
                          <w:divBdr>
                            <w:top w:val="none" w:sz="0" w:space="0" w:color="auto"/>
                            <w:left w:val="none" w:sz="0" w:space="0" w:color="auto"/>
                            <w:bottom w:val="none" w:sz="0" w:space="0" w:color="auto"/>
                            <w:right w:val="none" w:sz="0" w:space="0" w:color="auto"/>
                          </w:divBdr>
                          <w:divsChild>
                            <w:div w:id="115876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footer" Target="footer11.xml"/><Relationship Id="rId38"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D833D-FDCF-4536-BC84-B061EFD69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68</Pages>
  <Words>12778</Words>
  <Characters>62742</Characters>
  <Application>Microsoft Office Word</Application>
  <DocSecurity>0</DocSecurity>
  <PresentationFormat/>
  <Lines>2046</Lines>
  <Paragraphs>1066</Paragraphs>
  <ScaleCrop>false</ScaleCrop>
  <HeadingPairs>
    <vt:vector size="2" baseType="variant">
      <vt:variant>
        <vt:lpstr>Title</vt:lpstr>
      </vt:variant>
      <vt:variant>
        <vt:i4>1</vt:i4>
      </vt:variant>
    </vt:vector>
  </HeadingPairs>
  <TitlesOfParts>
    <vt:vector size="1" baseType="lpstr">
      <vt:lpstr>Superannuation (Government Co-contribution for Low Income Earners) Act 2003</vt:lpstr>
    </vt:vector>
  </TitlesOfParts>
  <Manager/>
  <Company/>
  <LinksUpToDate>false</LinksUpToDate>
  <CharactersWithSpaces>74912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(Government Co-contribution for Low Income Earners) Act 2003</dc:title>
  <dc:subject/>
  <dc:creator/>
  <cp:keywords/>
  <dc:description/>
  <cp:lastModifiedBy/>
  <cp:revision>1</cp:revision>
  <cp:lastPrinted>2013-07-30T06:30:00Z</cp:lastPrinted>
  <dcterms:created xsi:type="dcterms:W3CDTF">2017-07-13T04:09:00Z</dcterms:created>
  <dcterms:modified xsi:type="dcterms:W3CDTF">2017-07-13T04:09:00Z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Superannuation (Government Co-contribution for Low Income Earners) Act 2003</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27</vt:lpwstr>
  </property>
  <property fmtid="{D5CDD505-2E9C-101B-9397-08002B2CF9AE}" pid="13" name="StartDate">
    <vt:filetime>2017-07-01T14:00:00Z</vt:filetime>
  </property>
  <property fmtid="{D5CDD505-2E9C-101B-9397-08002B2CF9AE}" pid="14" name="PreparedDate">
    <vt:filetime>2015-07-05T14:00:00Z</vt:filetime>
  </property>
  <property fmtid="{D5CDD505-2E9C-101B-9397-08002B2CF9AE}" pid="15" name="RegisteredDate">
    <vt:filetime>2017-07-12T14:00:00Z</vt:filetime>
  </property>
  <property fmtid="{D5CDD505-2E9C-101B-9397-08002B2CF9AE}" pid="16" name="IncludesUpTo">
    <vt:lpwstr>Act No. 81, 2016</vt:lpwstr>
  </property>
</Properties>
</file>