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FAC" w:rsidRDefault="00FF14F6">
      <w:r>
        <w:rPr>
          <w:noProof/>
          <w:sz w:val="20"/>
          <w:szCs w:val="20"/>
        </w:rPr>
        <w:drawing>
          <wp:inline distT="0" distB="0" distL="0" distR="0" wp14:anchorId="5220E6D3" wp14:editId="534413FA">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17FAC" w:rsidRDefault="00317FAC"/>
    <w:p w:rsidR="00317FAC" w:rsidRDefault="00317FAC">
      <w:pPr>
        <w:spacing w:line="240" w:lineRule="auto"/>
        <w:rPr>
          <w:rStyle w:val="CharAmSchText"/>
        </w:rPr>
      </w:pPr>
    </w:p>
    <w:p w:rsidR="00317FAC" w:rsidRDefault="00317FAC">
      <w:pPr>
        <w:rPr>
          <w:rStyle w:val="CharAmSchText"/>
        </w:rPr>
      </w:pPr>
    </w:p>
    <w:p w:rsidR="00317FAC" w:rsidRDefault="00317FAC">
      <w:pPr>
        <w:rPr>
          <w:rStyle w:val="CharAmSchText"/>
        </w:rPr>
      </w:pPr>
    </w:p>
    <w:p w:rsidR="00317FAC" w:rsidRDefault="00317FAC">
      <w:pPr>
        <w:rPr>
          <w:rStyle w:val="CharAmSchText"/>
        </w:rPr>
      </w:pPr>
    </w:p>
    <w:p w:rsidR="00317FAC" w:rsidRDefault="00317FAC">
      <w:pPr>
        <w:rPr>
          <w:rStyle w:val="CharAmSchText"/>
        </w:rPr>
      </w:pPr>
    </w:p>
    <w:p w:rsidR="00317FAC" w:rsidRDefault="004F6E79">
      <w:pPr>
        <w:pStyle w:val="ShortT"/>
      </w:pPr>
      <w:r>
        <w:rPr>
          <w:rStyle w:val="CharAmSchText"/>
        </w:rPr>
        <w:t xml:space="preserve">Superannuation Industry (Supervision) Amendment </w:t>
      </w:r>
      <w:r>
        <w:t>Act 2003</w:t>
      </w:r>
    </w:p>
    <w:p w:rsidR="00317FAC" w:rsidRDefault="00317FAC"/>
    <w:p w:rsidR="00317FAC" w:rsidRDefault="004F6E79">
      <w:pPr>
        <w:pStyle w:val="Actno"/>
        <w:spacing w:before="400"/>
      </w:pPr>
      <w:r>
        <w:t>No. 52, 2003</w:t>
      </w:r>
    </w:p>
    <w:p w:rsidR="00317FAC" w:rsidRDefault="00317FAC"/>
    <w:p w:rsidR="00317FAC" w:rsidRDefault="00317FAC"/>
    <w:p w:rsidR="00317FAC" w:rsidRDefault="00317FAC"/>
    <w:p w:rsidR="00317FAC" w:rsidRDefault="00317FAC"/>
    <w:p w:rsidR="00317FAC" w:rsidRDefault="00317FAC"/>
    <w:p w:rsidR="00317FAC" w:rsidRDefault="004F6E79">
      <w:pPr>
        <w:pStyle w:val="LongT"/>
      </w:pPr>
      <w:r>
        <w:t>An Act to amend the</w:t>
      </w:r>
      <w:r>
        <w:rPr>
          <w:i/>
          <w:iCs/>
        </w:rPr>
        <w:t xml:space="preserve"> Superannuation Industry (Supervision) Act 1993</w:t>
      </w:r>
      <w:r>
        <w:t>, and for related purposes</w:t>
      </w:r>
    </w:p>
    <w:p w:rsidR="00317FAC" w:rsidRDefault="004F6E79">
      <w:pPr>
        <w:pStyle w:val="Header"/>
      </w:pPr>
      <w:r>
        <w:rPr>
          <w:rStyle w:val="CharAmSchNo"/>
        </w:rPr>
        <w:t xml:space="preserve"> </w:t>
      </w:r>
      <w:r>
        <w:rPr>
          <w:rStyle w:val="CharAmSchText"/>
        </w:rPr>
        <w:t xml:space="preserve"> </w:t>
      </w:r>
    </w:p>
    <w:p w:rsidR="00317FAC" w:rsidRDefault="004F6E79">
      <w:pPr>
        <w:pStyle w:val="Header"/>
      </w:pPr>
      <w:r>
        <w:rPr>
          <w:rStyle w:val="CharAmPartNo"/>
        </w:rPr>
        <w:t xml:space="preserve"> </w:t>
      </w:r>
      <w:r>
        <w:rPr>
          <w:rStyle w:val="CharAmPartText"/>
        </w:rPr>
        <w:t xml:space="preserve"> </w:t>
      </w:r>
    </w:p>
    <w:p w:rsidR="00317FAC" w:rsidRDefault="00317FAC">
      <w:pPr>
        <w:sectPr w:rsidR="00317FAC">
          <w:footerReference w:type="default" r:id="rId8"/>
          <w:pgSz w:w="11907" w:h="16839" w:code="9"/>
          <w:pgMar w:top="1418" w:right="2410" w:bottom="4252" w:left="2410" w:header="709" w:footer="3402" w:gutter="0"/>
          <w:cols w:space="709"/>
          <w:docGrid w:linePitch="299"/>
        </w:sectPr>
      </w:pPr>
    </w:p>
    <w:p w:rsidR="00317FAC" w:rsidRDefault="004F6E79">
      <w:pPr>
        <w:rPr>
          <w:sz w:val="36"/>
          <w:szCs w:val="36"/>
        </w:rPr>
      </w:pPr>
      <w:r>
        <w:rPr>
          <w:sz w:val="36"/>
          <w:szCs w:val="36"/>
        </w:rPr>
        <w:lastRenderedPageBreak/>
        <w:t>Contents</w:t>
      </w:r>
    </w:p>
    <w:p w:rsidR="00317FAC" w:rsidRDefault="004F6E79">
      <w:pPr>
        <w:pStyle w:val="TOC5"/>
        <w:rPr>
          <w:noProof/>
          <w:kern w:val="0"/>
          <w:sz w:val="24"/>
          <w:szCs w:val="24"/>
        </w:rPr>
      </w:pPr>
      <w:r>
        <w:fldChar w:fldCharType="begin"/>
      </w:r>
      <w:r>
        <w:instrText xml:space="preserve"> TOC \o "1-9" </w:instrText>
      </w:r>
      <w:r>
        <w:fldChar w:fldCharType="separate"/>
      </w:r>
      <w:r>
        <w:rPr>
          <w:noProof/>
        </w:rPr>
        <w:t>1</w:t>
      </w:r>
      <w:r>
        <w:rPr>
          <w:noProof/>
        </w:rPr>
        <w:tab/>
        <w:t>Short title</w:t>
      </w:r>
      <w:r>
        <w:rPr>
          <w:noProof/>
        </w:rPr>
        <w:tab/>
      </w:r>
      <w:r>
        <w:rPr>
          <w:noProof/>
        </w:rPr>
        <w:fldChar w:fldCharType="begin"/>
      </w:r>
      <w:r>
        <w:rPr>
          <w:noProof/>
        </w:rPr>
        <w:instrText xml:space="preserve"> PAGEREF _Toc44142184 \h </w:instrText>
      </w:r>
      <w:r>
        <w:rPr>
          <w:noProof/>
        </w:rPr>
      </w:r>
      <w:r>
        <w:rPr>
          <w:noProof/>
        </w:rPr>
        <w:fldChar w:fldCharType="separate"/>
      </w:r>
      <w:r>
        <w:rPr>
          <w:noProof/>
        </w:rPr>
        <w:t>1</w:t>
      </w:r>
      <w:r>
        <w:rPr>
          <w:noProof/>
        </w:rPr>
        <w:fldChar w:fldCharType="end"/>
      </w:r>
    </w:p>
    <w:p w:rsidR="00317FAC" w:rsidRDefault="004F6E79">
      <w:pPr>
        <w:pStyle w:val="TOC5"/>
        <w:rPr>
          <w:noProof/>
          <w:kern w:val="0"/>
          <w:sz w:val="24"/>
          <w:szCs w:val="24"/>
        </w:rPr>
      </w:pPr>
      <w:r>
        <w:rPr>
          <w:noProof/>
        </w:rPr>
        <w:t>2</w:t>
      </w:r>
      <w:r>
        <w:rPr>
          <w:noProof/>
        </w:rPr>
        <w:tab/>
        <w:t>Commencement</w:t>
      </w:r>
      <w:r>
        <w:rPr>
          <w:noProof/>
        </w:rPr>
        <w:tab/>
      </w:r>
      <w:r>
        <w:rPr>
          <w:noProof/>
        </w:rPr>
        <w:fldChar w:fldCharType="begin"/>
      </w:r>
      <w:r>
        <w:rPr>
          <w:noProof/>
        </w:rPr>
        <w:instrText xml:space="preserve"> PAGEREF _Toc44142185 \h </w:instrText>
      </w:r>
      <w:r>
        <w:rPr>
          <w:noProof/>
        </w:rPr>
      </w:r>
      <w:r>
        <w:rPr>
          <w:noProof/>
        </w:rPr>
        <w:fldChar w:fldCharType="separate"/>
      </w:r>
      <w:r>
        <w:rPr>
          <w:noProof/>
        </w:rPr>
        <w:t>2</w:t>
      </w:r>
      <w:r>
        <w:rPr>
          <w:noProof/>
        </w:rPr>
        <w:fldChar w:fldCharType="end"/>
      </w:r>
    </w:p>
    <w:p w:rsidR="00317FAC" w:rsidRDefault="004F6E79">
      <w:pPr>
        <w:pStyle w:val="TOC5"/>
        <w:rPr>
          <w:noProof/>
          <w:kern w:val="0"/>
          <w:sz w:val="24"/>
          <w:szCs w:val="24"/>
        </w:rPr>
      </w:pPr>
      <w:r>
        <w:rPr>
          <w:noProof/>
        </w:rPr>
        <w:t>3</w:t>
      </w:r>
      <w:r>
        <w:rPr>
          <w:noProof/>
        </w:rPr>
        <w:tab/>
        <w:t>Schedule(s)</w:t>
      </w:r>
      <w:r>
        <w:rPr>
          <w:noProof/>
        </w:rPr>
        <w:tab/>
      </w:r>
      <w:r>
        <w:rPr>
          <w:noProof/>
        </w:rPr>
        <w:fldChar w:fldCharType="begin"/>
      </w:r>
      <w:r>
        <w:rPr>
          <w:noProof/>
        </w:rPr>
        <w:instrText xml:space="preserve"> PAGEREF _Toc44142186 \h </w:instrText>
      </w:r>
      <w:r>
        <w:rPr>
          <w:noProof/>
        </w:rPr>
      </w:r>
      <w:r>
        <w:rPr>
          <w:noProof/>
        </w:rPr>
        <w:fldChar w:fldCharType="separate"/>
      </w:r>
      <w:r>
        <w:rPr>
          <w:noProof/>
        </w:rPr>
        <w:t>2</w:t>
      </w:r>
      <w:r>
        <w:rPr>
          <w:noProof/>
        </w:rPr>
        <w:fldChar w:fldCharType="end"/>
      </w:r>
    </w:p>
    <w:p w:rsidR="00317FAC" w:rsidRDefault="004F6E79">
      <w:pPr>
        <w:pStyle w:val="TOC6"/>
        <w:rPr>
          <w:b w:val="0"/>
          <w:bCs w:val="0"/>
          <w:noProof/>
          <w:kern w:val="0"/>
        </w:rPr>
      </w:pPr>
      <w:r>
        <w:rPr>
          <w:noProof/>
        </w:rPr>
        <w:t>Schedule 1—Amendment of the Superannuation Industry (Supervision) Act 1993</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_Toc44142187 \h </w:instrText>
      </w:r>
      <w:r>
        <w:rPr>
          <w:b w:val="0"/>
          <w:bCs w:val="0"/>
          <w:noProof/>
          <w:sz w:val="18"/>
          <w:szCs w:val="18"/>
        </w:rPr>
      </w:r>
      <w:r>
        <w:rPr>
          <w:b w:val="0"/>
          <w:bCs w:val="0"/>
          <w:noProof/>
          <w:sz w:val="18"/>
          <w:szCs w:val="18"/>
        </w:rPr>
        <w:fldChar w:fldCharType="separate"/>
      </w:r>
      <w:r>
        <w:rPr>
          <w:b w:val="0"/>
          <w:bCs w:val="0"/>
          <w:noProof/>
          <w:sz w:val="18"/>
          <w:szCs w:val="18"/>
        </w:rPr>
        <w:t>3</w:t>
      </w:r>
      <w:r>
        <w:rPr>
          <w:b w:val="0"/>
          <w:bCs w:val="0"/>
          <w:noProof/>
          <w:sz w:val="18"/>
          <w:szCs w:val="18"/>
        </w:rPr>
        <w:fldChar w:fldCharType="end"/>
      </w:r>
    </w:p>
    <w:p w:rsidR="00317FAC" w:rsidRDefault="004F6E79">
      <w:r>
        <w:fldChar w:fldCharType="end"/>
      </w:r>
    </w:p>
    <w:p w:rsidR="00317FAC" w:rsidRDefault="00317FAC">
      <w:pPr>
        <w:sectPr w:rsidR="00317FAC">
          <w:headerReference w:type="even" r:id="rId9"/>
          <w:headerReference w:type="default" r:id="rId10"/>
          <w:footerReference w:type="even" r:id="rId11"/>
          <w:footerReference w:type="default" r:id="rId12"/>
          <w:pgSz w:w="11907" w:h="16839" w:code="9"/>
          <w:pgMar w:top="2381" w:right="2410" w:bottom="4252" w:left="2410" w:header="709" w:footer="3402" w:gutter="0"/>
          <w:pgNumType w:fmt="lowerRoman" w:start="1"/>
          <w:cols w:space="709"/>
          <w:docGrid w:linePitch="299"/>
        </w:sectPr>
      </w:pPr>
    </w:p>
    <w:p w:rsidR="00317FAC" w:rsidRDefault="00FF14F6">
      <w:r>
        <w:rPr>
          <w:noProof/>
          <w:sz w:val="20"/>
          <w:szCs w:val="20"/>
        </w:rPr>
        <w:lastRenderedPageBreak/>
        <w:drawing>
          <wp:inline distT="0" distB="0" distL="0" distR="0" wp14:anchorId="5220E6D3" wp14:editId="534413FA">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17FAC" w:rsidRDefault="00317FAC">
      <w:bookmarkStart w:id="0" w:name="_GoBack"/>
      <w:bookmarkEnd w:id="0"/>
    </w:p>
    <w:p w:rsidR="00317FAC" w:rsidRDefault="00317FAC">
      <w:pPr>
        <w:spacing w:line="240" w:lineRule="auto"/>
      </w:pPr>
    </w:p>
    <w:p w:rsidR="00317FAC" w:rsidRDefault="004F6E79">
      <w:pPr>
        <w:pStyle w:val="ShortTP1"/>
      </w:pPr>
      <w:r>
        <w:fldChar w:fldCharType="begin"/>
      </w:r>
      <w:r>
        <w:instrText xml:space="preserve"> STYLEREF ShortT </w:instrText>
      </w:r>
      <w:r>
        <w:fldChar w:fldCharType="separate"/>
      </w:r>
      <w:r>
        <w:rPr>
          <w:noProof/>
        </w:rPr>
        <w:t>Superannuation Industry (Supervision) Amendment Act 2003</w:t>
      </w:r>
      <w:r>
        <w:fldChar w:fldCharType="end"/>
      </w:r>
    </w:p>
    <w:p w:rsidR="00317FAC" w:rsidRDefault="004F6E79">
      <w:pPr>
        <w:pStyle w:val="ActNoP1"/>
      </w:pPr>
      <w:r>
        <w:fldChar w:fldCharType="begin"/>
      </w:r>
      <w:r>
        <w:instrText xml:space="preserve"> STYLEREF Actno </w:instrText>
      </w:r>
      <w:r>
        <w:fldChar w:fldCharType="separate"/>
      </w:r>
      <w:r>
        <w:rPr>
          <w:noProof/>
        </w:rPr>
        <w:t>No. 52, 2003</w:t>
      </w:r>
      <w:r>
        <w:fldChar w:fldCharType="end"/>
      </w:r>
    </w:p>
    <w:p w:rsidR="00317FAC" w:rsidRDefault="00317FAC">
      <w:pPr>
        <w:pStyle w:val="p1LinesBef"/>
      </w:pPr>
    </w:p>
    <w:p w:rsidR="00317FAC" w:rsidRDefault="00317FAC">
      <w:pPr>
        <w:spacing w:line="40" w:lineRule="exact"/>
        <w:rPr>
          <w:b/>
          <w:bCs/>
          <w:sz w:val="28"/>
          <w:szCs w:val="28"/>
        </w:rPr>
      </w:pPr>
    </w:p>
    <w:p w:rsidR="00317FAC" w:rsidRDefault="00317FAC">
      <w:pPr>
        <w:pStyle w:val="p1LinesAfter"/>
      </w:pPr>
    </w:p>
    <w:p w:rsidR="00317FAC" w:rsidRDefault="004F6E79">
      <w:pPr>
        <w:pStyle w:val="Page1"/>
      </w:pPr>
      <w:r>
        <w:t>An Act to amend the</w:t>
      </w:r>
      <w:r>
        <w:rPr>
          <w:i/>
          <w:iCs/>
        </w:rPr>
        <w:t xml:space="preserve"> Superannuation Industry (Supervision) Act 1993</w:t>
      </w:r>
      <w:r>
        <w:t>, and for related purposes</w:t>
      </w:r>
    </w:p>
    <w:p w:rsidR="00317FAC" w:rsidRDefault="004F6E79">
      <w:pPr>
        <w:pStyle w:val="AssentDt"/>
        <w:spacing w:before="240"/>
        <w:rPr>
          <w:sz w:val="24"/>
          <w:szCs w:val="24"/>
        </w:rPr>
      </w:pPr>
      <w:r>
        <w:rPr>
          <w:sz w:val="24"/>
          <w:szCs w:val="24"/>
        </w:rPr>
        <w:t>[</w:t>
      </w:r>
      <w:r>
        <w:rPr>
          <w:i/>
          <w:iCs/>
          <w:sz w:val="24"/>
          <w:szCs w:val="24"/>
        </w:rPr>
        <w:t>Assented to 26 June 2003</w:t>
      </w:r>
      <w:r>
        <w:rPr>
          <w:sz w:val="24"/>
          <w:szCs w:val="24"/>
        </w:rPr>
        <w:t>]</w:t>
      </w:r>
    </w:p>
    <w:p w:rsidR="00317FAC" w:rsidRDefault="004F6E79">
      <w:pPr>
        <w:spacing w:before="240" w:line="240" w:lineRule="auto"/>
        <w:rPr>
          <w:sz w:val="32"/>
          <w:szCs w:val="32"/>
        </w:rPr>
      </w:pPr>
      <w:r>
        <w:rPr>
          <w:sz w:val="32"/>
          <w:szCs w:val="32"/>
        </w:rPr>
        <w:t>The Parliament of Australia enacts:</w:t>
      </w:r>
    </w:p>
    <w:p w:rsidR="00317FAC" w:rsidRDefault="004F6E79">
      <w:pPr>
        <w:pStyle w:val="Heading5"/>
      </w:pPr>
      <w:bookmarkStart w:id="1" w:name="_Toc44142184"/>
      <w:r>
        <w:rPr>
          <w:rStyle w:val="CharSectno"/>
        </w:rPr>
        <w:t>1</w:t>
      </w:r>
      <w:r>
        <w:t xml:space="preserve">  Short title</w:t>
      </w:r>
      <w:bookmarkEnd w:id="1"/>
    </w:p>
    <w:p w:rsidR="00317FAC" w:rsidRDefault="004F6E79">
      <w:pPr>
        <w:pStyle w:val="subsection"/>
      </w:pPr>
      <w:r>
        <w:tab/>
      </w:r>
      <w:r>
        <w:tab/>
        <w:t xml:space="preserve">This Act may be cited as the </w:t>
      </w:r>
      <w:r>
        <w:rPr>
          <w:i/>
          <w:iCs/>
        </w:rPr>
        <w:t>Superannuation Industry (Supervision) Amendment Act 2003</w:t>
      </w:r>
      <w:r>
        <w:t>.</w:t>
      </w:r>
    </w:p>
    <w:p w:rsidR="00317FAC" w:rsidRDefault="004F6E79">
      <w:pPr>
        <w:pStyle w:val="Heading5"/>
      </w:pPr>
      <w:bookmarkStart w:id="2" w:name="_Toc44142185"/>
      <w:r>
        <w:rPr>
          <w:rStyle w:val="CharSectno"/>
        </w:rPr>
        <w:lastRenderedPageBreak/>
        <w:t>2</w:t>
      </w:r>
      <w:r>
        <w:t xml:space="preserve">  Commencement</w:t>
      </w:r>
      <w:bookmarkEnd w:id="2"/>
    </w:p>
    <w:p w:rsidR="00317FAC" w:rsidRDefault="004F6E79">
      <w:pPr>
        <w:pStyle w:val="subsection"/>
      </w:pPr>
      <w:r>
        <w:tab/>
        <w:t>(1)</w:t>
      </w:r>
      <w:r>
        <w:tab/>
        <w:t>Each provision of this Act specified in column 1 of the table commences, or is taken to have commenced, on the day or at the time specified in column 2 of the table.</w:t>
      </w:r>
    </w:p>
    <w:p w:rsidR="00317FAC" w:rsidRDefault="00317FAC"/>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317FAC">
        <w:trPr>
          <w:cantSplit/>
          <w:tblHeader/>
        </w:trPr>
        <w:tc>
          <w:tcPr>
            <w:tcW w:w="7111" w:type="dxa"/>
            <w:gridSpan w:val="3"/>
            <w:tcBorders>
              <w:top w:val="single" w:sz="12" w:space="0" w:color="auto"/>
              <w:left w:val="nil"/>
              <w:bottom w:val="single" w:sz="6" w:space="0" w:color="auto"/>
              <w:right w:val="nil"/>
            </w:tcBorders>
          </w:tcPr>
          <w:p w:rsidR="00317FAC" w:rsidRDefault="004F6E79">
            <w:pPr>
              <w:pStyle w:val="Tabletext"/>
              <w:keepNext/>
              <w:rPr>
                <w:b/>
                <w:bCs/>
              </w:rPr>
            </w:pPr>
            <w:r>
              <w:rPr>
                <w:b/>
                <w:bCs/>
              </w:rPr>
              <w:t>Commencement information</w:t>
            </w:r>
          </w:p>
        </w:tc>
      </w:tr>
      <w:tr w:rsidR="00317FAC">
        <w:trPr>
          <w:cantSplit/>
          <w:tblHeader/>
        </w:trPr>
        <w:tc>
          <w:tcPr>
            <w:tcW w:w="1701" w:type="dxa"/>
            <w:tcBorders>
              <w:top w:val="single" w:sz="6" w:space="0" w:color="auto"/>
              <w:left w:val="nil"/>
              <w:bottom w:val="single" w:sz="6" w:space="0" w:color="auto"/>
              <w:right w:val="nil"/>
            </w:tcBorders>
          </w:tcPr>
          <w:p w:rsidR="00317FAC" w:rsidRDefault="004F6E79">
            <w:pPr>
              <w:pStyle w:val="Tabletext"/>
              <w:keepNext/>
              <w:rPr>
                <w:b/>
                <w:bCs/>
              </w:rPr>
            </w:pPr>
            <w:r>
              <w:rPr>
                <w:b/>
                <w:bCs/>
              </w:rPr>
              <w:t>Column 1</w:t>
            </w:r>
          </w:p>
        </w:tc>
        <w:tc>
          <w:tcPr>
            <w:tcW w:w="3828" w:type="dxa"/>
            <w:tcBorders>
              <w:top w:val="single" w:sz="6" w:space="0" w:color="auto"/>
              <w:left w:val="nil"/>
              <w:bottom w:val="single" w:sz="6" w:space="0" w:color="auto"/>
              <w:right w:val="nil"/>
            </w:tcBorders>
          </w:tcPr>
          <w:p w:rsidR="00317FAC" w:rsidRDefault="004F6E79">
            <w:pPr>
              <w:pStyle w:val="Tabletext"/>
              <w:keepNext/>
              <w:rPr>
                <w:b/>
                <w:bCs/>
              </w:rPr>
            </w:pPr>
            <w:r>
              <w:rPr>
                <w:b/>
                <w:bCs/>
              </w:rPr>
              <w:t>Column 2</w:t>
            </w:r>
          </w:p>
        </w:tc>
        <w:tc>
          <w:tcPr>
            <w:tcW w:w="1582" w:type="dxa"/>
            <w:tcBorders>
              <w:top w:val="single" w:sz="6" w:space="0" w:color="auto"/>
              <w:left w:val="nil"/>
              <w:bottom w:val="single" w:sz="6" w:space="0" w:color="auto"/>
              <w:right w:val="nil"/>
            </w:tcBorders>
          </w:tcPr>
          <w:p w:rsidR="00317FAC" w:rsidRDefault="004F6E79">
            <w:pPr>
              <w:pStyle w:val="Tabletext"/>
              <w:keepNext/>
              <w:rPr>
                <w:b/>
                <w:bCs/>
              </w:rPr>
            </w:pPr>
            <w:r>
              <w:rPr>
                <w:b/>
                <w:bCs/>
              </w:rPr>
              <w:t>Column 3</w:t>
            </w:r>
          </w:p>
        </w:tc>
      </w:tr>
      <w:tr w:rsidR="00317FAC">
        <w:trPr>
          <w:cantSplit/>
          <w:tblHeader/>
        </w:trPr>
        <w:tc>
          <w:tcPr>
            <w:tcW w:w="1701" w:type="dxa"/>
            <w:tcBorders>
              <w:top w:val="single" w:sz="6" w:space="0" w:color="auto"/>
              <w:left w:val="nil"/>
              <w:bottom w:val="single" w:sz="12" w:space="0" w:color="auto"/>
              <w:right w:val="nil"/>
            </w:tcBorders>
          </w:tcPr>
          <w:p w:rsidR="00317FAC" w:rsidRDefault="004F6E79">
            <w:pPr>
              <w:pStyle w:val="Tabletext"/>
              <w:keepNext/>
              <w:rPr>
                <w:b/>
                <w:bCs/>
              </w:rPr>
            </w:pPr>
            <w:r>
              <w:rPr>
                <w:b/>
                <w:bCs/>
              </w:rPr>
              <w:t>Provision(s)</w:t>
            </w:r>
          </w:p>
        </w:tc>
        <w:tc>
          <w:tcPr>
            <w:tcW w:w="3828" w:type="dxa"/>
            <w:tcBorders>
              <w:top w:val="single" w:sz="6" w:space="0" w:color="auto"/>
              <w:left w:val="nil"/>
              <w:bottom w:val="single" w:sz="12" w:space="0" w:color="auto"/>
              <w:right w:val="nil"/>
            </w:tcBorders>
          </w:tcPr>
          <w:p w:rsidR="00317FAC" w:rsidRDefault="004F6E79">
            <w:pPr>
              <w:pStyle w:val="Tabletext"/>
              <w:keepNext/>
              <w:rPr>
                <w:b/>
                <w:bCs/>
              </w:rPr>
            </w:pPr>
            <w:r>
              <w:rPr>
                <w:b/>
                <w:bCs/>
              </w:rPr>
              <w:t>Commencement</w:t>
            </w:r>
          </w:p>
        </w:tc>
        <w:tc>
          <w:tcPr>
            <w:tcW w:w="1582" w:type="dxa"/>
            <w:tcBorders>
              <w:top w:val="single" w:sz="6" w:space="0" w:color="auto"/>
              <w:left w:val="nil"/>
              <w:bottom w:val="single" w:sz="12" w:space="0" w:color="auto"/>
              <w:right w:val="nil"/>
            </w:tcBorders>
          </w:tcPr>
          <w:p w:rsidR="00317FAC" w:rsidRDefault="004F6E79">
            <w:pPr>
              <w:pStyle w:val="Tabletext"/>
              <w:keepNext/>
              <w:rPr>
                <w:b/>
                <w:bCs/>
              </w:rPr>
            </w:pPr>
            <w:r>
              <w:rPr>
                <w:b/>
                <w:bCs/>
              </w:rPr>
              <w:t>Date/Details</w:t>
            </w:r>
          </w:p>
        </w:tc>
      </w:tr>
      <w:tr w:rsidR="00317FAC">
        <w:trPr>
          <w:cantSplit/>
        </w:trPr>
        <w:tc>
          <w:tcPr>
            <w:tcW w:w="1701" w:type="dxa"/>
            <w:tcBorders>
              <w:top w:val="single" w:sz="12" w:space="0" w:color="auto"/>
              <w:left w:val="nil"/>
              <w:bottom w:val="single" w:sz="2" w:space="0" w:color="auto"/>
              <w:right w:val="nil"/>
            </w:tcBorders>
          </w:tcPr>
          <w:p w:rsidR="00317FAC" w:rsidRDefault="004F6E79">
            <w:pPr>
              <w:pStyle w:val="Tabletext"/>
            </w:pPr>
            <w:r>
              <w:t xml:space="preserve">1.  </w:t>
            </w:r>
            <w:r>
              <w:rPr>
                <w:snapToGrid w:val="0"/>
              </w:rPr>
              <w:t>Sections 1 to 3 and anything in this Act not elsewhere covered by this table</w:t>
            </w:r>
          </w:p>
        </w:tc>
        <w:tc>
          <w:tcPr>
            <w:tcW w:w="3828" w:type="dxa"/>
            <w:tcBorders>
              <w:top w:val="single" w:sz="12" w:space="0" w:color="auto"/>
              <w:left w:val="nil"/>
              <w:bottom w:val="single" w:sz="2" w:space="0" w:color="auto"/>
              <w:right w:val="nil"/>
            </w:tcBorders>
          </w:tcPr>
          <w:p w:rsidR="00317FAC" w:rsidRDefault="004F6E79">
            <w:pPr>
              <w:pStyle w:val="Tabletext"/>
            </w:pPr>
            <w:r>
              <w:t>The day on which this Act receives the Royal Assent</w:t>
            </w:r>
          </w:p>
        </w:tc>
        <w:tc>
          <w:tcPr>
            <w:tcW w:w="1582" w:type="dxa"/>
            <w:tcBorders>
              <w:top w:val="single" w:sz="12" w:space="0" w:color="auto"/>
              <w:left w:val="nil"/>
              <w:bottom w:val="single" w:sz="2" w:space="0" w:color="auto"/>
              <w:right w:val="nil"/>
            </w:tcBorders>
          </w:tcPr>
          <w:p w:rsidR="00317FAC" w:rsidRDefault="004F6E79">
            <w:pPr>
              <w:pStyle w:val="Tabletext"/>
            </w:pPr>
            <w:r>
              <w:t>26 June 2003</w:t>
            </w:r>
          </w:p>
        </w:tc>
      </w:tr>
      <w:tr w:rsidR="00317FAC">
        <w:trPr>
          <w:cantSplit/>
        </w:trPr>
        <w:tc>
          <w:tcPr>
            <w:tcW w:w="1701" w:type="dxa"/>
            <w:tcBorders>
              <w:top w:val="single" w:sz="2" w:space="0" w:color="auto"/>
              <w:left w:val="nil"/>
              <w:bottom w:val="single" w:sz="12" w:space="0" w:color="auto"/>
              <w:right w:val="nil"/>
            </w:tcBorders>
          </w:tcPr>
          <w:p w:rsidR="00317FAC" w:rsidRDefault="004F6E79">
            <w:pPr>
              <w:pStyle w:val="Tabletext"/>
            </w:pPr>
            <w:r>
              <w:t xml:space="preserve">2. Schedule 1 </w:t>
            </w:r>
          </w:p>
        </w:tc>
        <w:tc>
          <w:tcPr>
            <w:tcW w:w="3828" w:type="dxa"/>
            <w:tcBorders>
              <w:top w:val="single" w:sz="2" w:space="0" w:color="auto"/>
              <w:left w:val="nil"/>
              <w:bottom w:val="single" w:sz="12" w:space="0" w:color="auto"/>
              <w:right w:val="nil"/>
            </w:tcBorders>
          </w:tcPr>
          <w:p w:rsidR="00317FAC" w:rsidRDefault="004F6E79">
            <w:pPr>
              <w:pStyle w:val="Tabletext"/>
            </w:pPr>
            <w:r>
              <w:t xml:space="preserve">At the same time as the </w:t>
            </w:r>
            <w:r>
              <w:rPr>
                <w:i/>
                <w:iCs/>
              </w:rPr>
              <w:t xml:space="preserve">Superannuation (Financial Assistance Funding) Levy Amendment Act 2003 </w:t>
            </w:r>
            <w:r>
              <w:t>commences</w:t>
            </w:r>
          </w:p>
        </w:tc>
        <w:tc>
          <w:tcPr>
            <w:tcW w:w="1582" w:type="dxa"/>
            <w:tcBorders>
              <w:top w:val="single" w:sz="2" w:space="0" w:color="auto"/>
              <w:left w:val="nil"/>
              <w:bottom w:val="single" w:sz="12" w:space="0" w:color="auto"/>
              <w:right w:val="nil"/>
            </w:tcBorders>
          </w:tcPr>
          <w:p w:rsidR="00317FAC" w:rsidRDefault="004F6E79">
            <w:pPr>
              <w:pStyle w:val="Tabletext"/>
            </w:pPr>
            <w:r>
              <w:t>26 June 2003</w:t>
            </w:r>
          </w:p>
        </w:tc>
      </w:tr>
    </w:tbl>
    <w:p w:rsidR="00317FAC" w:rsidRDefault="004F6E79">
      <w:pPr>
        <w:pStyle w:val="notetext"/>
      </w:pPr>
      <w:r>
        <w:t>Note:</w:t>
      </w:r>
      <w:r>
        <w:tab/>
        <w:t>This table relates only to the provisions of this Act as originally passed by the Parliament and assented to. It will not be expanded to deal with provisions inserted in this Act after assent.</w:t>
      </w:r>
    </w:p>
    <w:p w:rsidR="00317FAC" w:rsidRDefault="004F6E79">
      <w:pPr>
        <w:pStyle w:val="subsection"/>
      </w:pPr>
      <w:r>
        <w:tab/>
        <w:t>(2)</w:t>
      </w:r>
      <w:r>
        <w:tab/>
        <w:t>Column 3 of the table is for additional information that is not part of this Act. This information may be included in any published version of this Act.</w:t>
      </w:r>
    </w:p>
    <w:p w:rsidR="00317FAC" w:rsidRDefault="004F6E79">
      <w:pPr>
        <w:pStyle w:val="Heading5"/>
      </w:pPr>
      <w:bookmarkStart w:id="3" w:name="_Toc44142186"/>
      <w:r>
        <w:rPr>
          <w:rStyle w:val="CharSectno"/>
        </w:rPr>
        <w:t>3</w:t>
      </w:r>
      <w:r>
        <w:t xml:space="preserve">  Schedule(s)</w:t>
      </w:r>
      <w:bookmarkEnd w:id="3"/>
    </w:p>
    <w:p w:rsidR="00317FAC" w:rsidRDefault="004F6E79">
      <w:pPr>
        <w:pStyle w:val="subsection"/>
      </w:pPr>
      <w:r>
        <w:tab/>
      </w:r>
      <w:r>
        <w:tab/>
        <w:t>Each Act that is specified in a Schedule to this Act is amended or repealed as set out in the applicable items in the Schedule concerned, and any other item in a Schedule to this Act has effect according to its terms.</w:t>
      </w:r>
    </w:p>
    <w:p w:rsidR="00317FAC" w:rsidRDefault="004F6E79">
      <w:pPr>
        <w:pStyle w:val="PageBreak"/>
      </w:pPr>
      <w:r>
        <w:br w:type="page"/>
      </w:r>
    </w:p>
    <w:p w:rsidR="00317FAC" w:rsidRDefault="004F6E79">
      <w:pPr>
        <w:pStyle w:val="Heading6"/>
      </w:pPr>
      <w:bookmarkStart w:id="4" w:name="_Toc44142187"/>
      <w:r>
        <w:rPr>
          <w:rStyle w:val="CharAmSchNo"/>
        </w:rPr>
        <w:lastRenderedPageBreak/>
        <w:t>Schedule 1</w:t>
      </w:r>
      <w:r>
        <w:t>—</w:t>
      </w:r>
      <w:r>
        <w:rPr>
          <w:rStyle w:val="CharAmSchText"/>
        </w:rPr>
        <w:t>Amendment of the Superannuation Industry (Supervision) Act 1993</w:t>
      </w:r>
      <w:bookmarkEnd w:id="4"/>
    </w:p>
    <w:p w:rsidR="00317FAC" w:rsidRDefault="004F6E79">
      <w:pPr>
        <w:pStyle w:val="Header"/>
      </w:pPr>
      <w:r>
        <w:rPr>
          <w:rStyle w:val="CharAmPartNo"/>
        </w:rPr>
        <w:t xml:space="preserve"> </w:t>
      </w:r>
      <w:r>
        <w:rPr>
          <w:rStyle w:val="CharAmPartText"/>
        </w:rPr>
        <w:t xml:space="preserve"> </w:t>
      </w:r>
    </w:p>
    <w:p w:rsidR="00317FAC" w:rsidRDefault="004F6E79">
      <w:pPr>
        <w:pStyle w:val="ItemHead"/>
      </w:pPr>
      <w:r>
        <w:t>1  Subsection 237(2)</w:t>
      </w:r>
    </w:p>
    <w:p w:rsidR="00317FAC" w:rsidRDefault="004F6E79">
      <w:pPr>
        <w:pStyle w:val="Item"/>
      </w:pPr>
      <w:r>
        <w:t>Omit “a determination”, substitute “one or more determinations”.</w:t>
      </w:r>
    </w:p>
    <w:p w:rsidR="00317FAC" w:rsidRDefault="004F6E79">
      <w:pPr>
        <w:pStyle w:val="NewItem"/>
      </w:pPr>
      <w:r>
        <w:t>2  Subsection 237(2)</w:t>
      </w:r>
    </w:p>
    <w:p w:rsidR="00317FAC" w:rsidRDefault="004F6E79">
      <w:pPr>
        <w:pStyle w:val="Item"/>
      </w:pPr>
      <w:r>
        <w:t>Omit “to a fund”.</w:t>
      </w:r>
    </w:p>
    <w:p w:rsidR="00317FAC" w:rsidRDefault="004F6E79">
      <w:pPr>
        <w:pStyle w:val="NewItem"/>
      </w:pPr>
      <w:r>
        <w:t>3  Subsection 237(2)</w:t>
      </w:r>
    </w:p>
    <w:p w:rsidR="00317FAC" w:rsidRDefault="004F6E79">
      <w:pPr>
        <w:pStyle w:val="Item"/>
      </w:pPr>
      <w:r>
        <w:t>Omit “the amount”, substitute “the total amount”.</w:t>
      </w:r>
    </w:p>
    <w:p w:rsidR="00317FAC" w:rsidRDefault="004F6E79">
      <w:pPr>
        <w:framePr w:hSpace="180" w:wrap="auto" w:vAnchor="text" w:hAnchor="page" w:x="2411" w:y="6290"/>
        <w:shd w:val="solid" w:color="FFFFFF" w:fill="FFFFFF"/>
      </w:pPr>
      <w:r>
        <w:t>(284/02)</w:t>
      </w:r>
    </w:p>
    <w:p w:rsidR="00317FAC" w:rsidRDefault="00317FAC"/>
    <w:p w:rsidR="00317FAC" w:rsidRDefault="00317FAC"/>
    <w:p w:rsidR="00317FAC" w:rsidRDefault="00317FAC"/>
    <w:p w:rsidR="00317FAC" w:rsidRDefault="00317FAC">
      <w:pPr>
        <w:pStyle w:val="2ndRd"/>
        <w:keepNext/>
      </w:pPr>
    </w:p>
    <w:p w:rsidR="00317FAC" w:rsidRDefault="00317FAC">
      <w:pPr>
        <w:pStyle w:val="2ndRd"/>
        <w:keepNext/>
        <w:pBdr>
          <w:top w:val="single" w:sz="2" w:space="1" w:color="auto"/>
        </w:pBdr>
      </w:pPr>
    </w:p>
    <w:p w:rsidR="00317FAC" w:rsidRDefault="004F6E79">
      <w:pPr>
        <w:pStyle w:val="2ndRd"/>
        <w:keepNext/>
        <w:spacing w:line="260" w:lineRule="atLeast"/>
        <w:rPr>
          <w:i/>
          <w:iCs/>
        </w:rPr>
      </w:pPr>
      <w:r>
        <w:t>[</w:t>
      </w:r>
      <w:r>
        <w:rPr>
          <w:i/>
          <w:iCs/>
        </w:rPr>
        <w:t>Minister’s second reading speech made in—</w:t>
      </w:r>
    </w:p>
    <w:p w:rsidR="00317FAC" w:rsidRDefault="004F6E79">
      <w:pPr>
        <w:pStyle w:val="2ndRd"/>
        <w:keepNext/>
        <w:spacing w:line="260" w:lineRule="atLeast"/>
        <w:rPr>
          <w:i/>
          <w:iCs/>
        </w:rPr>
      </w:pPr>
      <w:r>
        <w:rPr>
          <w:i/>
          <w:iCs/>
        </w:rPr>
        <w:t>House of Representatives on 12 December 2002</w:t>
      </w:r>
    </w:p>
    <w:p w:rsidR="00317FAC" w:rsidRDefault="004F6E79">
      <w:pPr>
        <w:pStyle w:val="2ndRd"/>
        <w:keepNext/>
        <w:spacing w:line="260" w:lineRule="atLeast"/>
        <w:rPr>
          <w:i/>
          <w:iCs/>
        </w:rPr>
      </w:pPr>
      <w:r>
        <w:rPr>
          <w:i/>
          <w:iCs/>
        </w:rPr>
        <w:t>Senate on 15 May 2003</w:t>
      </w:r>
      <w:r>
        <w:t>]</w:t>
      </w:r>
    </w:p>
    <w:p w:rsidR="00317FAC" w:rsidRDefault="00317FAC"/>
    <w:p w:rsidR="00317FAC" w:rsidRDefault="00317FAC"/>
    <w:sectPr w:rsidR="00317FAC">
      <w:headerReference w:type="even" r:id="rId13"/>
      <w:headerReference w:type="default" r:id="rId14"/>
      <w:footerReference w:type="even" r:id="rId15"/>
      <w:footerReference w:type="default" r:id="rId16"/>
      <w:headerReference w:type="first" r:id="rId17"/>
      <w:footerReference w:type="first" r:id="rId18"/>
      <w:pgSz w:w="11907" w:h="16839"/>
      <w:pgMar w:top="1871" w:right="2410" w:bottom="4252" w:left="2410" w:header="709"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AC" w:rsidRDefault="004F6E79">
      <w:pPr>
        <w:spacing w:line="240" w:lineRule="auto"/>
      </w:pPr>
      <w:r>
        <w:separator/>
      </w:r>
    </w:p>
  </w:endnote>
  <w:endnote w:type="continuationSeparator" w:id="0">
    <w:p w:rsidR="00317FAC" w:rsidRDefault="004F6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rPr>
        <w:rFonts w:ascii="Times" w:hAnsi="Times" w:cs="Times"/>
        <w:sz w:val="18"/>
        <w:szCs w:val="18"/>
      </w:rPr>
    </w:pPr>
  </w:p>
  <w:p w:rsidR="00317FAC" w:rsidRDefault="00317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top w:val="single" w:sz="6" w:space="1" w:color="auto"/>
      </w:pBdr>
      <w:rPr>
        <w:sz w:val="18"/>
        <w:szCs w:val="18"/>
      </w:rPr>
    </w:pPr>
  </w:p>
  <w:p w:rsidR="00317FAC" w:rsidRDefault="004F6E79">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Superannuation Industry (Supervision) Amendment Act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52,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top w:val="single" w:sz="6" w:space="1" w:color="auto"/>
      </w:pBdr>
      <w:rPr>
        <w:sz w:val="18"/>
        <w:szCs w:val="18"/>
      </w:rPr>
    </w:pPr>
  </w:p>
  <w:p w:rsidR="00317FAC" w:rsidRDefault="004F6E79">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FF14F6">
      <w:rPr>
        <w:i/>
        <w:iCs/>
        <w:noProof/>
        <w:sz w:val="18"/>
        <w:szCs w:val="18"/>
      </w:rPr>
      <w:t>Superannuation Industry (Supervision) Amendment Act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FF14F6">
      <w:rPr>
        <w:i/>
        <w:iCs/>
        <w:noProof/>
        <w:sz w:val="18"/>
        <w:szCs w:val="18"/>
      </w:rPr>
      <w:t>No. 52, 2003</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top w:val="single" w:sz="6" w:space="1" w:color="auto"/>
      </w:pBdr>
      <w:jc w:val="right"/>
      <w:rPr>
        <w:sz w:val="18"/>
        <w:szCs w:val="18"/>
      </w:rPr>
    </w:pPr>
  </w:p>
  <w:p w:rsidR="00317FAC" w:rsidRDefault="004F6E79">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FF14F6">
      <w:rPr>
        <w:i/>
        <w:iCs/>
        <w:noProof/>
        <w:sz w:val="18"/>
        <w:szCs w:val="18"/>
      </w:rPr>
      <w:t>Superannuation Industry (Supervision) Amendment Act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FF14F6">
      <w:rPr>
        <w:i/>
        <w:iCs/>
        <w:noProof/>
        <w:sz w:val="18"/>
        <w:szCs w:val="18"/>
      </w:rPr>
      <w:t>No. 52, 2003</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top w:val="single" w:sz="6" w:space="1" w:color="auto"/>
      </w:pBdr>
      <w:rPr>
        <w:sz w:val="18"/>
        <w:szCs w:val="18"/>
      </w:rPr>
    </w:pPr>
  </w:p>
  <w:p w:rsidR="00317FAC" w:rsidRDefault="004F6E79">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FF14F6">
      <w:rPr>
        <w:i/>
        <w:iCs/>
        <w:noProof/>
        <w:sz w:val="18"/>
        <w:szCs w:val="18"/>
      </w:rPr>
      <w:t>Superannuation Industry (Supervision) Amendment Act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FF14F6">
      <w:rPr>
        <w:i/>
        <w:iCs/>
        <w:noProof/>
        <w:sz w:val="18"/>
        <w:szCs w:val="18"/>
      </w:rPr>
      <w:t>No. 52,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top w:val="single" w:sz="6" w:space="1" w:color="auto"/>
      </w:pBdr>
      <w:rPr>
        <w:sz w:val="18"/>
        <w:szCs w:val="18"/>
      </w:rPr>
    </w:pPr>
  </w:p>
  <w:p w:rsidR="00317FAC" w:rsidRDefault="004F6E79">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FF14F6">
      <w:rPr>
        <w:i/>
        <w:iCs/>
        <w:noProof/>
        <w:sz w:val="18"/>
        <w:szCs w:val="18"/>
      </w:rPr>
      <w:t>Superannuation Industry (Supervision) Amendment Act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FF14F6">
      <w:rPr>
        <w:i/>
        <w:iCs/>
        <w:noProof/>
        <w:sz w:val="18"/>
        <w:szCs w:val="18"/>
      </w:rPr>
      <w:t>No. 52, 2003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AC" w:rsidRDefault="004F6E79">
      <w:pPr>
        <w:spacing w:line="240" w:lineRule="auto"/>
      </w:pPr>
      <w:r>
        <w:separator/>
      </w:r>
    </w:p>
  </w:footnote>
  <w:footnote w:type="continuationSeparator" w:id="0">
    <w:p w:rsidR="00317FAC" w:rsidRDefault="004F6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bottom w:val="single" w:sz="12"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4F6E79">
    <w:pPr>
      <w:rPr>
        <w:sz w:val="20"/>
        <w:szCs w:val="20"/>
      </w:rPr>
    </w:pPr>
    <w:r>
      <w:rPr>
        <w:b/>
        <w:bCs/>
        <w:sz w:val="20"/>
        <w:szCs w:val="20"/>
      </w:rPr>
      <w:fldChar w:fldCharType="begin"/>
    </w:r>
    <w:r>
      <w:rPr>
        <w:b/>
        <w:bCs/>
        <w:sz w:val="20"/>
        <w:szCs w:val="20"/>
      </w:rPr>
      <w:instrText xml:space="preserve"> STYLEREF CharAmSchNo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Pr>
        <w:sz w:val="20"/>
        <w:szCs w:val="20"/>
      </w:rPr>
      <w:fldChar w:fldCharType="end"/>
    </w:r>
  </w:p>
  <w:p w:rsidR="00317FAC" w:rsidRDefault="004F6E79">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317FAC" w:rsidRDefault="00317FAC">
    <w:pPr>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4F6E79">
    <w:pPr>
      <w:jc w:val="right"/>
      <w:rPr>
        <w:sz w:val="20"/>
        <w:szCs w:val="20"/>
      </w:rPr>
    </w:pPr>
    <w:r>
      <w:rPr>
        <w:sz w:val="20"/>
        <w:szCs w:val="20"/>
      </w:rPr>
      <w:fldChar w:fldCharType="begin"/>
    </w:r>
    <w:r>
      <w:rPr>
        <w:sz w:val="20"/>
        <w:szCs w:val="20"/>
      </w:rPr>
      <w:instrText xml:space="preserve"> STYLEREF CharAmSchText </w:instrText>
    </w:r>
    <w:r>
      <w:rPr>
        <w:sz w:val="20"/>
        <w:szCs w:val="20"/>
      </w:rPr>
      <w:fldChar w:fldCharType="separate"/>
    </w:r>
    <w:r w:rsidR="00FF14F6">
      <w:rPr>
        <w:noProof/>
        <w:sz w:val="20"/>
        <w:szCs w:val="20"/>
      </w:rPr>
      <w:t>Amendment of the Superannuation Industry (Supervision) Act 1993</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Pr>
        <w:b/>
        <w:bCs/>
        <w:sz w:val="20"/>
        <w:szCs w:val="20"/>
      </w:rPr>
      <w:fldChar w:fldCharType="separate"/>
    </w:r>
    <w:r w:rsidR="00FF14F6">
      <w:rPr>
        <w:b/>
        <w:bCs/>
        <w:noProof/>
        <w:sz w:val="20"/>
        <w:szCs w:val="20"/>
      </w:rPr>
      <w:t>Schedule 1</w:t>
    </w:r>
    <w:r>
      <w:rPr>
        <w:b/>
        <w:bCs/>
        <w:sz w:val="20"/>
        <w:szCs w:val="20"/>
      </w:rPr>
      <w:fldChar w:fldCharType="end"/>
    </w:r>
  </w:p>
  <w:p w:rsidR="00317FAC" w:rsidRDefault="004F6E79">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317FAC" w:rsidRDefault="00317FAC">
    <w:pPr>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AC" w:rsidRDefault="00317F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3FE5C8C"/>
    <w:multiLevelType w:val="multilevel"/>
    <w:tmpl w:val="46FE0A50"/>
    <w:lvl w:ilvl="0">
      <w:start w:val="1"/>
      <w:numFmt w:val="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5B64549"/>
    <w:multiLevelType w:val="multilevel"/>
    <w:tmpl w:val="A330D6D8"/>
    <w:lvl w:ilvl="0">
      <w:start w:val="1"/>
      <w:numFmt w:val="bullet"/>
      <w:lvlText w:val=""/>
      <w:lvlJc w:val="left"/>
      <w:pPr>
        <w:tabs>
          <w:tab w:val="num" w:pos="4242"/>
        </w:tabs>
        <w:ind w:left="3521" w:hanging="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FD75477"/>
    <w:multiLevelType w:val="multilevel"/>
    <w:tmpl w:val="62D4B512"/>
    <w:lvl w:ilvl="0">
      <w:start w:val="1"/>
      <w:numFmt w:val="bullet"/>
      <w:lvlText w:val=""/>
      <w:lvlJc w:val="left"/>
      <w:pPr>
        <w:tabs>
          <w:tab w:val="num" w:pos="2121"/>
        </w:tabs>
        <w:ind w:left="1400" w:hanging="10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A0E337B"/>
    <w:multiLevelType w:val="multilevel"/>
    <w:tmpl w:val="422871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D9F04A1"/>
    <w:multiLevelType w:val="multilevel"/>
    <w:tmpl w:val="0C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8A242880"/>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A7CBE"/>
    <w:multiLevelType w:val="multilevel"/>
    <w:tmpl w:val="9D403C1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7642EE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5"/>
  </w:num>
  <w:num w:numId="23">
    <w:abstractNumId w:val="12"/>
  </w:num>
  <w:num w:numId="24">
    <w:abstractNumId w:val="26"/>
  </w:num>
  <w:num w:numId="25">
    <w:abstractNumId w:val="28"/>
  </w:num>
  <w:num w:numId="26">
    <w:abstractNumId w:val="24"/>
  </w:num>
  <w:num w:numId="27">
    <w:abstractNumId w:val="16"/>
  </w:num>
  <w:num w:numId="28">
    <w:abstractNumId w:val="23"/>
  </w:num>
  <w:num w:numId="29">
    <w:abstractNumId w:val="11"/>
  </w:num>
  <w:num w:numId="30">
    <w:abstractNumId w:val="19"/>
  </w:num>
  <w:num w:numId="31">
    <w:abstractNumId w:val="27"/>
  </w:num>
  <w:num w:numId="32">
    <w:abstractNumId w:val="21"/>
  </w:num>
  <w:num w:numId="33">
    <w:abstractNumId w:val="17"/>
  </w:num>
  <w:num w:numId="34">
    <w:abstractNumId w:val="10"/>
  </w:num>
  <w:num w:numId="35">
    <w:abstractNumId w:val="20"/>
  </w:num>
  <w:num w:numId="36">
    <w:abstractNumId w:val="25"/>
  </w:num>
  <w:num w:numId="37">
    <w:abstractNumId w:val="14"/>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2F"/>
    <w:rsid w:val="001216E1"/>
    <w:rsid w:val="00317FAC"/>
    <w:rsid w:val="004F6E79"/>
    <w:rsid w:val="0071582F"/>
    <w:rsid w:val="00F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New Roman" w:hAnsi="Times New Roman" w:cs="Times New Roman"/>
      <w:lang w:val="en-AU"/>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Actno">
    <w:name w:val="Actno"/>
    <w:basedOn w:val="UpdateDate"/>
    <w:next w:val="Normal"/>
    <w:uiPriority w:val="99"/>
    <w:rPr>
      <w:b/>
      <w:bCs/>
    </w:rPr>
  </w:style>
  <w:style w:type="paragraph" w:customStyle="1" w:styleId="Blocks">
    <w:name w:val="Blocks"/>
    <w:aliases w:val="bb"/>
    <w:basedOn w:val="Normal"/>
    <w:uiPriority w:val="99"/>
    <w:pPr>
      <w:spacing w:line="240" w:lineRule="auto"/>
    </w:pPr>
    <w:rPr>
      <w:sz w:val="24"/>
      <w:szCs w:val="24"/>
    </w:rPr>
  </w:style>
  <w:style w:type="paragraph" w:customStyle="1" w:styleId="BoxHeadItalic">
    <w:name w:val="BoxHeadItalic"/>
    <w:aliases w:val="bhi"/>
    <w:basedOn w:val="BoxHeadBold"/>
    <w:next w:val="BoxText"/>
    <w:uiPriority w:val="99"/>
    <w:rPr>
      <w:b w:val="0"/>
      <w:bCs w:val="0"/>
      <w:i/>
      <w:iCs/>
    </w:r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Step">
    <w:name w:val="BoxStep"/>
    <w:aliases w:val="bs"/>
    <w:basedOn w:val="BoxText"/>
    <w:uiPriority w:val="99"/>
    <w:pPr>
      <w:ind w:left="1985" w:hanging="851"/>
    </w:pPr>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paragraph" w:customStyle="1" w:styleId="BoxHeadBold">
    <w:name w:val="BoxHeadBold"/>
    <w:aliases w:val="bhb"/>
    <w:basedOn w:val="BoxText"/>
    <w:next w:val="BoxText"/>
    <w:uiPriority w:val="99"/>
    <w:rPr>
      <w:b/>
      <w:bCs/>
    </w:rPr>
  </w:style>
  <w:style w:type="paragraph" w:customStyle="1" w:styleId="BoxList">
    <w:name w:val="BoxList"/>
    <w:aliases w:val="bl"/>
    <w:basedOn w:val="BoxText"/>
    <w:next w:val="Normal"/>
    <w:uiPriority w:val="99"/>
    <w:pPr>
      <w:ind w:left="1559" w:hanging="425"/>
    </w:p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character" w:customStyle="1" w:styleId="CharAmPartNo">
    <w:name w:val="CharAmPartNo"/>
    <w:basedOn w:val="DefaultParagraphFont"/>
    <w:uiPriority w:val="99"/>
  </w:style>
  <w:style w:type="character" w:customStyle="1" w:styleId="CharBoldItalic">
    <w:name w:val="CharBoldItalic"/>
    <w:basedOn w:val="DefaultParagraphFont"/>
    <w:uiPriority w:val="99"/>
    <w:rPr>
      <w:b/>
      <w:bCs/>
      <w:i/>
      <w:iC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Italic">
    <w:name w:val="CharItalic"/>
    <w:basedOn w:val="DefaultParagraphFont"/>
    <w:uiPriority w:val="99"/>
    <w:rPr>
      <w:i/>
      <w:iCs/>
    </w:rPr>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customStyle="1" w:styleId="Formula">
    <w:name w:val="Formula"/>
    <w:basedOn w:val="Normal"/>
    <w:uiPriority w:val="99"/>
    <w:pPr>
      <w:ind w:left="1134"/>
    </w:pPr>
    <w:rPr>
      <w:sz w:val="20"/>
      <w:szCs w:val="20"/>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House">
    <w:name w:val="House"/>
    <w:basedOn w:val="Normal"/>
    <w:uiPriority w:val="99"/>
    <w:rPr>
      <w:sz w:val="28"/>
      <w:szCs w:val="28"/>
    </w:r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ponsor">
    <w:name w:val="Sponsor"/>
    <w:basedOn w:val="Normal"/>
    <w:uiPriority w:val="99"/>
    <w:rPr>
      <w:i/>
      <w:iCs/>
    </w:rPr>
  </w:style>
  <w:style w:type="paragraph" w:customStyle="1" w:styleId="Subitem">
    <w:name w:val="Subitem"/>
    <w:aliases w:val="iss"/>
    <w:basedOn w:val="Normal"/>
    <w:uiPriority w:val="99"/>
    <w:pPr>
      <w:spacing w:before="180"/>
      <w:ind w:left="709" w:hanging="709"/>
    </w:p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Session">
    <w:name w:val="Session"/>
    <w:basedOn w:val="Normal"/>
    <w:uiPriority w:val="99"/>
    <w:rPr>
      <w:sz w:val="28"/>
      <w:szCs w:val="28"/>
    </w:r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TableAA">
    <w:name w:val="Table(AA)"/>
    <w:aliases w:val="taaa"/>
    <w:basedOn w:val="Tablei"/>
    <w:uiPriority w:val="99"/>
    <w:pPr>
      <w:tabs>
        <w:tab w:val="clear" w:pos="970"/>
      </w:tabs>
      <w:ind w:left="1055"/>
    </w:pPr>
  </w:style>
  <w:style w:type="paragraph" w:customStyle="1" w:styleId="Tabletext">
    <w:name w:val="Tabletext"/>
    <w:aliases w:val="tt"/>
    <w:basedOn w:val="Normal"/>
    <w:uiPriority w:val="99"/>
    <w:pPr>
      <w:spacing w:before="60" w:line="240" w:lineRule="atLeast"/>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24"/>
      </w:numPr>
      <w:spacing w:before="122" w:line="198" w:lineRule="exac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paragraphsub">
    <w:name w:val="paragraph(sub)"/>
    <w:aliases w:val="aa"/>
    <w:basedOn w:val="paragraph"/>
    <w:uiPriority w:val="99"/>
    <w:pPr>
      <w:tabs>
        <w:tab w:val="clear" w:pos="1531"/>
        <w:tab w:val="right" w:pos="1985"/>
      </w:tabs>
      <w:ind w:left="2098" w:hanging="2098"/>
    </w:p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para">
    <w:name w:val="note(para)"/>
    <w:aliases w:val="na,note(parap)"/>
    <w:basedOn w:val="notetext"/>
    <w:uiPriority w:val="99"/>
    <w:pPr>
      <w:ind w:left="2353" w:hanging="709"/>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Page1">
    <w:name w:val="Page1"/>
    <w:basedOn w:val="Normal"/>
    <w:uiPriority w:val="99"/>
    <w:pPr>
      <w:spacing w:before="400" w:line="240" w:lineRule="auto"/>
    </w:pPr>
    <w:rPr>
      <w:b/>
      <w:bCs/>
      <w:sz w:val="32"/>
      <w:szCs w:val="32"/>
    </w:rPr>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Portfolio">
    <w:name w:val="Portfolio"/>
    <w:basedOn w:val="Normal"/>
    <w:uiPriority w:val="99"/>
    <w:rPr>
      <w:i/>
      <w:iCs/>
      <w:sz w:val="20"/>
      <w:szCs w:val="20"/>
    </w:rPr>
  </w:style>
  <w:style w:type="paragraph" w:customStyle="1" w:styleId="Reading">
    <w:name w:val="Reading"/>
    <w:basedOn w:val="Normal"/>
    <w:uiPriority w:val="99"/>
    <w:rPr>
      <w:i/>
      <w:iCs/>
      <w:sz w:val="20"/>
      <w:szCs w:val="20"/>
    </w:r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ind w:left="709"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lAmend">
    <w:name w:val="ParlAmend"/>
    <w:aliases w:val="pp"/>
    <w:basedOn w:val="Normal"/>
    <w:uiPriority w:val="99"/>
    <w:pPr>
      <w:spacing w:before="240" w:line="240" w:lineRule="atLeast"/>
      <w:ind w:hanging="567"/>
    </w:pPr>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lang w:val="en-AU"/>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New Roman" w:hAnsi="Times New Roman" w:cs="Times New Roman"/>
      <w:lang w:val="en-AU"/>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AU"/>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lang w:val="en-AU"/>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AU"/>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lang w:val="en-AU"/>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AU"/>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lang w:val="en-AU"/>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lang w:val="en-AU"/>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AU"/>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lang w:val="en-AU"/>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AU"/>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lang w:val="en-AU"/>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lang w:val="en-AU"/>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AU"/>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1"/>
      </w:numPr>
    </w:pPr>
  </w:style>
  <w:style w:type="paragraph" w:styleId="ListBullet2">
    <w:name w:val="List Bullet 2"/>
    <w:basedOn w:val="Normal"/>
    <w:autoRedefine/>
    <w:uiPriority w:val="99"/>
    <w:pPr>
      <w:numPr>
        <w:numId w:val="12"/>
      </w:numPr>
    </w:pPr>
  </w:style>
  <w:style w:type="paragraph" w:styleId="ListBullet3">
    <w:name w:val="List Bullet 3"/>
    <w:basedOn w:val="Normal"/>
    <w:autoRedefine/>
    <w:uiPriority w:val="99"/>
    <w:pPr>
      <w:numPr>
        <w:numId w:val="13"/>
      </w:numPr>
    </w:pPr>
  </w:style>
  <w:style w:type="paragraph" w:styleId="ListBullet4">
    <w:name w:val="List Bullet 4"/>
    <w:basedOn w:val="Normal"/>
    <w:autoRedefine/>
    <w:uiPriority w:val="99"/>
    <w:pPr>
      <w:numPr>
        <w:numId w:val="14"/>
      </w:numPr>
    </w:pPr>
  </w:style>
  <w:style w:type="paragraph" w:styleId="ListBullet5">
    <w:name w:val="List Bullet 5"/>
    <w:basedOn w:val="Normal"/>
    <w:autoRedefine/>
    <w:uiPriority w:val="99"/>
    <w:pPr>
      <w:numPr>
        <w:numId w:val="1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AU"/>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lang w:val="en-AU"/>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lang w:val="en-AU"/>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lang w:val="en-AU"/>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lang w:val="en-AU"/>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lang w:val="en-AU"/>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lang w:val="en-AU"/>
    </w:rPr>
  </w:style>
  <w:style w:type="character" w:styleId="CommentReference">
    <w:name w:val="annotation reference"/>
    <w:basedOn w:val="DefaultParagraphFont"/>
    <w:uiPriority w:val="99"/>
    <w:rPr>
      <w:sz w:val="16"/>
      <w:szCs w:val="16"/>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vertAlign w:val="superscript"/>
    </w:rPr>
  </w:style>
  <w:style w:type="character" w:styleId="HTMLAcronym">
    <w:name w:val="HTML Acronym"/>
    <w:basedOn w:val="DefaultParagraphFont"/>
    <w:uiPriority w:val="99"/>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rPr>
      <w:rFonts w:ascii="Times" w:hAnsi="Times" w:cs="Times"/>
      <w:sz w:val="16"/>
      <w:szCs w:val="16"/>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lang w:val="en-AU"/>
    </w:rPr>
  </w:style>
  <w:style w:type="character" w:customStyle="1" w:styleId="MacroTextChar">
    <w:name w:val="Macro Text Char"/>
    <w:basedOn w:val="DefaultParagraphFont"/>
    <w:link w:val="MacroText"/>
    <w:uiPriority w:val="99"/>
    <w:semiHidden/>
    <w:rPr>
      <w:rFonts w:ascii="Courier New" w:hAnsi="Courier New" w:cs="Courier New"/>
      <w:sz w:val="20"/>
      <w:szCs w:val="20"/>
      <w:lang w:val="en-AU"/>
    </w:rPr>
  </w:style>
  <w:style w:type="character" w:styleId="PageNumber">
    <w:name w:val="page number"/>
    <w:basedOn w:val="DefaultParagraphFont"/>
    <w:uiPriority w:val="99"/>
  </w:style>
  <w:style w:type="character" w:styleId="Strong">
    <w:name w:val="Strong"/>
    <w:basedOn w:val="DefaultParagraphFont"/>
    <w:uiPriority w:val="99"/>
    <w:qFormat/>
    <w:rPr>
      <w:b/>
      <w:bCs/>
    </w:r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after="0" w:line="240" w:lineRule="auto"/>
      <w:ind w:left="2098" w:right="567" w:hanging="680"/>
      <w:outlineLvl w:val="9"/>
    </w:pPr>
    <w:rPr>
      <w:b w:val="0"/>
      <w:bCs w:val="0"/>
      <w:sz w:val="18"/>
      <w:szCs w:val="18"/>
    </w:rPr>
  </w:style>
  <w:style w:type="paragraph" w:styleId="TOC6">
    <w:name w:val="toc 6"/>
    <w:basedOn w:val="TOC1"/>
    <w:next w:val="Normal"/>
    <w:uiPriority w:val="99"/>
    <w:pPr>
      <w:keepNext w:val="0"/>
      <w:tabs>
        <w:tab w:val="clear" w:pos="1440"/>
      </w:tabs>
      <w:ind w:left="0" w:firstLine="0"/>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ShortTP1">
    <w:name w:val="ShortTP1"/>
    <w:basedOn w:val="ShortT"/>
    <w:uiPriority w:val="99"/>
    <w:pPr>
      <w:spacing w:before="800"/>
    </w:pPr>
  </w:style>
  <w:style w:type="paragraph" w:customStyle="1" w:styleId="ActNoP1">
    <w:name w:val="ActNoP1"/>
    <w:basedOn w:val="Actno"/>
    <w:uiPriority w:val="99"/>
    <w:pPr>
      <w:spacing w:before="800"/>
    </w:pPr>
    <w:rPr>
      <w:sz w:val="28"/>
      <w:szCs w:val="28"/>
    </w:rPr>
  </w:style>
  <w:style w:type="paragraph" w:customStyle="1" w:styleId="p1LinesBef">
    <w:name w:val="p1LinesBef"/>
    <w:basedOn w:val="Normal"/>
    <w:uiPriority w:val="99"/>
    <w:pPr>
      <w:pBdr>
        <w:bottom w:val="single" w:sz="6" w:space="0" w:color="auto"/>
      </w:pBdr>
      <w:spacing w:before="400" w:line="240" w:lineRule="auto"/>
    </w:pPr>
    <w:rPr>
      <w:b/>
      <w:bCs/>
      <w:sz w:val="28"/>
      <w:szCs w:val="28"/>
      <w:lang w:val="en-US"/>
    </w:rPr>
  </w:style>
  <w:style w:type="paragraph" w:customStyle="1" w:styleId="p1LinesAfter">
    <w:name w:val="p1LinesAfter"/>
    <w:basedOn w:val="Normal"/>
    <w:uiPriority w:val="99"/>
    <w:pPr>
      <w:pBdr>
        <w:top w:val="single" w:sz="12" w:space="0" w:color="auto"/>
      </w:pBdr>
      <w:spacing w:line="240" w:lineRule="auto"/>
    </w:pPr>
    <w:rPr>
      <w:b/>
      <w:bCs/>
      <w:sz w:val="28"/>
      <w:szCs w:val="28"/>
      <w:lang w:val="en-US"/>
    </w:rPr>
  </w:style>
  <w:style w:type="paragraph" w:customStyle="1" w:styleId="ShortTCP">
    <w:name w:val="ShortTCP"/>
    <w:basedOn w:val="ShortT"/>
    <w:uiPriority w:val="99"/>
  </w:style>
  <w:style w:type="paragraph" w:customStyle="1" w:styleId="ActNoCP">
    <w:name w:val="ActNoCP"/>
    <w:basedOn w:val="Actno"/>
    <w:uiPriority w:val="99"/>
    <w:pPr>
      <w:spacing w:before="400"/>
    </w:pPr>
  </w:style>
  <w:style w:type="paragraph" w:customStyle="1" w:styleId="AssentBk">
    <w:name w:val="AssentBk"/>
    <w:basedOn w:val="Normal"/>
    <w:uiPriority w:val="99"/>
    <w:pPr>
      <w:spacing w:line="240" w:lineRule="auto"/>
    </w:pPr>
    <w:rPr>
      <w:rFonts w:ascii="Times" w:hAnsi="Times" w:cs="Times"/>
      <w:sz w:val="20"/>
      <w:szCs w:val="20"/>
      <w:lang w:val="en-US"/>
    </w:rPr>
  </w:style>
  <w:style w:type="paragraph" w:customStyle="1" w:styleId="AssentDt">
    <w:name w:val="AssentDt"/>
    <w:basedOn w:val="Normal"/>
    <w:uiPriority w:val="99"/>
    <w:pPr>
      <w:spacing w:line="240" w:lineRule="auto"/>
    </w:pPr>
    <w:rPr>
      <w:sz w:val="20"/>
      <w:szCs w:val="20"/>
      <w:lang w:val="en-US"/>
    </w:rPr>
  </w:style>
  <w:style w:type="paragraph" w:customStyle="1" w:styleId="2ndRd">
    <w:name w:val="2ndRd"/>
    <w:basedOn w:val="Normal"/>
    <w:uiPriority w:val="99"/>
    <w:pPr>
      <w:spacing w:line="240" w:lineRule="auto"/>
    </w:pPr>
    <w:rPr>
      <w:sz w:val="20"/>
      <w:szCs w:val="20"/>
      <w:lang w:val="en-US"/>
    </w:rPr>
  </w:style>
  <w:style w:type="paragraph" w:customStyle="1" w:styleId="ScalePlusRef">
    <w:name w:val="ScalePlusRef"/>
    <w:basedOn w:val="Normal"/>
    <w:uiPriority w:val="99"/>
    <w:pPr>
      <w:spacing w:line="240" w:lineRule="auto"/>
    </w:pPr>
    <w:rPr>
      <w:sz w:val="18"/>
      <w:szCs w:val="18"/>
      <w:lang w:val="en-US"/>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ntents">
    <w:name w:val="Contents"/>
    <w:basedOn w:val="Normal"/>
    <w:next w:val="Normal"/>
    <w:uiPriority w:val="99"/>
    <w:rPr>
      <w:sz w:val="36"/>
      <w:szCs w:val="36"/>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Mathtype">
    <w:name w:val="Mathtype"/>
    <w:basedOn w:val="Normal"/>
    <w:uiPriority w:val="99"/>
  </w:style>
  <w:style w:type="paragraph" w:customStyle="1" w:styleId="notebullet">
    <w:name w:val="note(bullet)"/>
    <w:basedOn w:val="Normal"/>
    <w:uiPriority w:val="99"/>
    <w:pPr>
      <w:numPr>
        <w:numId w:val="38"/>
      </w:numPr>
    </w:pPr>
    <w:rPr>
      <w:sz w:val="18"/>
      <w:szCs w:val="18"/>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ReprintDate">
    <w:name w:val="ReprintDate"/>
    <w:basedOn w:val="Normal"/>
    <w:uiPriority w:val="99"/>
    <w:pPr>
      <w:spacing w:before="240"/>
    </w:pPr>
    <w:rPr>
      <w:b/>
      <w:bCs/>
      <w:sz w:val="28"/>
      <w:szCs w:val="28"/>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OAmRenumbered">
    <w:name w:val="TOAmRenumbered"/>
    <w:basedOn w:val="TableOfAmend"/>
    <w:uiPriority w:val="99"/>
    <w:pPr>
      <w:ind w:left="0" w:firstLine="0"/>
    </w:pPr>
  </w:style>
  <w:style w:type="paragraph" w:customStyle="1" w:styleId="UpdateDate">
    <w:name w:val="UpdateDate"/>
    <w:basedOn w:val="Normal"/>
    <w:uiPriority w:val="99"/>
    <w:pPr>
      <w:spacing w:before="240"/>
    </w:pPr>
    <w:rPr>
      <w:sz w:val="24"/>
      <w:szCs w:val="24"/>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customStyle="1" w:styleId="NewItem">
    <w:name w:val="NewItem"/>
    <w:basedOn w:val="Normal"/>
    <w:uiPriority w:val="99"/>
    <w:pPr>
      <w:keepNext/>
      <w:keepLines/>
      <w:spacing w:before="220"/>
      <w:ind w:left="709" w:hanging="709"/>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2023-09-18T22:57:00Z</dcterms:created>
  <dcterms:modified xsi:type="dcterms:W3CDTF">2023-12-20T23:00:00Z</dcterms:modified>
</cp:coreProperties>
</file>