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45C" w:rsidRDefault="00921A23">
      <w:r>
        <w:rPr>
          <w:noProof/>
          <w:sz w:val="20"/>
          <w:szCs w:val="20"/>
        </w:rPr>
        <w:drawing>
          <wp:inline distT="0" distB="0" distL="0" distR="0" wp14:anchorId="1D241ADD" wp14:editId="0D274C28">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60045C" w:rsidRDefault="0060045C">
      <w:pPr>
        <w:spacing w:line="240" w:lineRule="auto"/>
      </w:pPr>
    </w:p>
    <w:p w:rsidR="0060045C" w:rsidRDefault="0060045C"/>
    <w:p w:rsidR="0060045C" w:rsidRDefault="0060045C"/>
    <w:p w:rsidR="0060045C" w:rsidRDefault="0060045C"/>
    <w:p w:rsidR="0060045C" w:rsidRDefault="0060045C"/>
    <w:p w:rsidR="0060045C" w:rsidRDefault="00633573">
      <w:pPr>
        <w:pStyle w:val="ShortT"/>
      </w:pPr>
      <w:r>
        <w:t>Radiocommunications (Transmitter Licence Tax) Amendment Act 2002</w:t>
      </w:r>
    </w:p>
    <w:p w:rsidR="0060045C" w:rsidRDefault="0060045C"/>
    <w:p w:rsidR="0060045C" w:rsidRDefault="00633573">
      <w:pPr>
        <w:pStyle w:val="Actno"/>
        <w:spacing w:before="400"/>
      </w:pPr>
      <w:r>
        <w:t>No. 7, 2002</w:t>
      </w:r>
    </w:p>
    <w:p w:rsidR="0060045C" w:rsidRDefault="0060045C"/>
    <w:p w:rsidR="0060045C" w:rsidRDefault="0060045C"/>
    <w:p w:rsidR="0060045C" w:rsidRDefault="0060045C"/>
    <w:p w:rsidR="0060045C" w:rsidRDefault="0060045C"/>
    <w:p w:rsidR="0060045C" w:rsidRDefault="0060045C"/>
    <w:p w:rsidR="0060045C" w:rsidRDefault="00633573">
      <w:pPr>
        <w:pStyle w:val="LongT"/>
      </w:pPr>
      <w:r>
        <w:t xml:space="preserve">An Act to amend the </w:t>
      </w:r>
      <w:r>
        <w:rPr>
          <w:i/>
          <w:iCs/>
        </w:rPr>
        <w:t>Radiocommunications (Transmitter Licence Tax) Act 1983</w:t>
      </w:r>
      <w:r>
        <w:t>, and for related purposes</w:t>
      </w:r>
    </w:p>
    <w:p w:rsidR="0060045C" w:rsidRDefault="00633573">
      <w:pPr>
        <w:pStyle w:val="Header"/>
      </w:pPr>
      <w:r>
        <w:rPr>
          <w:rStyle w:val="CharAmSchNo"/>
        </w:rPr>
        <w:t xml:space="preserve"> </w:t>
      </w:r>
      <w:r>
        <w:rPr>
          <w:rStyle w:val="CharAmSchText"/>
        </w:rPr>
        <w:t xml:space="preserve"> </w:t>
      </w:r>
    </w:p>
    <w:p w:rsidR="0060045C" w:rsidRDefault="00633573">
      <w:pPr>
        <w:pStyle w:val="Header"/>
      </w:pPr>
      <w:r>
        <w:rPr>
          <w:rStyle w:val="CharAmPartNo"/>
        </w:rPr>
        <w:t xml:space="preserve"> </w:t>
      </w:r>
      <w:r>
        <w:rPr>
          <w:rStyle w:val="CharAmPartText"/>
        </w:rPr>
        <w:t xml:space="preserve"> </w:t>
      </w:r>
    </w:p>
    <w:p w:rsidR="0060045C" w:rsidRDefault="0060045C">
      <w:pPr>
        <w:sectPr w:rsidR="0060045C">
          <w:pgSz w:w="11906" w:h="16838" w:code="9"/>
          <w:pgMar w:top="1418" w:right="2410" w:bottom="4252" w:left="2410" w:header="709" w:footer="3402" w:gutter="0"/>
          <w:cols w:space="709"/>
        </w:sectPr>
      </w:pPr>
    </w:p>
    <w:p w:rsidR="0060045C" w:rsidRDefault="00633573">
      <w:pPr>
        <w:pStyle w:val="Contents"/>
      </w:pPr>
      <w:r>
        <w:lastRenderedPageBreak/>
        <w:t>Contents</w:t>
      </w:r>
    </w:p>
    <w:p w:rsidR="0060045C" w:rsidRDefault="00633573">
      <w:pPr>
        <w:pStyle w:val="TOC5"/>
        <w:rPr>
          <w:noProof/>
        </w:rPr>
      </w:pPr>
      <w:r>
        <w:fldChar w:fldCharType="begin"/>
      </w:r>
      <w:r>
        <w:instrText xml:space="preserve"> TOC \o "1-9" \t "Heading 1,2,Heading 2,2,Heading 3,3,Heading 4,4,Heading 5,5, Schedule,2, Schedule Text,3, NotesSection,6" </w:instrText>
      </w:r>
      <w:r>
        <w:fldChar w:fldCharType="separate"/>
      </w:r>
      <w:r>
        <w:rPr>
          <w:noProof/>
        </w:rPr>
        <w:t>1</w:t>
      </w:r>
      <w:r>
        <w:rPr>
          <w:noProof/>
        </w:rPr>
        <w:tab/>
        <w:t>Short title</w:t>
      </w:r>
      <w:r>
        <w:rPr>
          <w:noProof/>
        </w:rPr>
        <w:tab/>
      </w:r>
      <w:r>
        <w:rPr>
          <w:noProof/>
        </w:rPr>
        <w:fldChar w:fldCharType="begin"/>
      </w:r>
      <w:r>
        <w:rPr>
          <w:noProof/>
        </w:rPr>
        <w:instrText xml:space="preserve"> PAGEREF _Toc6297649 \h </w:instrText>
      </w:r>
      <w:r>
        <w:rPr>
          <w:noProof/>
        </w:rPr>
      </w:r>
      <w:r>
        <w:rPr>
          <w:noProof/>
        </w:rPr>
        <w:fldChar w:fldCharType="separate"/>
      </w:r>
      <w:r>
        <w:rPr>
          <w:noProof/>
        </w:rPr>
        <w:t>2</w:t>
      </w:r>
      <w:r>
        <w:rPr>
          <w:noProof/>
        </w:rPr>
        <w:fldChar w:fldCharType="end"/>
      </w:r>
    </w:p>
    <w:p w:rsidR="0060045C" w:rsidRDefault="00633573">
      <w:pPr>
        <w:pStyle w:val="TOC5"/>
        <w:rPr>
          <w:noProof/>
        </w:rPr>
      </w:pPr>
      <w:r>
        <w:rPr>
          <w:noProof/>
        </w:rPr>
        <w:t>2</w:t>
      </w:r>
      <w:r>
        <w:rPr>
          <w:noProof/>
        </w:rPr>
        <w:tab/>
        <w:t>Commencement</w:t>
      </w:r>
      <w:r>
        <w:rPr>
          <w:noProof/>
        </w:rPr>
        <w:tab/>
      </w:r>
      <w:r>
        <w:rPr>
          <w:noProof/>
        </w:rPr>
        <w:fldChar w:fldCharType="begin"/>
      </w:r>
      <w:r>
        <w:rPr>
          <w:noProof/>
        </w:rPr>
        <w:instrText xml:space="preserve"> PAGEREF _Toc6297650 \h </w:instrText>
      </w:r>
      <w:r>
        <w:rPr>
          <w:noProof/>
        </w:rPr>
      </w:r>
      <w:r>
        <w:rPr>
          <w:noProof/>
        </w:rPr>
        <w:fldChar w:fldCharType="separate"/>
      </w:r>
      <w:r>
        <w:rPr>
          <w:noProof/>
        </w:rPr>
        <w:t>2</w:t>
      </w:r>
      <w:r>
        <w:rPr>
          <w:noProof/>
        </w:rPr>
        <w:fldChar w:fldCharType="end"/>
      </w:r>
    </w:p>
    <w:p w:rsidR="0060045C" w:rsidRDefault="00633573">
      <w:pPr>
        <w:pStyle w:val="TOC5"/>
        <w:rPr>
          <w:noProof/>
        </w:rPr>
      </w:pPr>
      <w:r>
        <w:rPr>
          <w:noProof/>
        </w:rPr>
        <w:t>3</w:t>
      </w:r>
      <w:r>
        <w:rPr>
          <w:noProof/>
        </w:rPr>
        <w:tab/>
        <w:t>Schedule(s)</w:t>
      </w:r>
      <w:r>
        <w:rPr>
          <w:noProof/>
        </w:rPr>
        <w:tab/>
      </w:r>
      <w:r>
        <w:rPr>
          <w:noProof/>
        </w:rPr>
        <w:fldChar w:fldCharType="begin"/>
      </w:r>
      <w:r>
        <w:rPr>
          <w:noProof/>
        </w:rPr>
        <w:instrText xml:space="preserve"> PAGEREF _Toc6297651 \h </w:instrText>
      </w:r>
      <w:r>
        <w:rPr>
          <w:noProof/>
        </w:rPr>
      </w:r>
      <w:r>
        <w:rPr>
          <w:noProof/>
        </w:rPr>
        <w:fldChar w:fldCharType="separate"/>
      </w:r>
      <w:r>
        <w:rPr>
          <w:noProof/>
        </w:rPr>
        <w:t>3</w:t>
      </w:r>
      <w:r>
        <w:rPr>
          <w:noProof/>
        </w:rPr>
        <w:fldChar w:fldCharType="end"/>
      </w:r>
    </w:p>
    <w:p w:rsidR="0060045C" w:rsidRDefault="00633573">
      <w:pPr>
        <w:pStyle w:val="TOC6"/>
        <w:rPr>
          <w:noProof/>
        </w:rPr>
      </w:pPr>
      <w:r>
        <w:rPr>
          <w:noProof/>
        </w:rPr>
        <w:t>Schedule 1—Radiocommunications (Transmitter Licence Tax) Act 1983</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_Toc6297652 \h </w:instrText>
      </w:r>
      <w:r>
        <w:rPr>
          <w:b w:val="0"/>
          <w:bCs w:val="0"/>
          <w:noProof/>
          <w:sz w:val="18"/>
          <w:szCs w:val="18"/>
        </w:rPr>
      </w:r>
      <w:r>
        <w:rPr>
          <w:b w:val="0"/>
          <w:bCs w:val="0"/>
          <w:noProof/>
          <w:sz w:val="18"/>
          <w:szCs w:val="18"/>
        </w:rPr>
        <w:fldChar w:fldCharType="separate"/>
      </w:r>
      <w:r>
        <w:rPr>
          <w:b w:val="0"/>
          <w:bCs w:val="0"/>
          <w:noProof/>
          <w:sz w:val="18"/>
          <w:szCs w:val="18"/>
        </w:rPr>
        <w:t>4</w:t>
      </w:r>
      <w:r>
        <w:rPr>
          <w:b w:val="0"/>
          <w:bCs w:val="0"/>
          <w:noProof/>
          <w:sz w:val="18"/>
          <w:szCs w:val="18"/>
        </w:rPr>
        <w:fldChar w:fldCharType="end"/>
      </w:r>
    </w:p>
    <w:p w:rsidR="0060045C" w:rsidRDefault="00633573">
      <w:r>
        <w:fldChar w:fldCharType="end"/>
      </w:r>
    </w:p>
    <w:p w:rsidR="0060045C" w:rsidRDefault="0060045C">
      <w:pPr>
        <w:sectPr w:rsidR="0060045C">
          <w:headerReference w:type="even" r:id="rId8"/>
          <w:headerReference w:type="default" r:id="rId9"/>
          <w:footerReference w:type="even" r:id="rId10"/>
          <w:footerReference w:type="default" r:id="rId11"/>
          <w:pgSz w:w="11906" w:h="16838" w:code="9"/>
          <w:pgMar w:top="2381" w:right="2410" w:bottom="4252" w:left="2410" w:header="709" w:footer="3402" w:gutter="0"/>
          <w:pgNumType w:fmt="lowerRoman" w:start="1"/>
          <w:cols w:space="709"/>
        </w:sectPr>
      </w:pPr>
    </w:p>
    <w:p w:rsidR="0060045C" w:rsidRDefault="00921A23">
      <w:r>
        <w:rPr>
          <w:noProof/>
          <w:sz w:val="20"/>
          <w:szCs w:val="20"/>
        </w:rPr>
        <w:lastRenderedPageBreak/>
        <w:drawing>
          <wp:inline distT="0" distB="0" distL="0" distR="0" wp14:anchorId="1D241ADD" wp14:editId="0D274C28">
            <wp:extent cx="1447800" cy="10668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60045C" w:rsidRDefault="0060045C">
      <w:pPr>
        <w:spacing w:line="240" w:lineRule="auto"/>
      </w:pPr>
    </w:p>
    <w:p w:rsidR="0060045C" w:rsidRDefault="00633573">
      <w:pPr>
        <w:pStyle w:val="ShortTP1"/>
      </w:pPr>
      <w:r>
        <w:fldChar w:fldCharType="begin"/>
      </w:r>
      <w:r>
        <w:instrText xml:space="preserve"> STYLEREF ShortT </w:instrText>
      </w:r>
      <w:r>
        <w:fldChar w:fldCharType="separate"/>
      </w:r>
      <w:r>
        <w:rPr>
          <w:noProof/>
        </w:rPr>
        <w:t>Radiocommunications (Transmitter Licence Tax) Amendment Act 2002</w:t>
      </w:r>
      <w:r>
        <w:fldChar w:fldCharType="end"/>
      </w:r>
    </w:p>
    <w:p w:rsidR="0060045C" w:rsidRDefault="00633573">
      <w:pPr>
        <w:pStyle w:val="ActNoP1"/>
      </w:pPr>
      <w:r>
        <w:fldChar w:fldCharType="begin"/>
      </w:r>
      <w:r>
        <w:instrText xml:space="preserve"> STYLEREF Actno </w:instrText>
      </w:r>
      <w:r>
        <w:fldChar w:fldCharType="separate"/>
      </w:r>
      <w:r>
        <w:rPr>
          <w:noProof/>
        </w:rPr>
        <w:t>No. 7, 2002</w:t>
      </w:r>
      <w:r>
        <w:fldChar w:fldCharType="end"/>
      </w:r>
      <w:bookmarkStart w:id="0" w:name="_GoBack"/>
      <w:bookmarkEnd w:id="0"/>
    </w:p>
    <w:p w:rsidR="0060045C" w:rsidRDefault="0060045C">
      <w:pPr>
        <w:pStyle w:val="p1LinesBef"/>
      </w:pPr>
    </w:p>
    <w:p w:rsidR="0060045C" w:rsidRDefault="0060045C">
      <w:pPr>
        <w:spacing w:line="40" w:lineRule="exact"/>
        <w:rPr>
          <w:b/>
          <w:bCs/>
          <w:sz w:val="28"/>
          <w:szCs w:val="28"/>
        </w:rPr>
      </w:pPr>
    </w:p>
    <w:p w:rsidR="0060045C" w:rsidRDefault="0060045C">
      <w:pPr>
        <w:pStyle w:val="p1LinesAfter"/>
      </w:pPr>
    </w:p>
    <w:p w:rsidR="0060045C" w:rsidRDefault="00633573">
      <w:pPr>
        <w:pStyle w:val="Page1"/>
      </w:pPr>
      <w:r>
        <w:lastRenderedPageBreak/>
        <w:t xml:space="preserve">An Act to amend the </w:t>
      </w:r>
      <w:r>
        <w:rPr>
          <w:i/>
          <w:iCs/>
        </w:rPr>
        <w:t>Radiocommunications (Transmitter Licence Tax) Act 1983</w:t>
      </w:r>
      <w:r>
        <w:t>, and for related purposes</w:t>
      </w:r>
    </w:p>
    <w:p w:rsidR="0060045C" w:rsidRDefault="00633573">
      <w:pPr>
        <w:pStyle w:val="AssentDt"/>
        <w:spacing w:before="240"/>
        <w:rPr>
          <w:sz w:val="24"/>
          <w:szCs w:val="24"/>
        </w:rPr>
      </w:pPr>
      <w:r>
        <w:rPr>
          <w:sz w:val="24"/>
          <w:szCs w:val="24"/>
        </w:rPr>
        <w:t>[</w:t>
      </w:r>
      <w:r>
        <w:rPr>
          <w:i/>
          <w:iCs/>
          <w:sz w:val="24"/>
          <w:szCs w:val="24"/>
        </w:rPr>
        <w:t>Assented to 4 April 2002</w:t>
      </w:r>
      <w:r>
        <w:rPr>
          <w:sz w:val="24"/>
          <w:szCs w:val="24"/>
        </w:rPr>
        <w:t>]</w:t>
      </w:r>
    </w:p>
    <w:p w:rsidR="0060045C" w:rsidRDefault="00633573">
      <w:pPr>
        <w:spacing w:before="240" w:line="240" w:lineRule="auto"/>
        <w:rPr>
          <w:sz w:val="32"/>
          <w:szCs w:val="32"/>
        </w:rPr>
      </w:pPr>
      <w:r>
        <w:rPr>
          <w:sz w:val="32"/>
          <w:szCs w:val="32"/>
        </w:rPr>
        <w:t>The Parliament of Australia enacts:</w:t>
      </w:r>
    </w:p>
    <w:p w:rsidR="0060045C" w:rsidRDefault="00633573">
      <w:pPr>
        <w:pStyle w:val="Heading5"/>
      </w:pPr>
      <w:bookmarkStart w:id="1" w:name="_Toc6297645"/>
      <w:bookmarkStart w:id="2" w:name="_Toc6297649"/>
      <w:r>
        <w:rPr>
          <w:rStyle w:val="CharSectno"/>
        </w:rPr>
        <w:t>1</w:t>
      </w:r>
      <w:r>
        <w:t xml:space="preserve">  </w:t>
      </w:r>
      <w:bookmarkStart w:id="3" w:name="String1Start"/>
      <w:bookmarkStart w:id="4" w:name="String1"/>
      <w:bookmarkEnd w:id="3"/>
      <w:r>
        <w:t>Short title</w:t>
      </w:r>
      <w:bookmarkStart w:id="5" w:name="String1End"/>
      <w:bookmarkEnd w:id="4"/>
      <w:bookmarkEnd w:id="5"/>
      <w:bookmarkEnd w:id="1"/>
      <w:bookmarkEnd w:id="2"/>
    </w:p>
    <w:p w:rsidR="0060045C" w:rsidRDefault="00633573">
      <w:pPr>
        <w:pStyle w:val="subsection"/>
      </w:pPr>
      <w:r>
        <w:tab/>
      </w:r>
      <w:r>
        <w:tab/>
        <w:t xml:space="preserve">This Act may be cited as the </w:t>
      </w:r>
      <w:r>
        <w:rPr>
          <w:i/>
          <w:iCs/>
        </w:rPr>
        <w:t>Radiocommunications (Transmitter Licence Tax) Amendment Act 2002</w:t>
      </w:r>
      <w:r>
        <w:t>.</w:t>
      </w:r>
    </w:p>
    <w:p w:rsidR="0060045C" w:rsidRDefault="00633573">
      <w:pPr>
        <w:pStyle w:val="Heading5"/>
      </w:pPr>
      <w:bookmarkStart w:id="6" w:name="_Toc6297646"/>
      <w:bookmarkStart w:id="7" w:name="_Toc6297650"/>
      <w:r>
        <w:rPr>
          <w:rStyle w:val="CharSectno"/>
        </w:rPr>
        <w:t>2</w:t>
      </w:r>
      <w:r>
        <w:t xml:space="preserve">  Commencement</w:t>
      </w:r>
      <w:bookmarkEnd w:id="6"/>
      <w:bookmarkEnd w:id="7"/>
    </w:p>
    <w:p w:rsidR="0060045C" w:rsidRDefault="00633573">
      <w:pPr>
        <w:pStyle w:val="subsection"/>
      </w:pPr>
      <w:r>
        <w:tab/>
        <w:t>(1)</w:t>
      </w:r>
      <w:r>
        <w:tab/>
        <w:t>Each provision of this Act specified in column 1 of the table commences, or is taken to have commenced, on the day or at the time specified in column 2 of the table.</w:t>
      </w:r>
    </w:p>
    <w:p w:rsidR="0060045C" w:rsidRDefault="0060045C"/>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0045C">
        <w:trPr>
          <w:cantSplit/>
          <w:tblHeader/>
        </w:trPr>
        <w:tc>
          <w:tcPr>
            <w:tcW w:w="7111" w:type="dxa"/>
            <w:gridSpan w:val="3"/>
            <w:tcBorders>
              <w:top w:val="single" w:sz="12" w:space="0" w:color="auto"/>
              <w:left w:val="nil"/>
              <w:bottom w:val="nil"/>
              <w:right w:val="nil"/>
            </w:tcBorders>
          </w:tcPr>
          <w:p w:rsidR="0060045C" w:rsidRDefault="00633573">
            <w:pPr>
              <w:pStyle w:val="Tabletext"/>
              <w:keepNext/>
              <w:rPr>
                <w:b/>
                <w:bCs/>
              </w:rPr>
            </w:pPr>
            <w:r>
              <w:rPr>
                <w:b/>
                <w:bCs/>
              </w:rPr>
              <w:t>Commencement information</w:t>
            </w:r>
          </w:p>
        </w:tc>
      </w:tr>
      <w:tr w:rsidR="0060045C">
        <w:trPr>
          <w:cantSplit/>
          <w:tblHeader/>
        </w:trPr>
        <w:tc>
          <w:tcPr>
            <w:tcW w:w="1701" w:type="dxa"/>
            <w:tcBorders>
              <w:top w:val="single" w:sz="6" w:space="0" w:color="auto"/>
              <w:left w:val="nil"/>
              <w:right w:val="nil"/>
            </w:tcBorders>
          </w:tcPr>
          <w:p w:rsidR="0060045C" w:rsidRDefault="00633573">
            <w:pPr>
              <w:pStyle w:val="Tabletext"/>
              <w:keepNext/>
              <w:rPr>
                <w:b/>
                <w:bCs/>
              </w:rPr>
            </w:pPr>
            <w:r>
              <w:rPr>
                <w:b/>
                <w:bCs/>
              </w:rPr>
              <w:t>Column 1</w:t>
            </w:r>
          </w:p>
        </w:tc>
        <w:tc>
          <w:tcPr>
            <w:tcW w:w="3828" w:type="dxa"/>
            <w:tcBorders>
              <w:top w:val="single" w:sz="6" w:space="0" w:color="auto"/>
              <w:left w:val="nil"/>
              <w:right w:val="nil"/>
            </w:tcBorders>
          </w:tcPr>
          <w:p w:rsidR="0060045C" w:rsidRDefault="00633573">
            <w:pPr>
              <w:pStyle w:val="Tabletext"/>
              <w:keepNext/>
              <w:rPr>
                <w:b/>
                <w:bCs/>
              </w:rPr>
            </w:pPr>
            <w:r>
              <w:rPr>
                <w:b/>
                <w:bCs/>
              </w:rPr>
              <w:t>Column 2</w:t>
            </w:r>
          </w:p>
        </w:tc>
        <w:tc>
          <w:tcPr>
            <w:tcW w:w="1582" w:type="dxa"/>
            <w:tcBorders>
              <w:top w:val="single" w:sz="6" w:space="0" w:color="auto"/>
              <w:left w:val="nil"/>
              <w:right w:val="nil"/>
            </w:tcBorders>
          </w:tcPr>
          <w:p w:rsidR="0060045C" w:rsidRDefault="00633573">
            <w:pPr>
              <w:pStyle w:val="Tabletext"/>
              <w:keepNext/>
              <w:rPr>
                <w:b/>
                <w:bCs/>
              </w:rPr>
            </w:pPr>
            <w:r>
              <w:rPr>
                <w:b/>
                <w:bCs/>
              </w:rPr>
              <w:t>Column 3</w:t>
            </w:r>
          </w:p>
        </w:tc>
      </w:tr>
      <w:tr w:rsidR="0060045C">
        <w:trPr>
          <w:cantSplit/>
          <w:tblHeader/>
        </w:trPr>
        <w:tc>
          <w:tcPr>
            <w:tcW w:w="1701" w:type="dxa"/>
            <w:tcBorders>
              <w:top w:val="nil"/>
              <w:left w:val="nil"/>
              <w:bottom w:val="single" w:sz="12" w:space="0" w:color="auto"/>
              <w:right w:val="nil"/>
            </w:tcBorders>
          </w:tcPr>
          <w:p w:rsidR="0060045C" w:rsidRDefault="00633573">
            <w:pPr>
              <w:pStyle w:val="Tabletext"/>
              <w:keepNext/>
              <w:rPr>
                <w:b/>
                <w:bCs/>
              </w:rPr>
            </w:pPr>
            <w:r>
              <w:rPr>
                <w:b/>
                <w:bCs/>
              </w:rPr>
              <w:t>Provision(s)</w:t>
            </w:r>
          </w:p>
        </w:tc>
        <w:tc>
          <w:tcPr>
            <w:tcW w:w="3828" w:type="dxa"/>
            <w:tcBorders>
              <w:top w:val="nil"/>
              <w:left w:val="nil"/>
              <w:bottom w:val="single" w:sz="12" w:space="0" w:color="auto"/>
              <w:right w:val="nil"/>
            </w:tcBorders>
          </w:tcPr>
          <w:p w:rsidR="0060045C" w:rsidRDefault="00633573">
            <w:pPr>
              <w:pStyle w:val="Tabletext"/>
              <w:keepNext/>
              <w:rPr>
                <w:b/>
                <w:bCs/>
              </w:rPr>
            </w:pPr>
            <w:r>
              <w:rPr>
                <w:b/>
                <w:bCs/>
              </w:rPr>
              <w:t>Commencement</w:t>
            </w:r>
          </w:p>
        </w:tc>
        <w:tc>
          <w:tcPr>
            <w:tcW w:w="1582" w:type="dxa"/>
            <w:tcBorders>
              <w:top w:val="nil"/>
              <w:left w:val="nil"/>
              <w:bottom w:val="single" w:sz="12" w:space="0" w:color="auto"/>
              <w:right w:val="nil"/>
            </w:tcBorders>
          </w:tcPr>
          <w:p w:rsidR="0060045C" w:rsidRDefault="00633573">
            <w:pPr>
              <w:pStyle w:val="Tabletext"/>
              <w:keepNext/>
              <w:rPr>
                <w:b/>
                <w:bCs/>
              </w:rPr>
            </w:pPr>
            <w:r>
              <w:rPr>
                <w:b/>
                <w:bCs/>
              </w:rPr>
              <w:t>Date/Details</w:t>
            </w:r>
          </w:p>
        </w:tc>
      </w:tr>
      <w:tr w:rsidR="0060045C">
        <w:trPr>
          <w:cantSplit/>
        </w:trPr>
        <w:tc>
          <w:tcPr>
            <w:tcW w:w="1701" w:type="dxa"/>
            <w:tcBorders>
              <w:top w:val="nil"/>
              <w:left w:val="nil"/>
              <w:bottom w:val="dotted" w:sz="6" w:space="0" w:color="auto"/>
              <w:right w:val="nil"/>
            </w:tcBorders>
          </w:tcPr>
          <w:p w:rsidR="0060045C" w:rsidRDefault="00633573">
            <w:pPr>
              <w:pStyle w:val="Tabletext"/>
            </w:pPr>
            <w:r>
              <w:t>1.  Sections 1 to 3 and anything in this Act not elsewhere covered by this table</w:t>
            </w:r>
          </w:p>
        </w:tc>
        <w:tc>
          <w:tcPr>
            <w:tcW w:w="3828" w:type="dxa"/>
            <w:tcBorders>
              <w:top w:val="nil"/>
              <w:left w:val="nil"/>
              <w:bottom w:val="dotted" w:sz="6" w:space="0" w:color="auto"/>
              <w:right w:val="nil"/>
            </w:tcBorders>
          </w:tcPr>
          <w:p w:rsidR="0060045C" w:rsidRDefault="00633573">
            <w:pPr>
              <w:pStyle w:val="Tabletext"/>
            </w:pPr>
            <w:r>
              <w:t>The day on which this Act receives the Royal Assent</w:t>
            </w:r>
          </w:p>
        </w:tc>
        <w:tc>
          <w:tcPr>
            <w:tcW w:w="1582" w:type="dxa"/>
            <w:tcBorders>
              <w:top w:val="nil"/>
              <w:left w:val="nil"/>
              <w:bottom w:val="dotted" w:sz="6" w:space="0" w:color="auto"/>
              <w:right w:val="nil"/>
            </w:tcBorders>
          </w:tcPr>
          <w:p w:rsidR="0060045C" w:rsidRDefault="00633573">
            <w:pPr>
              <w:pStyle w:val="Tabletext"/>
            </w:pPr>
            <w:r>
              <w:t>4 April 2002</w:t>
            </w:r>
          </w:p>
        </w:tc>
      </w:tr>
      <w:tr w:rsidR="0060045C">
        <w:trPr>
          <w:cantSplit/>
        </w:trPr>
        <w:tc>
          <w:tcPr>
            <w:tcW w:w="1701" w:type="dxa"/>
            <w:tcBorders>
              <w:top w:val="dotted" w:sz="6" w:space="0" w:color="auto"/>
              <w:left w:val="nil"/>
              <w:bottom w:val="dotted" w:sz="6" w:space="0" w:color="auto"/>
              <w:right w:val="nil"/>
            </w:tcBorders>
          </w:tcPr>
          <w:p w:rsidR="0060045C" w:rsidRDefault="00633573">
            <w:pPr>
              <w:pStyle w:val="Tabletext"/>
            </w:pPr>
            <w:r>
              <w:t>2.  Schedule 1, item 1</w:t>
            </w:r>
          </w:p>
        </w:tc>
        <w:tc>
          <w:tcPr>
            <w:tcW w:w="3828" w:type="dxa"/>
            <w:tcBorders>
              <w:top w:val="dotted" w:sz="6" w:space="0" w:color="auto"/>
              <w:left w:val="nil"/>
              <w:bottom w:val="dotted" w:sz="6" w:space="0" w:color="auto"/>
              <w:right w:val="nil"/>
            </w:tcBorders>
          </w:tcPr>
          <w:p w:rsidR="0060045C" w:rsidRDefault="00633573">
            <w:pPr>
              <w:pStyle w:val="Tabletext"/>
            </w:pPr>
            <w:r>
              <w:t>29 March 1996</w:t>
            </w:r>
          </w:p>
        </w:tc>
        <w:tc>
          <w:tcPr>
            <w:tcW w:w="1582" w:type="dxa"/>
            <w:tcBorders>
              <w:top w:val="dotted" w:sz="6" w:space="0" w:color="auto"/>
              <w:left w:val="nil"/>
              <w:bottom w:val="dotted" w:sz="6" w:space="0" w:color="auto"/>
              <w:right w:val="nil"/>
            </w:tcBorders>
          </w:tcPr>
          <w:p w:rsidR="0060045C" w:rsidRDefault="00633573">
            <w:pPr>
              <w:pStyle w:val="Tabletext"/>
            </w:pPr>
            <w:r>
              <w:t>29 March 1996</w:t>
            </w:r>
          </w:p>
        </w:tc>
      </w:tr>
      <w:tr w:rsidR="0060045C">
        <w:trPr>
          <w:cantSplit/>
        </w:trPr>
        <w:tc>
          <w:tcPr>
            <w:tcW w:w="1701" w:type="dxa"/>
            <w:tcBorders>
              <w:top w:val="dotted" w:sz="6" w:space="0" w:color="auto"/>
              <w:left w:val="nil"/>
              <w:bottom w:val="single" w:sz="12" w:space="0" w:color="auto"/>
              <w:right w:val="nil"/>
            </w:tcBorders>
          </w:tcPr>
          <w:p w:rsidR="0060045C" w:rsidRDefault="00633573">
            <w:pPr>
              <w:pStyle w:val="Tabletext"/>
            </w:pPr>
            <w:r>
              <w:t>3.  Schedule 1, item 2</w:t>
            </w:r>
          </w:p>
        </w:tc>
        <w:tc>
          <w:tcPr>
            <w:tcW w:w="3828" w:type="dxa"/>
            <w:tcBorders>
              <w:top w:val="dotted" w:sz="6" w:space="0" w:color="auto"/>
              <w:left w:val="nil"/>
              <w:bottom w:val="single" w:sz="12" w:space="0" w:color="auto"/>
              <w:right w:val="nil"/>
            </w:tcBorders>
          </w:tcPr>
          <w:p w:rsidR="0060045C" w:rsidRDefault="00633573">
            <w:pPr>
              <w:pStyle w:val="Tabletext"/>
            </w:pPr>
            <w:r>
              <w:t>The day on which this Act receives the Royal Assent</w:t>
            </w:r>
          </w:p>
        </w:tc>
        <w:tc>
          <w:tcPr>
            <w:tcW w:w="1582" w:type="dxa"/>
            <w:tcBorders>
              <w:top w:val="dotted" w:sz="6" w:space="0" w:color="auto"/>
              <w:left w:val="nil"/>
              <w:bottom w:val="single" w:sz="12" w:space="0" w:color="auto"/>
              <w:right w:val="nil"/>
            </w:tcBorders>
          </w:tcPr>
          <w:p w:rsidR="0060045C" w:rsidRDefault="00633573">
            <w:pPr>
              <w:pStyle w:val="Tabletext"/>
            </w:pPr>
            <w:r>
              <w:t>4 April 2002</w:t>
            </w:r>
          </w:p>
        </w:tc>
      </w:tr>
    </w:tbl>
    <w:p w:rsidR="0060045C" w:rsidRDefault="00633573">
      <w:pPr>
        <w:pStyle w:val="notetext"/>
      </w:pPr>
      <w:r>
        <w:t>Note:</w:t>
      </w:r>
      <w:r>
        <w:tab/>
        <w:t>This table relates only to the provisions of this Act as originally passed by the Parliament and assented to. It will not be expanded to deal with provisions inserted in this Act after assent.</w:t>
      </w:r>
    </w:p>
    <w:p w:rsidR="0060045C" w:rsidRDefault="00633573">
      <w:pPr>
        <w:pStyle w:val="subsection"/>
      </w:pPr>
      <w:r>
        <w:tab/>
        <w:t>(2)</w:t>
      </w:r>
      <w:r>
        <w:tab/>
        <w:t>Column 3 of the table is for additional information that is not part of this Act. This information may be included in any published version of this Act.</w:t>
      </w:r>
    </w:p>
    <w:p w:rsidR="0060045C" w:rsidRDefault="00633573">
      <w:pPr>
        <w:pStyle w:val="Heading5"/>
      </w:pPr>
      <w:bookmarkStart w:id="8" w:name="_Toc6297647"/>
      <w:bookmarkStart w:id="9" w:name="_Toc6297651"/>
      <w:r>
        <w:rPr>
          <w:rStyle w:val="CharSectno"/>
        </w:rPr>
        <w:lastRenderedPageBreak/>
        <w:t>3</w:t>
      </w:r>
      <w:r>
        <w:t xml:space="preserve">  Schedule(s)</w:t>
      </w:r>
      <w:bookmarkEnd w:id="8"/>
      <w:bookmarkEnd w:id="9"/>
    </w:p>
    <w:p w:rsidR="0060045C" w:rsidRDefault="00633573">
      <w:pPr>
        <w:pStyle w:val="subsection"/>
      </w:pPr>
      <w:r>
        <w:tab/>
      </w:r>
      <w:r>
        <w:tab/>
        <w:t>Each Act that is specified in a Schedule to this Act is amended or repealed as set out in the applicable items in the Schedule concerned, and any other item in a Schedule to this Act has effect according to its terms.</w:t>
      </w:r>
    </w:p>
    <w:p w:rsidR="0060045C" w:rsidRDefault="00633573">
      <w:pPr>
        <w:pStyle w:val="PageBreak"/>
      </w:pPr>
      <w:r>
        <w:br w:type="page"/>
      </w:r>
    </w:p>
    <w:p w:rsidR="0060045C" w:rsidRDefault="00633573">
      <w:pPr>
        <w:pStyle w:val="Heading6"/>
      </w:pPr>
      <w:bookmarkStart w:id="10" w:name="_Toc6297648"/>
      <w:bookmarkStart w:id="11" w:name="_Toc6297652"/>
      <w:bookmarkStart w:id="12" w:name="AmSched"/>
      <w:bookmarkStart w:id="13" w:name="CurrentFind"/>
      <w:r>
        <w:rPr>
          <w:rStyle w:val="CharAmSchNo"/>
        </w:rPr>
        <w:lastRenderedPageBreak/>
        <w:t>Schedule 1</w:t>
      </w:r>
      <w:r>
        <w:t>—</w:t>
      </w:r>
      <w:r>
        <w:rPr>
          <w:rStyle w:val="CharAmSchText"/>
        </w:rPr>
        <w:t>Radiocommunications (Transmitter Licence Tax) Act 1983</w:t>
      </w:r>
      <w:bookmarkEnd w:id="10"/>
      <w:bookmarkEnd w:id="11"/>
    </w:p>
    <w:bookmarkEnd w:id="12"/>
    <w:bookmarkEnd w:id="13"/>
    <w:p w:rsidR="0060045C" w:rsidRDefault="00633573">
      <w:pPr>
        <w:pStyle w:val="Header"/>
      </w:pPr>
      <w:r>
        <w:rPr>
          <w:rStyle w:val="CharAmPartNo"/>
        </w:rPr>
        <w:t xml:space="preserve"> </w:t>
      </w:r>
      <w:r>
        <w:rPr>
          <w:rStyle w:val="CharAmPartText"/>
        </w:rPr>
        <w:t xml:space="preserve"> </w:t>
      </w:r>
    </w:p>
    <w:p w:rsidR="0060045C" w:rsidRDefault="00633573">
      <w:pPr>
        <w:pStyle w:val="NewItem"/>
      </w:pPr>
      <w:r>
        <w:t>1  At the end of section 6</w:t>
      </w:r>
    </w:p>
    <w:p w:rsidR="0060045C" w:rsidRDefault="00633573">
      <w:pPr>
        <w:pStyle w:val="Item"/>
      </w:pPr>
      <w:r>
        <w:t>Add:</w:t>
      </w:r>
    </w:p>
    <w:p w:rsidR="0060045C" w:rsidRDefault="00633573">
      <w:pPr>
        <w:pStyle w:val="SubsectionHead"/>
      </w:pPr>
      <w:r>
        <w:t>Licences of more than 12 months where there is no application</w:t>
      </w:r>
    </w:p>
    <w:p w:rsidR="0060045C" w:rsidRDefault="00633573">
      <w:pPr>
        <w:pStyle w:val="subsection"/>
      </w:pPr>
      <w:r>
        <w:tab/>
        <w:t>(7)</w:t>
      </w:r>
      <w:r>
        <w:tab/>
        <w:t>If:</w:t>
      </w:r>
    </w:p>
    <w:p w:rsidR="0060045C" w:rsidRDefault="00633573">
      <w:pPr>
        <w:pStyle w:val="indenta"/>
      </w:pPr>
      <w:r>
        <w:tab/>
        <w:t>(a)</w:t>
      </w:r>
      <w:r>
        <w:tab/>
        <w:t>a person is issued a transmitter licence</w:t>
      </w:r>
      <w:r>
        <w:rPr>
          <w:i/>
          <w:iCs/>
        </w:rPr>
        <w:t xml:space="preserve"> </w:t>
      </w:r>
      <w:r>
        <w:t xml:space="preserve">for a period of more than 12 months under section 100B, 102 or 102A of the </w:t>
      </w:r>
      <w:r>
        <w:rPr>
          <w:i/>
          <w:iCs/>
        </w:rPr>
        <w:t>Radiocommunications Act 1992</w:t>
      </w:r>
      <w:r>
        <w:t>; and</w:t>
      </w:r>
    </w:p>
    <w:p w:rsidR="0060045C" w:rsidRDefault="00633573">
      <w:pPr>
        <w:pStyle w:val="indenta"/>
      </w:pPr>
      <w:r>
        <w:tab/>
        <w:t>(b)</w:t>
      </w:r>
      <w:r>
        <w:tab/>
        <w:t>before the licence is issued, the person makes an election under subsection (9) that this subsection is to apply;</w:t>
      </w:r>
    </w:p>
    <w:p w:rsidR="0060045C" w:rsidRDefault="00633573">
      <w:pPr>
        <w:pStyle w:val="subsection2"/>
      </w:pPr>
      <w:r>
        <w:t>tax is imposed on the issue of the licence for the period the licence is in force.</w:t>
      </w:r>
    </w:p>
    <w:p w:rsidR="0060045C" w:rsidRDefault="00633573">
      <w:pPr>
        <w:pStyle w:val="subsection"/>
      </w:pPr>
      <w:r>
        <w:tab/>
        <w:t>(8)</w:t>
      </w:r>
      <w:r>
        <w:tab/>
        <w:t>Subject to subsections (11) and (12), if:</w:t>
      </w:r>
    </w:p>
    <w:p w:rsidR="0060045C" w:rsidRDefault="00633573">
      <w:pPr>
        <w:pStyle w:val="indenta"/>
      </w:pPr>
      <w:r>
        <w:tab/>
        <w:t>(a)</w:t>
      </w:r>
      <w:r>
        <w:tab/>
        <w:t>a person is issued a transmitter licence</w:t>
      </w:r>
      <w:r>
        <w:rPr>
          <w:i/>
          <w:iCs/>
        </w:rPr>
        <w:t xml:space="preserve"> </w:t>
      </w:r>
      <w:r>
        <w:t xml:space="preserve">for a period of more than 12 months under section 100B, 102 or 102A of the </w:t>
      </w:r>
      <w:r>
        <w:rPr>
          <w:i/>
          <w:iCs/>
        </w:rPr>
        <w:t>Radiocommunications Act 1992</w:t>
      </w:r>
      <w:r>
        <w:t>; and</w:t>
      </w:r>
    </w:p>
    <w:p w:rsidR="0060045C" w:rsidRDefault="00633573">
      <w:pPr>
        <w:pStyle w:val="indenta"/>
      </w:pPr>
      <w:r>
        <w:tab/>
        <w:t>(b)</w:t>
      </w:r>
      <w:r>
        <w:tab/>
        <w:t>before the licence is issued, the person makes an election under subsection (9) that this subsection is to apply;</w:t>
      </w:r>
    </w:p>
    <w:p w:rsidR="0060045C" w:rsidRDefault="00633573">
      <w:pPr>
        <w:pStyle w:val="subsection2"/>
      </w:pPr>
      <w:r>
        <w:t>tax is imposed on:</w:t>
      </w:r>
    </w:p>
    <w:p w:rsidR="0060045C" w:rsidRDefault="00633573">
      <w:pPr>
        <w:pStyle w:val="indenta"/>
      </w:pPr>
      <w:r>
        <w:tab/>
        <w:t>(c)</w:t>
      </w:r>
      <w:r>
        <w:tab/>
        <w:t>the issue of the licence; and</w:t>
      </w:r>
    </w:p>
    <w:p w:rsidR="0060045C" w:rsidRDefault="00633573">
      <w:pPr>
        <w:pStyle w:val="indenta"/>
      </w:pPr>
      <w:r>
        <w:tab/>
        <w:t>(d)</w:t>
      </w:r>
      <w:r>
        <w:tab/>
        <w:t>each anniversary of the day the licence came into force occurring during the period the licence is in force.</w:t>
      </w:r>
    </w:p>
    <w:p w:rsidR="0060045C" w:rsidRDefault="00633573">
      <w:pPr>
        <w:pStyle w:val="subsection"/>
      </w:pPr>
      <w:r>
        <w:tab/>
        <w:t>(9)</w:t>
      </w:r>
      <w:r>
        <w:tab/>
        <w:t xml:space="preserve">Before a person is issued a transmitter licence under section 100B, 102 or 102A of the </w:t>
      </w:r>
      <w:r>
        <w:rPr>
          <w:i/>
          <w:iCs/>
        </w:rPr>
        <w:t>Radiocommunications Act 1992</w:t>
      </w:r>
      <w:r>
        <w:t xml:space="preserve"> for a period exceeding 12 months,</w:t>
      </w:r>
      <w:r>
        <w:rPr>
          <w:i/>
          <w:iCs/>
        </w:rPr>
        <w:t xml:space="preserve"> </w:t>
      </w:r>
      <w:r>
        <w:t>the person must elect, in the form approved in writing by the ACA, that either subsection (7) or (8) is to apply in respect of the transmitter licence.</w:t>
      </w:r>
    </w:p>
    <w:p w:rsidR="0060045C" w:rsidRDefault="00633573">
      <w:pPr>
        <w:pStyle w:val="subsection"/>
      </w:pPr>
      <w:r>
        <w:tab/>
        <w:t>(10)</w:t>
      </w:r>
      <w:r>
        <w:tab/>
        <w:t>However, for the purposes of this section, if the person does not make an election under subsection (9) before the transmitter licence is issued, the person is taken to have elected, before the licence is issued, that subsection (8) is to apply in respect of the licence.</w:t>
      </w:r>
    </w:p>
    <w:p w:rsidR="0060045C" w:rsidRDefault="00633573">
      <w:pPr>
        <w:pStyle w:val="subsection"/>
      </w:pPr>
      <w:r>
        <w:lastRenderedPageBreak/>
        <w:tab/>
        <w:t>(11)</w:t>
      </w:r>
      <w:r>
        <w:tab/>
        <w:t>If the holder of a transmitter licence:</w:t>
      </w:r>
    </w:p>
    <w:p w:rsidR="0060045C" w:rsidRDefault="00633573">
      <w:pPr>
        <w:pStyle w:val="indenta"/>
      </w:pPr>
      <w:r>
        <w:tab/>
        <w:t>(a)</w:t>
      </w:r>
      <w:r>
        <w:tab/>
        <w:t>before the licence is issued, elects that subsection (8) is to apply; and</w:t>
      </w:r>
    </w:p>
    <w:p w:rsidR="0060045C" w:rsidRDefault="00633573">
      <w:pPr>
        <w:pStyle w:val="indenta"/>
      </w:pPr>
      <w:r>
        <w:tab/>
        <w:t>(b)</w:t>
      </w:r>
      <w:r>
        <w:tab/>
        <w:t>subsequently notifies the ACA, in writing, at least 21 days before the next anniversary of the day the licence came into force that is more than 12 months before the end of the period that the licence is in force, that this subsection is to apply;</w:t>
      </w:r>
    </w:p>
    <w:p w:rsidR="0060045C" w:rsidRDefault="00633573">
      <w:pPr>
        <w:pStyle w:val="subsection2"/>
      </w:pPr>
      <w:r>
        <w:t>subsection (8) ceases to apply to the licence and tax is imposed on the holding of the licence on that anniversary.</w:t>
      </w:r>
    </w:p>
    <w:p w:rsidR="0060045C" w:rsidRDefault="00633573">
      <w:pPr>
        <w:pStyle w:val="subsection"/>
      </w:pPr>
      <w:r>
        <w:tab/>
        <w:t>(12)</w:t>
      </w:r>
      <w:r>
        <w:tab/>
        <w:t>If the holder of a transmitter licence:</w:t>
      </w:r>
    </w:p>
    <w:p w:rsidR="0060045C" w:rsidRDefault="00633573">
      <w:pPr>
        <w:pStyle w:val="indenta"/>
      </w:pPr>
      <w:r>
        <w:tab/>
        <w:t>(a)</w:t>
      </w:r>
      <w:r>
        <w:tab/>
        <w:t>before the licence is issued, elects that subsection (8) is to apply; and</w:t>
      </w:r>
    </w:p>
    <w:p w:rsidR="0060045C" w:rsidRDefault="00633573">
      <w:pPr>
        <w:pStyle w:val="indenta"/>
      </w:pPr>
      <w:r>
        <w:tab/>
        <w:t>(b)</w:t>
      </w:r>
      <w:r>
        <w:tab/>
        <w:t xml:space="preserve">fails to pay tax imposed on an anniversary of the day the licence came into force within 60 days after that anniversary (the </w:t>
      </w:r>
      <w:r>
        <w:rPr>
          <w:b/>
          <w:bCs/>
          <w:i/>
          <w:iCs/>
        </w:rPr>
        <w:t>60 day period</w:t>
      </w:r>
      <w:r>
        <w:t>);</w:t>
      </w:r>
    </w:p>
    <w:p w:rsidR="0060045C" w:rsidRDefault="00633573">
      <w:pPr>
        <w:pStyle w:val="subsection2"/>
      </w:pPr>
      <w:r>
        <w:t>subsection (8) ceases to apply the day after the end of the 60 day period and tax is imposed on the holding of the licence on that day.</w:t>
      </w:r>
    </w:p>
    <w:p w:rsidR="0060045C" w:rsidRDefault="00633573">
      <w:pPr>
        <w:pStyle w:val="notemargin"/>
      </w:pPr>
      <w:r>
        <w:t>Note 1:</w:t>
      </w:r>
      <w:r>
        <w:tab/>
        <w:t>The following heading to subsection 6(1) is inserted “</w:t>
      </w:r>
      <w:r>
        <w:rPr>
          <w:i/>
          <w:iCs/>
        </w:rPr>
        <w:t>Licences not exceeding 12 months</w:t>
      </w:r>
      <w:r>
        <w:t>”.</w:t>
      </w:r>
    </w:p>
    <w:p w:rsidR="0060045C" w:rsidRDefault="00633573">
      <w:pPr>
        <w:pStyle w:val="notemargin"/>
      </w:pPr>
      <w:r>
        <w:t>Note 2:</w:t>
      </w:r>
      <w:r>
        <w:tab/>
        <w:t>The following heading to subsection 6(2) is inserted “</w:t>
      </w:r>
      <w:r>
        <w:rPr>
          <w:i/>
          <w:iCs/>
        </w:rPr>
        <w:t>Licences of more than 12 months where there is an application</w:t>
      </w:r>
      <w:r>
        <w:t>”.</w:t>
      </w:r>
    </w:p>
    <w:p w:rsidR="0060045C" w:rsidRDefault="00633573">
      <w:pPr>
        <w:pStyle w:val="NewItem"/>
      </w:pPr>
      <w:r>
        <w:t>2  Transitional—deeming provisions for the transition from tax purportedly imposed on issued licences to tax actually imposed</w:t>
      </w:r>
    </w:p>
    <w:p w:rsidR="0060045C" w:rsidRDefault="00633573">
      <w:pPr>
        <w:pStyle w:val="SubitemHead"/>
      </w:pPr>
      <w:r>
        <w:t>Definitions</w:t>
      </w:r>
    </w:p>
    <w:p w:rsidR="0060045C" w:rsidRDefault="00633573">
      <w:pPr>
        <w:pStyle w:val="Subitem"/>
      </w:pPr>
      <w:r>
        <w:t>(1)</w:t>
      </w:r>
      <w:r>
        <w:tab/>
        <w:t>In this item:</w:t>
      </w:r>
    </w:p>
    <w:p w:rsidR="0060045C" w:rsidRDefault="00633573">
      <w:pPr>
        <w:pStyle w:val="Item"/>
      </w:pPr>
      <w:r>
        <w:rPr>
          <w:b/>
          <w:bCs/>
          <w:i/>
          <w:iCs/>
        </w:rPr>
        <w:t>issued licence</w:t>
      </w:r>
      <w:r>
        <w:t xml:space="preserve"> means a transmitter licence issued for a period of more than 12 months under section 100B, 102 or 102A of the </w:t>
      </w:r>
      <w:r>
        <w:rPr>
          <w:i/>
          <w:iCs/>
        </w:rPr>
        <w:t>Radiocommunications Act 1992</w:t>
      </w:r>
      <w:r>
        <w:t xml:space="preserve"> before this item commenced.</w:t>
      </w:r>
    </w:p>
    <w:p w:rsidR="0060045C" w:rsidRDefault="00633573">
      <w:pPr>
        <w:pStyle w:val="Item"/>
      </w:pPr>
      <w:r>
        <w:rPr>
          <w:b/>
          <w:bCs/>
          <w:i/>
          <w:iCs/>
        </w:rPr>
        <w:t xml:space="preserve">Licence Tax Act </w:t>
      </w:r>
      <w:r>
        <w:t xml:space="preserve">means the </w:t>
      </w:r>
      <w:r>
        <w:rPr>
          <w:i/>
          <w:iCs/>
        </w:rPr>
        <w:t>Radiocommunications (Transmitter Licence Tax) Act 1983</w:t>
      </w:r>
      <w:r>
        <w:t>.</w:t>
      </w:r>
    </w:p>
    <w:p w:rsidR="0060045C" w:rsidRDefault="00633573">
      <w:pPr>
        <w:pStyle w:val="SubitemHead"/>
      </w:pPr>
      <w:r>
        <w:t>Elections under subsection 6(9)</w:t>
      </w:r>
    </w:p>
    <w:p w:rsidR="0060045C" w:rsidRDefault="00633573">
      <w:pPr>
        <w:pStyle w:val="Subitem"/>
      </w:pPr>
      <w:r>
        <w:t>(2)</w:t>
      </w:r>
      <w:r>
        <w:tab/>
        <w:t>For the purposes of the Licence Tax Act:</w:t>
      </w:r>
    </w:p>
    <w:p w:rsidR="0060045C" w:rsidRDefault="00633573">
      <w:pPr>
        <w:pStyle w:val="indenta"/>
      </w:pPr>
      <w:r>
        <w:lastRenderedPageBreak/>
        <w:tab/>
        <w:t>(a)</w:t>
      </w:r>
      <w:r>
        <w:tab/>
        <w:t>a person who, before this item commenced, purportedly elected that subsection 6(2) of that Act is to apply to an issued licence, is taken instead to have elected at that time that subsection 6(7) is to apply to the licence; and</w:t>
      </w:r>
    </w:p>
    <w:p w:rsidR="0060045C" w:rsidRDefault="00633573">
      <w:pPr>
        <w:pStyle w:val="indenta"/>
      </w:pPr>
      <w:r>
        <w:tab/>
        <w:t>(b)</w:t>
      </w:r>
      <w:r>
        <w:tab/>
        <w:t>a person who, before this item commenced, purportedly elected that subsection 6(3) of that Act is to apply to an issued licence, is taken instead to have elected at that time that subsection 6(8) is to apply to the licence.</w:t>
      </w:r>
    </w:p>
    <w:p w:rsidR="0060045C" w:rsidRDefault="00633573">
      <w:pPr>
        <w:pStyle w:val="Item"/>
      </w:pPr>
      <w:r>
        <w:t>The election is taken to have been made in accordance with subsection 6(9) of the Licence Tax Act.</w:t>
      </w:r>
    </w:p>
    <w:p w:rsidR="0060045C" w:rsidRDefault="00633573">
      <w:pPr>
        <w:pStyle w:val="notemargin"/>
      </w:pPr>
      <w:r>
        <w:t>Note:</w:t>
      </w:r>
      <w:r>
        <w:tab/>
        <w:t>Tax is therefore imposed by subsection 6(7) or (8) of the Licence Tax Act depending on the deemed election of the person. Tax might also be imposed by subsection 6(11) of that Act if a person is taken to have notified the ACA that the subsection is to apply (see subitem (4) of this item) or by subsection 6(12) of the Licence Tax Act if a person failed to pay the tax within the 60 day period mentioned in that subsection.</w:t>
      </w:r>
    </w:p>
    <w:p w:rsidR="0060045C" w:rsidRDefault="00633573">
      <w:pPr>
        <w:pStyle w:val="SubitemHead"/>
      </w:pPr>
      <w:r>
        <w:t>Discharge of liability for previous payments</w:t>
      </w:r>
    </w:p>
    <w:p w:rsidR="0060045C" w:rsidRDefault="00633573">
      <w:pPr>
        <w:pStyle w:val="Subitem"/>
      </w:pPr>
      <w:r>
        <w:t>(3)</w:t>
      </w:r>
      <w:r>
        <w:tab/>
        <w:t>For the purposes of the Licence Tax Act, a person who, before this item commenced, paid an amount that purported to be a payment of tax imposed by subsection 6(2), (3), (5) or (6) of that Act in respect of an issued licence, is taken instead to have paid the equivalent tax imposed on the licence by subsection 6(7), (8), (11) or (12).</w:t>
      </w:r>
    </w:p>
    <w:p w:rsidR="0060045C" w:rsidRDefault="00633573">
      <w:pPr>
        <w:pStyle w:val="SubitemHead"/>
      </w:pPr>
      <w:r>
        <w:t>Notifications under subsection 6(11)</w:t>
      </w:r>
    </w:p>
    <w:p w:rsidR="0060045C" w:rsidRDefault="00633573">
      <w:pPr>
        <w:pStyle w:val="Subitem"/>
      </w:pPr>
      <w:r>
        <w:t>(4)</w:t>
      </w:r>
      <w:r>
        <w:tab/>
        <w:t>For the purposes of the Licence Tax Act, a person who, before this item commenced, purportedly notified the ACA in accordance with subsection 6(5) of that Act that that subsection is to apply to an issued licence, is taken instead to have notified the ACA at that time that subsection 6(11) is to apply to the licence.</w:t>
      </w:r>
    </w:p>
    <w:p w:rsidR="0060045C" w:rsidRDefault="00633573">
      <w:pPr>
        <w:pStyle w:val="SubitemHead"/>
      </w:pPr>
      <w:r>
        <w:t>Section 7 determinations</w:t>
      </w:r>
    </w:p>
    <w:p w:rsidR="0060045C" w:rsidRDefault="00633573">
      <w:pPr>
        <w:pStyle w:val="Subitem"/>
      </w:pPr>
      <w:r>
        <w:t>(5)</w:t>
      </w:r>
      <w:r>
        <w:tab/>
        <w:t>For the purposes of the Licence Tax Act, a determination under section 7 of that Act that was made before this item commenced is taken always to have had effect as if:</w:t>
      </w:r>
    </w:p>
    <w:p w:rsidR="0060045C" w:rsidRDefault="00633573">
      <w:pPr>
        <w:pStyle w:val="indenta"/>
      </w:pPr>
      <w:r>
        <w:tab/>
        <w:t>(a)</w:t>
      </w:r>
      <w:r>
        <w:tab/>
        <w:t>any reference in the determination to subsection 6(2) of that Act is taken also to include a reference to subsection 6(7); and</w:t>
      </w:r>
    </w:p>
    <w:p w:rsidR="0060045C" w:rsidRDefault="00633573">
      <w:pPr>
        <w:pStyle w:val="indenta"/>
      </w:pPr>
      <w:r>
        <w:lastRenderedPageBreak/>
        <w:tab/>
        <w:t>(b)</w:t>
      </w:r>
      <w:r>
        <w:tab/>
        <w:t>any reference in the determination to subsection 6(3) of that Act is taken also to include a reference to subsection 6(8); and</w:t>
      </w:r>
    </w:p>
    <w:p w:rsidR="0060045C" w:rsidRDefault="00633573">
      <w:pPr>
        <w:pStyle w:val="indenta"/>
      </w:pPr>
      <w:r>
        <w:tab/>
        <w:t>(c)</w:t>
      </w:r>
      <w:r>
        <w:tab/>
        <w:t>any reference in the determination to subsection 6(5) of that Act is taken also to include a reference to subsection 6(11); and</w:t>
      </w:r>
    </w:p>
    <w:p w:rsidR="0060045C" w:rsidRDefault="00633573">
      <w:pPr>
        <w:pStyle w:val="indenta"/>
      </w:pPr>
      <w:r>
        <w:tab/>
        <w:t>(d)</w:t>
      </w:r>
      <w:r>
        <w:tab/>
        <w:t>any reference in the determination to subsection 6(6) of that Act is taken also to include a reference to subsection 6(12).</w:t>
      </w:r>
    </w:p>
    <w:p w:rsidR="0060045C" w:rsidRDefault="0060045C">
      <w:pPr>
        <w:pStyle w:val="2ndRd"/>
        <w:keepNext/>
      </w:pPr>
    </w:p>
    <w:p w:rsidR="0060045C" w:rsidRDefault="0060045C">
      <w:pPr>
        <w:pStyle w:val="2ndRd"/>
        <w:keepNext/>
        <w:pBdr>
          <w:top w:val="single" w:sz="2" w:space="1" w:color="auto"/>
        </w:pBdr>
        <w:rPr>
          <w:sz w:val="24"/>
          <w:szCs w:val="24"/>
        </w:rPr>
      </w:pPr>
    </w:p>
    <w:p w:rsidR="0060045C" w:rsidRDefault="00633573">
      <w:pPr>
        <w:pStyle w:val="2ndRd"/>
        <w:keepNext/>
        <w:rPr>
          <w:i/>
          <w:iCs/>
          <w:sz w:val="24"/>
          <w:szCs w:val="24"/>
        </w:rPr>
      </w:pPr>
      <w:r>
        <w:rPr>
          <w:sz w:val="24"/>
          <w:szCs w:val="24"/>
        </w:rPr>
        <w:t>[</w:t>
      </w:r>
      <w:r>
        <w:rPr>
          <w:i/>
          <w:iCs/>
          <w:sz w:val="24"/>
          <w:szCs w:val="24"/>
        </w:rPr>
        <w:t>Minister’s second reading speech made in—</w:t>
      </w:r>
    </w:p>
    <w:p w:rsidR="0060045C" w:rsidRDefault="00633573">
      <w:pPr>
        <w:pStyle w:val="2ndRd"/>
        <w:keepNext/>
        <w:rPr>
          <w:i/>
          <w:iCs/>
          <w:sz w:val="24"/>
          <w:szCs w:val="24"/>
        </w:rPr>
      </w:pPr>
      <w:r>
        <w:rPr>
          <w:i/>
          <w:iCs/>
          <w:sz w:val="24"/>
          <w:szCs w:val="24"/>
        </w:rPr>
        <w:t>House of Representatives on 14 February 2002</w:t>
      </w:r>
    </w:p>
    <w:p w:rsidR="0060045C" w:rsidRDefault="00633573">
      <w:pPr>
        <w:pStyle w:val="2ndRd"/>
        <w:keepNext/>
        <w:rPr>
          <w:i/>
          <w:iCs/>
          <w:sz w:val="24"/>
          <w:szCs w:val="24"/>
        </w:rPr>
      </w:pPr>
      <w:r>
        <w:rPr>
          <w:i/>
          <w:iCs/>
          <w:sz w:val="24"/>
          <w:szCs w:val="24"/>
        </w:rPr>
        <w:t>Senate on 11 March 2002</w:t>
      </w:r>
      <w:r>
        <w:rPr>
          <w:sz w:val="24"/>
          <w:szCs w:val="24"/>
        </w:rPr>
        <w:t>]</w:t>
      </w:r>
    </w:p>
    <w:p w:rsidR="0060045C" w:rsidRDefault="0049536E">
      <w:pPr>
        <w:pStyle w:val="indenta"/>
      </w:pPr>
      <w:r>
        <w:rPr>
          <w:noProof/>
        </w:rPr>
        <mc:AlternateContent>
          <mc:Choice Requires="wps">
            <w:drawing>
              <wp:anchor distT="0" distB="0" distL="114300" distR="114300" simplePos="0" relativeHeight="251658240" behindDoc="0" locked="0" layoutInCell="0" allowOverlap="1">
                <wp:simplePos x="0" y="0"/>
                <wp:positionH relativeFrom="column">
                  <wp:posOffset>24130</wp:posOffset>
                </wp:positionH>
                <wp:positionV relativeFrom="paragraph">
                  <wp:posOffset>4326890</wp:posOffset>
                </wp:positionV>
                <wp:extent cx="720090" cy="35941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45C" w:rsidRDefault="00633573">
                            <w:r>
                              <w:t>(10/02)</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340.7pt;width:56.7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" o:allowincell="f" stroked="f">
                <v:textbox inset="5pt,5pt,5pt,5pt">
                  <w:txbxContent>
                    <w:p w:rsidR="00000000" w:rsidRDefault="00633573">
                      <w:r>
                        <w:t>(10/02)</w:t>
                      </w:r>
                    </w:p>
                  </w:txbxContent>
                </v:textbox>
                <w10:wrap type="topAndBottom"/>
              </v:shape>
            </w:pict>
          </mc:Fallback>
        </mc:AlternateContent>
      </w:r>
    </w:p>
    <w:sectPr w:rsidR="0060045C">
      <w:headerReference w:type="even" r:id="rId12"/>
      <w:headerReference w:type="default" r:id="rId13"/>
      <w:footerReference w:type="even" r:id="rId14"/>
      <w:footerReference w:type="default" r:id="rId15"/>
      <w:headerReference w:type="first" r:id="rId16"/>
      <w:footerReference w:type="first" r:id="rId17"/>
      <w:pgSz w:w="11906" w:h="16838" w:code="9"/>
      <w:pgMar w:top="1871" w:right="2410" w:bottom="4252" w:left="2410" w:header="709" w:footer="340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45C" w:rsidRDefault="00633573">
      <w:pPr>
        <w:spacing w:line="240" w:lineRule="auto"/>
      </w:pPr>
      <w:r>
        <w:separator/>
      </w:r>
    </w:p>
  </w:endnote>
  <w:endnote w:type="continuationSeparator" w:id="0">
    <w:p w:rsidR="0060045C" w:rsidRDefault="00633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top w:val="single" w:sz="6" w:space="1" w:color="auto"/>
      </w:pBdr>
      <w:rPr>
        <w:sz w:val="18"/>
        <w:szCs w:val="18"/>
      </w:rPr>
    </w:pPr>
  </w:p>
  <w:p w:rsidR="0060045C" w:rsidRDefault="0063357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Radiocommunications (Transmitter Licence Tax) Amendment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7,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ii</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top w:val="single" w:sz="6" w:space="1" w:color="auto"/>
      </w:pBdr>
      <w:rPr>
        <w:sz w:val="18"/>
        <w:szCs w:val="18"/>
      </w:rPr>
    </w:pPr>
  </w:p>
  <w:p w:rsidR="0060045C" w:rsidRDefault="0063357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921A23">
      <w:rPr>
        <w:i/>
        <w:iCs/>
        <w:noProof/>
        <w:sz w:val="18"/>
        <w:szCs w:val="18"/>
      </w:rPr>
      <w:t>Radiocommunications (Transmitter Licence Tax) Amendment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21A23">
      <w:rPr>
        <w:i/>
        <w:iCs/>
        <w:noProof/>
        <w:sz w:val="18"/>
        <w:szCs w:val="18"/>
      </w:rPr>
      <w:t>No. 7, 2002</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top w:val="single" w:sz="6" w:space="1" w:color="auto"/>
      </w:pBdr>
      <w:jc w:val="right"/>
      <w:rPr>
        <w:sz w:val="18"/>
        <w:szCs w:val="18"/>
      </w:rPr>
    </w:pPr>
  </w:p>
  <w:p w:rsidR="0060045C" w:rsidRDefault="0063357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6</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921A23">
      <w:rPr>
        <w:i/>
        <w:iCs/>
        <w:noProof/>
        <w:sz w:val="18"/>
        <w:szCs w:val="18"/>
      </w:rPr>
      <w:t>Radiocommunications (Transmitter Licence Tax) Amendment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21A23">
      <w:rPr>
        <w:i/>
        <w:iCs/>
        <w:noProof/>
        <w:sz w:val="18"/>
        <w:szCs w:val="18"/>
      </w:rPr>
      <w:t>No. 7, 2002</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top w:val="single" w:sz="6" w:space="1" w:color="auto"/>
      </w:pBdr>
      <w:rPr>
        <w:sz w:val="18"/>
        <w:szCs w:val="18"/>
      </w:rPr>
    </w:pPr>
  </w:p>
  <w:p w:rsidR="0060045C" w:rsidRDefault="0063357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21A23">
      <w:rPr>
        <w:i/>
        <w:iCs/>
        <w:noProof/>
        <w:sz w:val="18"/>
        <w:szCs w:val="18"/>
      </w:rPr>
      <w:t>Radiocommunications (Transmitter Licence Tax) Amendment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21A23">
      <w:rPr>
        <w:i/>
        <w:iCs/>
        <w:noProof/>
        <w:sz w:val="18"/>
        <w:szCs w:val="18"/>
      </w:rPr>
      <w:t>No. 7,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top w:val="single" w:sz="6" w:space="1" w:color="auto"/>
      </w:pBdr>
      <w:rPr>
        <w:sz w:val="18"/>
        <w:szCs w:val="18"/>
      </w:rPr>
    </w:pPr>
  </w:p>
  <w:p w:rsidR="0060045C" w:rsidRDefault="0063357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21A23">
      <w:rPr>
        <w:i/>
        <w:iCs/>
        <w:noProof/>
        <w:sz w:val="18"/>
        <w:szCs w:val="18"/>
      </w:rPr>
      <w:t>Radiocommunications (Transmitter Licence Tax) Amendment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21A23">
      <w:rPr>
        <w:i/>
        <w:iCs/>
        <w:noProof/>
        <w:sz w:val="18"/>
        <w:szCs w:val="18"/>
      </w:rPr>
      <w:t>No. 7,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45C" w:rsidRDefault="00633573">
      <w:pPr>
        <w:spacing w:line="240" w:lineRule="auto"/>
      </w:pPr>
      <w:r>
        <w:separator/>
      </w:r>
    </w:p>
  </w:footnote>
  <w:footnote w:type="continuationSeparator" w:id="0">
    <w:p w:rsidR="0060045C" w:rsidRDefault="006335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bottom w:val="single" w:sz="12"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pPr>
      <w:pBdr>
        <w:bottom w:val="single" w:sz="12"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33573">
    <w:pPr>
      <w:rPr>
        <w:sz w:val="20"/>
        <w:szCs w:val="20"/>
      </w:rPr>
    </w:pPr>
    <w:r>
      <w:rPr>
        <w:b/>
        <w:bCs/>
        <w:sz w:val="20"/>
        <w:szCs w:val="20"/>
      </w:rPr>
      <w:fldChar w:fldCharType="begin"/>
    </w:r>
    <w:r>
      <w:rPr>
        <w:b/>
        <w:bCs/>
        <w:sz w:val="20"/>
        <w:szCs w:val="20"/>
      </w:rPr>
      <w:instrText xml:space="preserve"> STYLEREF CharAmSchNo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Pr>
        <w:sz w:val="20"/>
        <w:szCs w:val="20"/>
      </w:rPr>
      <w:fldChar w:fldCharType="end"/>
    </w:r>
  </w:p>
  <w:p w:rsidR="0060045C" w:rsidRDefault="00633573">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60045C" w:rsidRDefault="0060045C">
    <w:pPr>
      <w:pBdr>
        <w:bottom w:val="single" w:sz="6"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33573">
    <w:pPr>
      <w:jc w:val="right"/>
      <w:rPr>
        <w:sz w:val="20"/>
        <w:szCs w:val="20"/>
      </w:rPr>
    </w:pPr>
    <w:r>
      <w:rPr>
        <w:sz w:val="20"/>
        <w:szCs w:val="20"/>
      </w:rPr>
      <w:fldChar w:fldCharType="begin"/>
    </w:r>
    <w:r>
      <w:rPr>
        <w:sz w:val="20"/>
        <w:szCs w:val="20"/>
      </w:rPr>
      <w:instrText xml:space="preserve"> STYLEREF CharAmSchText </w:instrText>
    </w:r>
    <w:r w:rsidR="00921A23">
      <w:rPr>
        <w:sz w:val="20"/>
        <w:szCs w:val="20"/>
      </w:rPr>
      <w:fldChar w:fldCharType="separate"/>
    </w:r>
    <w:r w:rsidR="00921A23">
      <w:rPr>
        <w:noProof/>
        <w:sz w:val="20"/>
        <w:szCs w:val="20"/>
      </w:rPr>
      <w:t>Radiocommunications (Transmitter Licence Tax) Act 1983</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sidR="00921A23">
      <w:rPr>
        <w:b/>
        <w:bCs/>
        <w:sz w:val="20"/>
        <w:szCs w:val="20"/>
      </w:rPr>
      <w:fldChar w:fldCharType="separate"/>
    </w:r>
    <w:r w:rsidR="00921A23">
      <w:rPr>
        <w:b/>
        <w:bCs/>
        <w:noProof/>
        <w:sz w:val="20"/>
        <w:szCs w:val="20"/>
      </w:rPr>
      <w:t>Schedule 1</w:t>
    </w:r>
    <w:r>
      <w:rPr>
        <w:b/>
        <w:bCs/>
        <w:sz w:val="20"/>
        <w:szCs w:val="20"/>
      </w:rPr>
      <w:fldChar w:fldCharType="end"/>
    </w:r>
  </w:p>
  <w:p w:rsidR="0060045C" w:rsidRDefault="00633573">
    <w:pPr>
      <w:jc w:val="right"/>
      <w:rPr>
        <w:b/>
        <w:bCs/>
        <w:sz w:val="20"/>
        <w:szCs w:val="20"/>
      </w:rPr>
    </w:pPr>
    <w:r>
      <w:rPr>
        <w:sz w:val="20"/>
        <w:szCs w:val="20"/>
      </w:rPr>
      <w:fldChar w:fldCharType="begin"/>
    </w:r>
    <w:r>
      <w:rPr>
        <w:sz w:val="20"/>
        <w:szCs w:val="20"/>
      </w:rPr>
      <w:instrText xml:space="preserve"> STYLEREF CharAmPartText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Pr>
        <w:b/>
        <w:bCs/>
        <w:sz w:val="20"/>
        <w:szCs w:val="20"/>
      </w:rPr>
      <w:fldChar w:fldCharType="end"/>
    </w:r>
  </w:p>
  <w:p w:rsidR="0060045C" w:rsidRDefault="0060045C">
    <w:pPr>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5C" w:rsidRDefault="00600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16D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C1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AB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A8DB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4"/>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08C9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15:restartNumberingAfterBreak="0">
    <w:nsid w:val="28EF099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3"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14" w15:restartNumberingAfterBreak="0">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10"/>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3"/>
  </w:num>
  <w:num w:numId="29">
    <w:abstractNumId w:val="1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6E"/>
    <w:rsid w:val="00394DE1"/>
    <w:rsid w:val="0049536E"/>
    <w:rsid w:val="0060045C"/>
    <w:rsid w:val="00633573"/>
    <w:rsid w:val="00921A23"/>
    <w:rsid w:val="00EB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pPr>
      <w:spacing w:before="360"/>
    </w:pPr>
    <w:rPr>
      <w:b/>
      <w:bCs/>
      <w:sz w:val="40"/>
      <w:szCs w:val="40"/>
    </w:rPr>
  </w:style>
  <w:style w:type="paragraph" w:customStyle="1" w:styleId="Actno">
    <w:name w:val="Actno"/>
    <w:basedOn w:val="UpdateDate"/>
    <w:next w:val="Normal"/>
    <w:uiPriority w:val="99"/>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autoRedefine/>
    <w:uiPriority w:val="99"/>
    <w:pPr>
      <w:numPr>
        <w:numId w:val="2"/>
      </w:numPr>
      <w:tabs>
        <w:tab w:val="clear" w:pos="643"/>
      </w:tabs>
      <w:ind w:left="284" w:hanging="284"/>
    </w:pPr>
  </w:style>
  <w:style w:type="paragraph" w:styleId="ListBullet2">
    <w:name w:val="List Bullet 2"/>
    <w:basedOn w:val="Normal"/>
    <w:autoRedefine/>
    <w:uiPriority w:val="99"/>
    <w:pPr>
      <w:numPr>
        <w:numId w:val="4"/>
      </w:numPr>
      <w:tabs>
        <w:tab w:val="clear" w:pos="1209"/>
        <w:tab w:val="num" w:pos="643"/>
      </w:tabs>
      <w:ind w:left="643"/>
    </w:pPr>
  </w:style>
  <w:style w:type="paragraph" w:styleId="ListBullet3">
    <w:name w:val="List Bullet 3"/>
    <w:basedOn w:val="Normal"/>
    <w:autoRedefine/>
    <w:uiPriority w:val="99"/>
    <w:pPr>
      <w:numPr>
        <w:numId w:val="6"/>
      </w:numPr>
      <w:tabs>
        <w:tab w:val="clear" w:pos="360"/>
        <w:tab w:val="num" w:pos="926"/>
      </w:tabs>
      <w:ind w:left="926"/>
    </w:pPr>
  </w:style>
  <w:style w:type="paragraph" w:styleId="ListBullet4">
    <w:name w:val="List Bullet 4"/>
    <w:basedOn w:val="Normal"/>
    <w:autoRedefine/>
    <w:uiPriority w:val="99"/>
    <w:pPr>
      <w:numPr>
        <w:numId w:val="8"/>
      </w:numPr>
      <w:tabs>
        <w:tab w:val="num" w:pos="1209"/>
      </w:tabs>
      <w:ind w:left="1209"/>
    </w:pPr>
  </w:style>
  <w:style w:type="paragraph" w:styleId="ListBullet5">
    <w:name w:val="List Bullet 5"/>
    <w:basedOn w:val="Normal"/>
    <w:autoRedefine/>
    <w:uiPriority w:val="99"/>
    <w:pPr>
      <w:numPr>
        <w:numId w:val="10"/>
      </w:numPr>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Table"/>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21"/>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Session">
    <w:name w:val="Session"/>
    <w:basedOn w:val="Normal"/>
    <w:uiPriority w:val="99"/>
    <w:rPr>
      <w:sz w:val="28"/>
      <w:szCs w:val="28"/>
    </w:rPr>
  </w:style>
  <w:style w:type="paragraph" w:customStyle="1" w:styleId="Reading">
    <w:name w:val="Reading"/>
    <w:basedOn w:val="Normal"/>
    <w:uiPriority w:val="99"/>
    <w:rPr>
      <w:i/>
      <w:iCs/>
      <w:sz w:val="20"/>
      <w:szCs w:val="20"/>
    </w:rPr>
  </w:style>
  <w:style w:type="paragraph" w:customStyle="1" w:styleId="Portfolio">
    <w:name w:val="Portfolio"/>
    <w:basedOn w:val="Normal"/>
    <w:uiPriority w:val="99"/>
    <w:rPr>
      <w:i/>
      <w:iCs/>
      <w:sz w:val="20"/>
      <w:szCs w:val="20"/>
    </w:rPr>
  </w:style>
  <w:style w:type="paragraph" w:customStyle="1" w:styleId="House">
    <w:name w:val="House"/>
    <w:basedOn w:val="Normal"/>
    <w:uiPriority w:val="99"/>
    <w:rPr>
      <w:sz w:val="28"/>
      <w:szCs w:val="28"/>
    </w:rPr>
  </w:style>
  <w:style w:type="paragraph" w:customStyle="1" w:styleId="Sponsor">
    <w:name w:val="Sponsor"/>
    <w:basedOn w:val="Normal"/>
    <w:uiPriority w:val="99"/>
    <w:rPr>
      <w:i/>
      <w:iCs/>
    </w:rPr>
  </w:style>
  <w:style w:type="paragraph" w:customStyle="1" w:styleId="Blocks">
    <w:name w:val="Blocks"/>
    <w:aliases w:val="bb"/>
    <w:basedOn w:val="Normal"/>
    <w:uiPriority w:val="99"/>
    <w:pPr>
      <w:spacing w:line="240" w:lineRule="auto"/>
    </w:pPr>
    <w:rPr>
      <w:sz w:val="24"/>
      <w:szCs w:val="24"/>
    </w:rPr>
  </w:style>
  <w:style w:type="paragraph" w:customStyle="1" w:styleId="Tabletext">
    <w:name w:val="Tabletext"/>
    <w:aliases w:val="tt"/>
    <w:basedOn w:val="Normal"/>
    <w:uiPriority w:val="99"/>
    <w:pPr>
      <w:spacing w:before="60" w:line="240" w:lineRule="atLeast"/>
    </w:pPr>
    <w:rPr>
      <w:sz w:val="20"/>
      <w:szCs w:val="20"/>
    </w:rPr>
  </w:style>
  <w:style w:type="paragraph" w:customStyle="1" w:styleId="ClerkBlock">
    <w:name w:val="ClerkBlock"/>
    <w:basedOn w:val="Normal"/>
    <w:uiPriority w:val="99"/>
    <w:pPr>
      <w:spacing w:line="200" w:lineRule="atLeast"/>
      <w:ind w:right="3827"/>
    </w:pPr>
    <w:rPr>
      <w:sz w:val="20"/>
      <w:szCs w:val="20"/>
      <w:lang w:val="en-US"/>
    </w:rPr>
  </w:style>
  <w:style w:type="paragraph" w:customStyle="1" w:styleId="ShortTP1">
    <w:name w:val="ShortTP1"/>
    <w:basedOn w:val="ShortT"/>
    <w:uiPriority w:val="99"/>
    <w:pPr>
      <w:spacing w:before="800"/>
    </w:pPr>
  </w:style>
  <w:style w:type="paragraph" w:customStyle="1" w:styleId="ActNoP1">
    <w:name w:val="ActNoP1"/>
    <w:basedOn w:val="Actno"/>
    <w:uiPriority w:val="99"/>
    <w:pPr>
      <w:spacing w:before="800"/>
    </w:pPr>
    <w:rPr>
      <w:sz w:val="28"/>
      <w:szCs w:val="28"/>
    </w:rPr>
  </w:style>
  <w:style w:type="paragraph" w:customStyle="1" w:styleId="p1LinesBef">
    <w:name w:val="p1LinesBef"/>
    <w:basedOn w:val="Normal"/>
    <w:uiPriority w:val="99"/>
    <w:pPr>
      <w:pBdr>
        <w:bottom w:val="single" w:sz="6" w:space="0" w:color="auto"/>
      </w:pBdr>
      <w:spacing w:before="400" w:line="240" w:lineRule="auto"/>
    </w:pPr>
    <w:rPr>
      <w:b/>
      <w:bCs/>
      <w:sz w:val="28"/>
      <w:szCs w:val="28"/>
      <w:lang w:val="en-US"/>
    </w:rPr>
  </w:style>
  <w:style w:type="paragraph" w:customStyle="1" w:styleId="p1LinesAfter">
    <w:name w:val="p1LinesAfter"/>
    <w:basedOn w:val="Normal"/>
    <w:uiPriority w:val="99"/>
    <w:pPr>
      <w:pBdr>
        <w:top w:val="single" w:sz="12" w:space="0" w:color="auto"/>
      </w:pBdr>
      <w:spacing w:line="240" w:lineRule="auto"/>
    </w:pPr>
    <w:rPr>
      <w:b/>
      <w:bCs/>
      <w:sz w:val="28"/>
      <w:szCs w:val="28"/>
      <w:lang w:val="en-US"/>
    </w:rPr>
  </w:style>
  <w:style w:type="paragraph" w:customStyle="1" w:styleId="ShortTCP">
    <w:name w:val="ShortTCP"/>
    <w:basedOn w:val="ShortT"/>
    <w:uiPriority w:val="99"/>
  </w:style>
  <w:style w:type="paragraph" w:customStyle="1" w:styleId="ActNoCP">
    <w:name w:val="ActNoCP"/>
    <w:basedOn w:val="Actno"/>
    <w:uiPriority w:val="99"/>
    <w:pPr>
      <w:spacing w:before="400"/>
    </w:pPr>
  </w:style>
  <w:style w:type="paragraph" w:customStyle="1" w:styleId="AssentBk">
    <w:name w:val="AssentBk"/>
    <w:basedOn w:val="Normal"/>
    <w:uiPriority w:val="99"/>
    <w:pPr>
      <w:spacing w:line="240" w:lineRule="auto"/>
    </w:pPr>
    <w:rPr>
      <w:sz w:val="20"/>
      <w:szCs w:val="20"/>
      <w:lang w:val="en-US"/>
    </w:rPr>
  </w:style>
  <w:style w:type="paragraph" w:customStyle="1" w:styleId="AssentDt">
    <w:name w:val="AssentDt"/>
    <w:basedOn w:val="Normal"/>
    <w:uiPriority w:val="99"/>
    <w:pPr>
      <w:spacing w:line="240" w:lineRule="auto"/>
    </w:pPr>
    <w:rPr>
      <w:sz w:val="20"/>
      <w:szCs w:val="20"/>
      <w:lang w:val="en-US"/>
    </w:rPr>
  </w:style>
  <w:style w:type="paragraph" w:customStyle="1" w:styleId="2ndRd">
    <w:name w:val="2ndRd"/>
    <w:basedOn w:val="Normal"/>
    <w:uiPriority w:val="99"/>
    <w:pPr>
      <w:spacing w:line="240" w:lineRule="auto"/>
    </w:pPr>
    <w:rPr>
      <w:sz w:val="20"/>
      <w:szCs w:val="20"/>
      <w:lang w:val="en-US"/>
    </w:rPr>
  </w:style>
  <w:style w:type="paragraph" w:customStyle="1" w:styleId="ScalePlusRef">
    <w:name w:val="ScalePlusRef"/>
    <w:basedOn w:val="Normal"/>
    <w:uiPriority w:val="99"/>
    <w:pPr>
      <w:spacing w:line="240" w:lineRule="auto"/>
    </w:pPr>
    <w:rPr>
      <w:sz w:val="18"/>
      <w:szCs w:val="18"/>
      <w:lang w:val="en-US"/>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uiPriority w:val="99"/>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30"/>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customStyle="1" w:styleId="NewItem">
    <w:name w:val="NewItem"/>
    <w:basedOn w:val="indenta"/>
    <w:uiPriority w:val="99"/>
    <w:pPr>
      <w:keepLines/>
      <w:tabs>
        <w:tab w:val="clear" w:pos="1531"/>
      </w:tabs>
      <w:spacing w:before="220"/>
      <w:ind w:left="709" w:hanging="709"/>
    </w:pPr>
    <w:rPr>
      <w:rFonts w:ascii="Helvetica" w:hAnsi="Helvetica" w:cs="Helvetica"/>
      <w:b/>
      <w:bCs/>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1333</Words>
  <Characters>6594</Characters>
  <Application>Microsoft Office Word</Application>
  <DocSecurity>0</DocSecurity>
  <Lines>1099</Lines>
  <Paragraphs>720</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2023-09-18T06:06:00Z</dcterms:created>
  <dcterms:modified xsi:type="dcterms:W3CDTF">2023-12-20T04:07:00Z</dcterms:modified>
</cp:coreProperties>
</file>