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38" w:rsidRDefault="0010385A">
      <w:pPr>
        <w:spacing w:line="240" w:lineRule="auto"/>
      </w:pPr>
      <w:r>
        <w:rPr>
          <w:noProof/>
          <w:sz w:val="20"/>
          <w:szCs w:val="20"/>
        </w:rPr>
        <w:drawing>
          <wp:inline distT="0" distB="0" distL="0" distR="0" wp14:anchorId="08869EDA" wp14:editId="2F88BD8E">
            <wp:extent cx="1447800" cy="1066800"/>
            <wp:effectExtent l="0" t="0" r="0" b="0"/>
            <wp:docPr id="12" name="Picture 1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238" w:rsidRDefault="003C6238"/>
    <w:p w:rsidR="003C6238" w:rsidRDefault="003C6238"/>
    <w:p w:rsidR="003C6238" w:rsidRDefault="003C6238"/>
    <w:p w:rsidR="003C6238" w:rsidRDefault="003C6238"/>
    <w:p w:rsidR="003C6238" w:rsidRDefault="00B63D7F">
      <w:pPr>
        <w:pStyle w:val="ShortT"/>
      </w:pPr>
      <w:r>
        <w:t>Superannuation Supervisory Levy Determination Validation Act 2000</w:t>
      </w:r>
    </w:p>
    <w:p w:rsidR="003C6238" w:rsidRDefault="003C6238"/>
    <w:p w:rsidR="003C6238" w:rsidRPr="00D4051E" w:rsidRDefault="00B63D7F">
      <w:pPr>
        <w:pStyle w:val="Actno"/>
        <w:spacing w:before="400"/>
        <w:rPr>
          <w:sz w:val="40"/>
          <w:szCs w:val="40"/>
        </w:rPr>
      </w:pPr>
      <w:r w:rsidRPr="00D4051E">
        <w:rPr>
          <w:sz w:val="40"/>
          <w:szCs w:val="40"/>
        </w:rPr>
        <w:t>No. 18, 2000</w:t>
      </w:r>
    </w:p>
    <w:p w:rsidR="003C6238" w:rsidRDefault="003C6238"/>
    <w:p w:rsidR="003C6238" w:rsidRDefault="003C6238"/>
    <w:p w:rsidR="003C6238" w:rsidRDefault="003C6238"/>
    <w:p w:rsidR="003C6238" w:rsidRDefault="003C6238"/>
    <w:p w:rsidR="003C6238" w:rsidRDefault="00B63D7F">
      <w:pPr>
        <w:pStyle w:val="LongT"/>
        <w:outlineLvl w:val="0"/>
      </w:pPr>
      <w:r>
        <w:t xml:space="preserve">An Act to validate a determination made under the </w:t>
      </w:r>
      <w:r>
        <w:rPr>
          <w:i/>
          <w:iCs/>
        </w:rPr>
        <w:t>Superannuation Supervisory Levy Imposition Act 1998</w:t>
      </w:r>
    </w:p>
    <w:p w:rsidR="003C6238" w:rsidRDefault="00B63D7F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3C6238" w:rsidRDefault="00B63D7F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3C6238" w:rsidRDefault="00B63D7F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3C6238" w:rsidRDefault="003C6238">
      <w:pPr>
        <w:sectPr w:rsidR="003C623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2410" w:bottom="4252" w:left="2410" w:header="709" w:footer="3402" w:gutter="0"/>
          <w:cols w:space="709"/>
        </w:sectPr>
      </w:pPr>
    </w:p>
    <w:p w:rsidR="003C6238" w:rsidRDefault="00B63D7F">
      <w:pPr>
        <w:outlineLvl w:val="0"/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3C6238" w:rsidRDefault="00B63D7F">
      <w:pPr>
        <w:pStyle w:val="TOC5"/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_Toc454959615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C6238" w:rsidRDefault="00B63D7F">
      <w:pPr>
        <w:pStyle w:val="TOC5"/>
        <w:rPr>
          <w:noProof/>
        </w:rPr>
      </w:pPr>
      <w:r>
        <w:rPr>
          <w:noProof/>
        </w:rPr>
        <w:t>2</w:t>
      </w:r>
      <w:r>
        <w:rPr>
          <w:noProof/>
        </w:rPr>
        <w:tab/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_Toc454959616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3C6238" w:rsidRDefault="00B63D7F">
      <w:pPr>
        <w:pStyle w:val="TOC5"/>
        <w:rPr>
          <w:noProof/>
        </w:rPr>
      </w:pPr>
      <w:r>
        <w:rPr>
          <w:noProof/>
        </w:rPr>
        <w:t>3</w:t>
      </w:r>
      <w:r>
        <w:rPr>
          <w:noProof/>
        </w:rPr>
        <w:tab/>
        <w:t>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_Toc454959617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3C6238" w:rsidRDefault="00B63D7F">
      <w:pPr>
        <w:pStyle w:val="TOC5"/>
        <w:rPr>
          <w:noProof/>
        </w:rPr>
      </w:pPr>
      <w:r>
        <w:rPr>
          <w:noProof/>
        </w:rPr>
        <w:t>4</w:t>
      </w:r>
      <w:r>
        <w:rPr>
          <w:noProof/>
        </w:rPr>
        <w:tab/>
        <w:t>Validity of 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_Toc454959618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3C6238" w:rsidRDefault="00B63D7F">
      <w:r>
        <w:fldChar w:fldCharType="end"/>
      </w:r>
    </w:p>
    <w:p w:rsidR="003C6238" w:rsidRDefault="003C6238">
      <w:pPr>
        <w:sectPr w:rsidR="003C6238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2381" w:right="2410" w:bottom="4252" w:left="2410" w:header="709" w:footer="3402" w:gutter="0"/>
          <w:pgNumType w:fmt="lowerRoman" w:start="1"/>
          <w:cols w:space="709"/>
        </w:sectPr>
      </w:pPr>
    </w:p>
    <w:p w:rsidR="003C6238" w:rsidRDefault="0010385A">
      <w:pPr>
        <w:spacing w:line="240" w:lineRule="auto"/>
      </w:pPr>
      <w:r>
        <w:rPr>
          <w:noProof/>
          <w:sz w:val="20"/>
          <w:szCs w:val="20"/>
        </w:rPr>
        <w:lastRenderedPageBreak/>
        <w:drawing>
          <wp:inline distT="0" distB="0" distL="0" distR="0" wp14:anchorId="08869EDA" wp14:editId="2F88BD8E">
            <wp:extent cx="1447800" cy="10668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238" w:rsidRDefault="00B63D7F">
      <w:pPr>
        <w:spacing w:before="80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fldChar w:fldCharType="begin"/>
      </w:r>
      <w:r>
        <w:rPr>
          <w:b/>
          <w:bCs/>
          <w:sz w:val="40"/>
          <w:szCs w:val="40"/>
        </w:rPr>
        <w:instrText xml:space="preserve"> STYLEREF ShortT </w:instrText>
      </w:r>
      <w:r>
        <w:rPr>
          <w:b/>
          <w:bCs/>
          <w:sz w:val="40"/>
          <w:szCs w:val="40"/>
        </w:rPr>
        <w:fldChar w:fldCharType="separate"/>
      </w:r>
      <w:r>
        <w:rPr>
          <w:b/>
          <w:bCs/>
          <w:noProof/>
          <w:sz w:val="40"/>
          <w:szCs w:val="40"/>
        </w:rPr>
        <w:t>Sup</w:t>
      </w:r>
      <w:bookmarkStart w:id="0" w:name="_GoBack"/>
      <w:bookmarkEnd w:id="0"/>
      <w:r>
        <w:rPr>
          <w:b/>
          <w:bCs/>
          <w:noProof/>
          <w:sz w:val="40"/>
          <w:szCs w:val="40"/>
        </w:rPr>
        <w:t>erannuation Supervisory Levy Determination Validation Act 2000</w:t>
      </w:r>
      <w:r>
        <w:rPr>
          <w:b/>
          <w:bCs/>
          <w:sz w:val="40"/>
          <w:szCs w:val="40"/>
        </w:rPr>
        <w:fldChar w:fldCharType="end"/>
      </w:r>
    </w:p>
    <w:p w:rsidR="003C6238" w:rsidRDefault="00B63D7F">
      <w:pPr>
        <w:spacing w:before="80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STYLEREF Actno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No. 18, 2000</w:t>
      </w:r>
      <w:r>
        <w:rPr>
          <w:b/>
          <w:bCs/>
          <w:sz w:val="28"/>
          <w:szCs w:val="28"/>
        </w:rPr>
        <w:fldChar w:fldCharType="end"/>
      </w:r>
    </w:p>
    <w:p w:rsidR="003C6238" w:rsidRDefault="003C6238">
      <w:pPr>
        <w:pBdr>
          <w:bottom w:val="single" w:sz="6" w:space="0" w:color="auto"/>
        </w:pBdr>
        <w:spacing w:before="400" w:line="240" w:lineRule="auto"/>
        <w:rPr>
          <w:b/>
          <w:bCs/>
          <w:sz w:val="28"/>
          <w:szCs w:val="28"/>
        </w:rPr>
      </w:pPr>
    </w:p>
    <w:p w:rsidR="003C6238" w:rsidRDefault="003C6238">
      <w:pPr>
        <w:spacing w:line="40" w:lineRule="exact"/>
        <w:rPr>
          <w:b/>
          <w:bCs/>
          <w:sz w:val="28"/>
          <w:szCs w:val="28"/>
        </w:rPr>
      </w:pPr>
    </w:p>
    <w:p w:rsidR="003C6238" w:rsidRDefault="003C6238">
      <w:pPr>
        <w:pBdr>
          <w:top w:val="single" w:sz="12" w:space="0" w:color="auto"/>
        </w:pBdr>
        <w:spacing w:line="240" w:lineRule="auto"/>
        <w:rPr>
          <w:b/>
          <w:bCs/>
          <w:sz w:val="28"/>
          <w:szCs w:val="28"/>
        </w:rPr>
      </w:pPr>
    </w:p>
    <w:p w:rsidR="003C6238" w:rsidRDefault="00B63D7F">
      <w:pPr>
        <w:pStyle w:val="Page1"/>
      </w:pPr>
      <w:r>
        <w:lastRenderedPageBreak/>
        <w:t xml:space="preserve">An Act to validate a determination made under the </w:t>
      </w:r>
      <w:r>
        <w:rPr>
          <w:i/>
          <w:iCs/>
        </w:rPr>
        <w:t>Superannuation Supervisory Levy Imposition Act 1998</w:t>
      </w:r>
    </w:p>
    <w:p w:rsidR="003C6238" w:rsidRDefault="00B63D7F">
      <w:pPr>
        <w:spacing w:before="120"/>
      </w:pPr>
      <w:r>
        <w:t>[</w:t>
      </w:r>
      <w:r>
        <w:rPr>
          <w:i/>
          <w:iCs/>
        </w:rPr>
        <w:t>Assented to 31 March 2000</w:t>
      </w:r>
      <w:r>
        <w:t>]</w:t>
      </w:r>
    </w:p>
    <w:p w:rsidR="003C6238" w:rsidRDefault="00B63D7F">
      <w:pPr>
        <w:spacing w:before="24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3C6238" w:rsidRDefault="00B63D7F">
      <w:pPr>
        <w:pStyle w:val="Heading5"/>
      </w:pPr>
      <w:bookmarkStart w:id="1" w:name="_Toc453147639"/>
      <w:bookmarkStart w:id="2" w:name="_Toc453147926"/>
      <w:bookmarkStart w:id="3" w:name="_Toc453739169"/>
      <w:bookmarkStart w:id="4" w:name="_Toc454273972"/>
      <w:bookmarkStart w:id="5" w:name="_Toc454351543"/>
      <w:bookmarkStart w:id="6" w:name="_Toc454595325"/>
      <w:bookmarkStart w:id="7" w:name="_Toc454848504"/>
      <w:bookmarkStart w:id="8" w:name="_Toc454868557"/>
      <w:bookmarkStart w:id="9" w:name="_Toc454959140"/>
      <w:bookmarkStart w:id="10" w:name="_Toc454959183"/>
      <w:bookmarkStart w:id="11" w:name="_Toc454959615"/>
      <w:r>
        <w:rPr>
          <w:rStyle w:val="CharSectno"/>
        </w:rPr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C6238" w:rsidRDefault="00B63D7F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Superannuation Supervisory Levy Determination Validation Act 2000</w:t>
      </w:r>
      <w:r>
        <w:t>.</w:t>
      </w:r>
    </w:p>
    <w:p w:rsidR="003C6238" w:rsidRDefault="00B63D7F">
      <w:pPr>
        <w:pStyle w:val="Heading5"/>
      </w:pPr>
      <w:bookmarkStart w:id="12" w:name="_Toc453147640"/>
      <w:bookmarkStart w:id="13" w:name="_Toc453147927"/>
      <w:bookmarkStart w:id="14" w:name="_Toc453739170"/>
      <w:bookmarkStart w:id="15" w:name="_Toc454273973"/>
      <w:bookmarkStart w:id="16" w:name="_Toc454351544"/>
      <w:bookmarkStart w:id="17" w:name="_Toc454595326"/>
      <w:bookmarkStart w:id="18" w:name="_Toc454848505"/>
      <w:bookmarkStart w:id="19" w:name="_Toc454868558"/>
      <w:bookmarkStart w:id="20" w:name="_Toc454959141"/>
      <w:bookmarkStart w:id="21" w:name="_Toc454959184"/>
      <w:bookmarkStart w:id="22" w:name="_Toc454959616"/>
      <w:r>
        <w:rPr>
          <w:rStyle w:val="CharSectno"/>
        </w:rPr>
        <w:t>2</w:t>
      </w:r>
      <w:r>
        <w:t xml:space="preserve">  Commencement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3C6238" w:rsidRDefault="00B63D7F">
      <w:pPr>
        <w:pStyle w:val="Subsection"/>
      </w:pPr>
      <w:r>
        <w:tab/>
      </w:r>
      <w:r>
        <w:tab/>
        <w:t>This Act commences on the commencement of Part</w:t>
      </w:r>
      <w:r>
        <w:rPr>
          <w:i/>
          <w:iCs/>
        </w:rPr>
        <w:t xml:space="preserve"> </w:t>
      </w:r>
      <w:r>
        <w:t xml:space="preserve">1 of Schedule 12 to the </w:t>
      </w:r>
      <w:r>
        <w:rPr>
          <w:i/>
          <w:iCs/>
        </w:rPr>
        <w:t>Financial Sector Reform (Amendments and Transitional Provisions) Act (No. 1) 2000</w:t>
      </w:r>
      <w:r>
        <w:t>.</w:t>
      </w:r>
    </w:p>
    <w:p w:rsidR="003C6238" w:rsidRDefault="00B63D7F">
      <w:pPr>
        <w:pStyle w:val="Heading5"/>
      </w:pPr>
      <w:bookmarkStart w:id="23" w:name="_Toc453147641"/>
      <w:bookmarkStart w:id="24" w:name="_Toc453147928"/>
      <w:bookmarkStart w:id="25" w:name="_Toc453739171"/>
      <w:bookmarkStart w:id="26" w:name="_Toc454273974"/>
      <w:bookmarkStart w:id="27" w:name="_Toc454351545"/>
      <w:bookmarkStart w:id="28" w:name="_Toc454595327"/>
      <w:bookmarkStart w:id="29" w:name="_Toc454848506"/>
      <w:bookmarkStart w:id="30" w:name="_Toc454868559"/>
      <w:bookmarkStart w:id="31" w:name="_Toc454959142"/>
      <w:bookmarkStart w:id="32" w:name="_Toc454959185"/>
      <w:bookmarkStart w:id="33" w:name="_Toc454959617"/>
      <w:r>
        <w:rPr>
          <w:rStyle w:val="CharSectno"/>
        </w:rPr>
        <w:t>3</w:t>
      </w:r>
      <w:r>
        <w:t xml:space="preserve">  </w:t>
      </w:r>
      <w:bookmarkEnd w:id="23"/>
      <w:bookmarkEnd w:id="24"/>
      <w:bookmarkEnd w:id="25"/>
      <w:bookmarkEnd w:id="26"/>
      <w:bookmarkEnd w:id="27"/>
      <w:bookmarkEnd w:id="28"/>
      <w:bookmarkEnd w:id="29"/>
      <w:r>
        <w:t>Definition</w:t>
      </w:r>
      <w:bookmarkEnd w:id="30"/>
      <w:bookmarkEnd w:id="31"/>
      <w:bookmarkEnd w:id="32"/>
      <w:bookmarkEnd w:id="33"/>
    </w:p>
    <w:p w:rsidR="003C6238" w:rsidRDefault="00B63D7F">
      <w:pPr>
        <w:pStyle w:val="Subsection"/>
      </w:pPr>
      <w:r>
        <w:tab/>
      </w:r>
      <w:r>
        <w:tab/>
        <w:t>In this Act:</w:t>
      </w:r>
    </w:p>
    <w:p w:rsidR="003C6238" w:rsidRDefault="00B63D7F">
      <w:pPr>
        <w:pStyle w:val="Definition"/>
      </w:pPr>
      <w:r>
        <w:rPr>
          <w:b/>
          <w:bCs/>
          <w:i/>
          <w:iCs/>
        </w:rPr>
        <w:t>Imposition Act</w:t>
      </w:r>
      <w:r>
        <w:t xml:space="preserve"> means the </w:t>
      </w:r>
      <w:r>
        <w:rPr>
          <w:i/>
          <w:iCs/>
        </w:rPr>
        <w:t>Superannuation Supervisory Levy Imposition Act 1998</w:t>
      </w:r>
      <w:r>
        <w:t>.</w:t>
      </w:r>
    </w:p>
    <w:p w:rsidR="003C6238" w:rsidRDefault="00B63D7F">
      <w:pPr>
        <w:pStyle w:val="Heading5"/>
      </w:pPr>
      <w:bookmarkStart w:id="34" w:name="_Toc453147642"/>
      <w:bookmarkStart w:id="35" w:name="_Toc453147929"/>
      <w:bookmarkStart w:id="36" w:name="_Toc453739172"/>
      <w:bookmarkStart w:id="37" w:name="_Toc454273975"/>
      <w:bookmarkStart w:id="38" w:name="_Toc454351546"/>
      <w:bookmarkStart w:id="39" w:name="_Toc454595328"/>
      <w:bookmarkStart w:id="40" w:name="_Toc454848507"/>
      <w:bookmarkStart w:id="41" w:name="_Toc454868560"/>
      <w:bookmarkStart w:id="42" w:name="_Toc454959143"/>
      <w:bookmarkStart w:id="43" w:name="_Toc454959186"/>
      <w:bookmarkStart w:id="44" w:name="_Toc454959618"/>
      <w:r>
        <w:rPr>
          <w:rStyle w:val="CharSectno"/>
        </w:rPr>
        <w:t>4</w:t>
      </w:r>
      <w:r>
        <w:t xml:space="preserve">  Validity of determination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3C6238" w:rsidRDefault="00B63D7F">
      <w:pPr>
        <w:pStyle w:val="Subsection"/>
      </w:pPr>
      <w:r>
        <w:tab/>
        <w:t>(1)</w:t>
      </w:r>
      <w:r>
        <w:tab/>
        <w:t xml:space="preserve">This section applies to a determination that was purportedly made under subsection 7(3) of the Imposition Act on 11 August 1998, and was notified in the </w:t>
      </w:r>
      <w:r>
        <w:rPr>
          <w:i/>
          <w:iCs/>
        </w:rPr>
        <w:t>Gazette</w:t>
      </w:r>
      <w:r>
        <w:t xml:space="preserve"> on 13 August 1998.</w:t>
      </w:r>
    </w:p>
    <w:p w:rsidR="003C6238" w:rsidRDefault="00B63D7F">
      <w:pPr>
        <w:pStyle w:val="Subsection"/>
      </w:pPr>
      <w:r>
        <w:tab/>
        <w:t>(2)</w:t>
      </w:r>
      <w:r>
        <w:tab/>
        <w:t xml:space="preserve">The determination is taken, despite subsection 48(2) of the </w:t>
      </w:r>
      <w:r>
        <w:rPr>
          <w:i/>
          <w:iCs/>
        </w:rPr>
        <w:t>Acts Interpretation Act 1901</w:t>
      </w:r>
      <w:r>
        <w:t>:</w:t>
      </w:r>
    </w:p>
    <w:p w:rsidR="003C6238" w:rsidRDefault="00B63D7F">
      <w:pPr>
        <w:pStyle w:val="indenta"/>
      </w:pPr>
      <w:r>
        <w:tab/>
        <w:t>(a)</w:t>
      </w:r>
      <w:r>
        <w:tab/>
        <w:t>to have been made under subsection 7(3) of the Imposition Act; and</w:t>
      </w:r>
    </w:p>
    <w:p w:rsidR="003C6238" w:rsidRDefault="00B63D7F">
      <w:pPr>
        <w:pStyle w:val="indenta"/>
      </w:pPr>
      <w:r>
        <w:tab/>
        <w:t>(b)</w:t>
      </w:r>
      <w:r>
        <w:tab/>
        <w:t>to have been effective on and at all times after 1 July 1998.</w:t>
      </w:r>
    </w:p>
    <w:p w:rsidR="003C6238" w:rsidRDefault="00B63D7F">
      <w:pPr>
        <w:pStyle w:val="Subsection"/>
      </w:pPr>
      <w:r>
        <w:lastRenderedPageBreak/>
        <w:tab/>
        <w:t>(3)</w:t>
      </w:r>
      <w:r>
        <w:tab/>
        <w:t xml:space="preserve">Despite paragraph (2)(b), the determination may be repealed, rescinded, revoked, amended or varied in accordance with subsection 33(3) of the </w:t>
      </w:r>
      <w:r>
        <w:rPr>
          <w:i/>
          <w:iCs/>
        </w:rPr>
        <w:t>Acts Interpretation Act 1901</w:t>
      </w:r>
      <w:r>
        <w:t>.</w:t>
      </w:r>
    </w:p>
    <w:p w:rsidR="003C6238" w:rsidRDefault="003C6238"/>
    <w:p w:rsidR="003C6238" w:rsidRDefault="003C6238">
      <w:pPr>
        <w:pBdr>
          <w:top w:val="single" w:sz="4" w:space="1" w:color="auto"/>
        </w:pBdr>
      </w:pPr>
    </w:p>
    <w:p w:rsidR="003C6238" w:rsidRDefault="00B63D7F">
      <w:pPr>
        <w:rPr>
          <w:i/>
          <w:iCs/>
        </w:rPr>
      </w:pPr>
      <w:r>
        <w:t>[</w:t>
      </w:r>
      <w:r>
        <w:rPr>
          <w:i/>
          <w:iCs/>
        </w:rPr>
        <w:t>Minister’s second reading speech made in—</w:t>
      </w:r>
    </w:p>
    <w:p w:rsidR="003C6238" w:rsidRDefault="00B63D7F">
      <w:pPr>
        <w:rPr>
          <w:i/>
          <w:iCs/>
        </w:rPr>
      </w:pPr>
      <w:r>
        <w:rPr>
          <w:i/>
          <w:iCs/>
        </w:rPr>
        <w:t>House of Representatives on 30 June 1999</w:t>
      </w:r>
    </w:p>
    <w:p w:rsidR="003C6238" w:rsidRDefault="00B63D7F">
      <w:r>
        <w:rPr>
          <w:i/>
          <w:iCs/>
        </w:rPr>
        <w:t>Senate on 29 September 1999</w:t>
      </w:r>
      <w:r>
        <w:t>]</w:t>
      </w:r>
    </w:p>
    <w:p w:rsidR="003C6238" w:rsidRDefault="003C6238"/>
    <w:p w:rsidR="003C6238" w:rsidRDefault="003C6238"/>
    <w:p w:rsidR="003C6238" w:rsidRDefault="003C6238"/>
    <w:p w:rsidR="003C6238" w:rsidRDefault="00B63D7F">
      <w:pPr>
        <w:framePr w:w="947" w:h="325" w:hSpace="181" w:wrap="notBeside" w:vAnchor="page" w:hAnchor="page" w:x="2448" w:y="12385"/>
      </w:pPr>
      <w:r>
        <w:t>(139/99)</w:t>
      </w:r>
    </w:p>
    <w:p w:rsidR="003C6238" w:rsidRDefault="003C6238"/>
    <w:p w:rsidR="003C6238" w:rsidRDefault="003C6238">
      <w:pPr>
        <w:sectPr w:rsidR="003C623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2381" w:right="2410" w:bottom="4252" w:left="2410" w:header="709" w:footer="3402" w:gutter="0"/>
          <w:pgNumType w:start="1"/>
          <w:cols w:space="709"/>
          <w:titlePg/>
        </w:sectPr>
      </w:pPr>
    </w:p>
    <w:p w:rsidR="003C6238" w:rsidRDefault="003C6238"/>
    <w:sectPr w:rsidR="003C6238">
      <w:headerReference w:type="first" r:id="rId22"/>
      <w:footerReference w:type="first" r:id="rId23"/>
      <w:pgSz w:w="11906" w:h="16838" w:code="9"/>
      <w:pgMar w:top="2381" w:right="2410" w:bottom="4252" w:left="2410" w:header="709" w:footer="340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38" w:rsidRDefault="00B63D7F">
      <w:pPr>
        <w:spacing w:line="240" w:lineRule="auto"/>
      </w:pPr>
      <w:r>
        <w:separator/>
      </w:r>
    </w:p>
  </w:endnote>
  <w:endnote w:type="continuationSeparator" w:id="0">
    <w:p w:rsidR="003C6238" w:rsidRDefault="00B63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top w:val="single" w:sz="6" w:space="1" w:color="auto"/>
      </w:pBdr>
      <w:rPr>
        <w:sz w:val="18"/>
        <w:szCs w:val="18"/>
      </w:rPr>
    </w:pPr>
  </w:p>
  <w:p w:rsidR="003C6238" w:rsidRDefault="00B63D7F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Superannuation Supervisory Levy Determination Validation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18,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ii</w:t>
    </w:r>
    <w:r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top w:val="single" w:sz="6" w:space="1" w:color="auto"/>
      </w:pBdr>
      <w:rPr>
        <w:sz w:val="18"/>
        <w:szCs w:val="18"/>
      </w:rPr>
    </w:pPr>
  </w:p>
  <w:p w:rsidR="003C6238" w:rsidRDefault="00B63D7F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Superannuation Supervisory Levy Determination Validation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No. 18, 2000</w:t>
    </w:r>
    <w:r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top w:val="single" w:sz="6" w:space="1" w:color="auto"/>
      </w:pBdr>
      <w:rPr>
        <w:sz w:val="18"/>
        <w:szCs w:val="18"/>
      </w:rPr>
    </w:pPr>
  </w:p>
  <w:p w:rsidR="003C6238" w:rsidRDefault="00B63D7F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Superannuation Supervisory Levy Determination Validation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No. 18, 2000</w:t>
    </w:r>
    <w:r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top w:val="single" w:sz="6" w:space="1" w:color="auto"/>
      </w:pBdr>
      <w:rPr>
        <w:sz w:val="18"/>
        <w:szCs w:val="18"/>
      </w:rPr>
    </w:pPr>
  </w:p>
  <w:p w:rsidR="003C6238" w:rsidRDefault="00B63D7F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Superannuation Supervisory Levy Determination Validation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No. 18,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top w:val="single" w:sz="6" w:space="1" w:color="auto"/>
      </w:pBdr>
      <w:rPr>
        <w:sz w:val="18"/>
        <w:szCs w:val="18"/>
      </w:rPr>
    </w:pPr>
  </w:p>
  <w:p w:rsidR="003C6238" w:rsidRDefault="00B63D7F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Superannuation Supervisory Levy Determination Validation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10385A">
      <w:rPr>
        <w:i/>
        <w:iCs/>
        <w:noProof/>
        <w:sz w:val="18"/>
        <w:szCs w:val="18"/>
      </w:rPr>
      <w:t>No. 18,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38" w:rsidRDefault="00B63D7F">
      <w:pPr>
        <w:spacing w:line="240" w:lineRule="auto"/>
      </w:pPr>
      <w:r>
        <w:separator/>
      </w:r>
    </w:p>
  </w:footnote>
  <w:footnote w:type="continuationSeparator" w:id="0">
    <w:p w:rsidR="003C6238" w:rsidRDefault="00B63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bottom w:val="single" w:sz="12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B63D7F">
    <w:pPr>
      <w:rPr>
        <w:sz w:val="20"/>
        <w:szCs w:val="20"/>
      </w:rPr>
    </w:pP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CharChapNo </w:instrTex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CharChapText </w:instrText>
    </w:r>
    <w:r>
      <w:rPr>
        <w:sz w:val="20"/>
        <w:szCs w:val="20"/>
      </w:rPr>
      <w:fldChar w:fldCharType="end"/>
    </w:r>
  </w:p>
  <w:p w:rsidR="003C6238" w:rsidRDefault="00B63D7F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CharPartNo </w:instrTex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CharPartText </w:instrText>
    </w:r>
    <w:r>
      <w:rPr>
        <w:sz w:val="20"/>
        <w:szCs w:val="20"/>
      </w:rPr>
      <w:fldChar w:fldCharType="end"/>
    </w:r>
  </w:p>
  <w:p w:rsidR="003C6238" w:rsidRDefault="00B63D7F">
    <w:pPr>
      <w:rPr>
        <w:sz w:val="20"/>
        <w:szCs w:val="20"/>
      </w:rPr>
    </w:pP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CharDivNo </w:instrTex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CharDivText </w:instrText>
    </w:r>
    <w:r>
      <w:rPr>
        <w:sz w:val="20"/>
        <w:szCs w:val="20"/>
      </w:rPr>
      <w:fldChar w:fldCharType="end"/>
    </w:r>
  </w:p>
  <w:p w:rsidR="003C6238" w:rsidRDefault="003C6238">
    <w:pPr>
      <w:rPr>
        <w:b/>
        <w:bCs/>
        <w:sz w:val="24"/>
        <w:szCs w:val="24"/>
      </w:rPr>
    </w:pPr>
  </w:p>
  <w:p w:rsidR="003C6238" w:rsidRDefault="00B63D7F">
    <w:pPr>
      <w:pBdr>
        <w:bottom w:val="single" w:sz="6" w:space="1" w:color="auto"/>
      </w:pBdr>
      <w:rPr>
        <w:sz w:val="24"/>
        <w:szCs w:val="24"/>
      </w:rPr>
    </w:pPr>
    <w:r>
      <w:rPr>
        <w:sz w:val="24"/>
        <w:szCs w:val="24"/>
      </w:rPr>
      <w:t xml:space="preserve">Section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CharSectno </w:instrText>
    </w:r>
    <w:r>
      <w:rPr>
        <w:sz w:val="24"/>
        <w:szCs w:val="24"/>
      </w:rPr>
      <w:fldChar w:fldCharType="separate"/>
    </w:r>
    <w:r w:rsidR="0010385A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B63D7F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CharChapText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CharChapNo </w:instrText>
    </w:r>
    <w:r>
      <w:rPr>
        <w:b/>
        <w:bCs/>
        <w:sz w:val="20"/>
        <w:szCs w:val="20"/>
      </w:rPr>
      <w:fldChar w:fldCharType="end"/>
    </w:r>
  </w:p>
  <w:p w:rsidR="003C6238" w:rsidRDefault="00B63D7F">
    <w:pPr>
      <w:jc w:val="right"/>
      <w:rPr>
        <w:b/>
        <w:bCs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CharPartText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CharPartNo </w:instrText>
    </w:r>
    <w:r>
      <w:rPr>
        <w:b/>
        <w:bCs/>
        <w:sz w:val="20"/>
        <w:szCs w:val="20"/>
      </w:rPr>
      <w:fldChar w:fldCharType="end"/>
    </w:r>
  </w:p>
  <w:p w:rsidR="003C6238" w:rsidRDefault="00B63D7F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CharDivText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CharDivNo </w:instrText>
    </w:r>
    <w:r>
      <w:rPr>
        <w:b/>
        <w:bCs/>
        <w:sz w:val="20"/>
        <w:szCs w:val="20"/>
      </w:rPr>
      <w:fldChar w:fldCharType="end"/>
    </w:r>
  </w:p>
  <w:p w:rsidR="003C6238" w:rsidRDefault="003C6238">
    <w:pPr>
      <w:jc w:val="right"/>
      <w:rPr>
        <w:b/>
        <w:bCs/>
        <w:sz w:val="24"/>
        <w:szCs w:val="24"/>
      </w:rPr>
    </w:pPr>
  </w:p>
  <w:p w:rsidR="003C6238" w:rsidRDefault="00B63D7F">
    <w:pPr>
      <w:pBdr>
        <w:bottom w:val="single" w:sz="6" w:space="1" w:color="auto"/>
      </w:pBdr>
      <w:jc w:val="right"/>
      <w:rPr>
        <w:sz w:val="24"/>
        <w:szCs w:val="24"/>
      </w:rPr>
    </w:pPr>
    <w:r>
      <w:rPr>
        <w:sz w:val="24"/>
        <w:szCs w:val="24"/>
      </w:rPr>
      <w:t xml:space="preserve">Section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CharSectno </w:instrText>
    </w:r>
    <w:r>
      <w:rPr>
        <w:sz w:val="24"/>
        <w:szCs w:val="24"/>
      </w:rPr>
      <w:fldChar w:fldCharType="separate"/>
    </w:r>
    <w:r w:rsidR="0010385A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8" w:rsidRDefault="003C6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16D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C1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AB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A8D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27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4DEEF608"/>
    <w:lvl w:ilvl="0">
      <w:start w:val="1"/>
      <w:numFmt w:val="bullet"/>
      <w:pStyle w:val="ListBulle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93A4CE0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A720894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08C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0AA58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F565067"/>
    <w:multiLevelType w:val="singleLevel"/>
    <w:tmpl w:val="C4D0FBA0"/>
    <w:lvl w:ilvl="0">
      <w:start w:val="1"/>
      <w:numFmt w:val="bullet"/>
      <w:pStyle w:val="TLPNot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65FE0B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795C104B"/>
    <w:multiLevelType w:val="singleLevel"/>
    <w:tmpl w:val="3FDE850A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9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7F"/>
    <w:rsid w:val="0010385A"/>
    <w:rsid w:val="003C6238"/>
    <w:rsid w:val="0065102C"/>
    <w:rsid w:val="008639E7"/>
    <w:rsid w:val="00B63D7F"/>
    <w:rsid w:val="00C3467A"/>
    <w:rsid w:val="00D4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" w:hAnsi="Times" w:cs="Times"/>
      <w:lang w:val="en-AU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  <w:lang w:val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  <w:lang w:val="en-AU"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  <w:lang w:val="en-AU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  <w:lang w:val="en-AU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AU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"/>
      <w:lang w:val="en-AU"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Subsection">
    <w:name w:val="Subsection"/>
    <w:aliases w:val="ss,subsection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lang w:val="en-AU"/>
    </w:rPr>
  </w:style>
  <w:style w:type="paragraph" w:customStyle="1" w:styleId="Formula">
    <w:name w:val="Formula"/>
    <w:basedOn w:val="Normal"/>
    <w:uiPriority w:val="99"/>
    <w:pPr>
      <w:ind w:left="1134"/>
    </w:pPr>
  </w:style>
  <w:style w:type="paragraph" w:styleId="Header">
    <w:name w:val="header"/>
    <w:basedOn w:val="Normal"/>
    <w:link w:val="HeaderChar"/>
    <w:uiPriority w:val="99"/>
    <w:pPr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lang w:val="en-AU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ListBullet">
    <w:name w:val="List Bullet"/>
    <w:basedOn w:val="Normal"/>
    <w:autoRedefine/>
    <w:uiPriority w:val="99"/>
    <w:pPr>
      <w:numPr>
        <w:numId w:val="2"/>
      </w:numPr>
      <w:tabs>
        <w:tab w:val="clear" w:pos="643"/>
      </w:tabs>
      <w:ind w:left="284" w:hanging="284"/>
    </w:pPr>
  </w:style>
  <w:style w:type="paragraph" w:styleId="ListBullet2">
    <w:name w:val="List Bullet 2"/>
    <w:basedOn w:val="Normal"/>
    <w:autoRedefine/>
    <w:uiPriority w:val="9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stBullet3">
    <w:name w:val="List Bullet 3"/>
    <w:basedOn w:val="Normal"/>
    <w:autoRedefine/>
    <w:uiPriority w:val="99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autoRedefine/>
    <w:uiPriority w:val="99"/>
    <w:pPr>
      <w:tabs>
        <w:tab w:val="num" w:pos="643"/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pPr>
      <w:numPr>
        <w:numId w:val="10"/>
      </w:numPr>
      <w:tabs>
        <w:tab w:val="num" w:pos="1492"/>
      </w:tabs>
      <w:ind w:left="1492"/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character" w:styleId="PageNumber">
    <w:name w:val="page number"/>
    <w:basedOn w:val="DefaultParagraphFont"/>
    <w:uiPriority w:val="99"/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bullet">
    <w:name w:val="TLPNote(bullet)"/>
    <w:basedOn w:val="Normal"/>
    <w:uiPriority w:val="99"/>
    <w:pPr>
      <w:numPr>
        <w:numId w:val="16"/>
      </w:numPr>
      <w:tabs>
        <w:tab w:val="clear" w:pos="360"/>
      </w:tabs>
      <w:spacing w:before="122" w:line="198" w:lineRule="exact"/>
      <w:ind w:left="2552" w:hanging="284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  <w:outlineLvl w:val="9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right" w:leader="dot" w:pos="7088"/>
      </w:tabs>
      <w:spacing w:before="4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 w:line="240" w:lineRule="auto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val="en-AU"/>
    </w:r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Helvetica" w:hAnsi="Helvetica" w:cs="Helvetica"/>
      <w:b/>
      <w:bCs/>
      <w:i/>
      <w:i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Helvetica" w:hAnsi="Helvetica" w:cs="Helvetica"/>
      <w:b/>
      <w:bCs/>
      <w:sz w:val="28"/>
      <w:szCs w:val="28"/>
    </w:r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Contents">
    <w:name w:val="Contents"/>
    <w:basedOn w:val="Normal"/>
    <w:next w:val="Normal"/>
    <w:uiPriority w:val="99"/>
    <w:pPr>
      <w:spacing w:line="240" w:lineRule="auto"/>
    </w:pPr>
    <w:rPr>
      <w:sz w:val="36"/>
      <w:szCs w:val="36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Helvetica" w:hAnsi="Helvetica" w:cs="Helvetica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mend">
    <w:name w:val="TableOfAmend"/>
    <w:basedOn w:val="Normal"/>
    <w:next w:val="Normal"/>
    <w:uiPriority w:val="99"/>
    <w:pPr>
      <w:tabs>
        <w:tab w:val="right" w:leader="dot" w:pos="2268"/>
      </w:tabs>
      <w:spacing w:before="60" w:line="180" w:lineRule="exact"/>
      <w:ind w:left="170" w:right="-113" w:hanging="170"/>
    </w:pPr>
    <w:rPr>
      <w:rFonts w:ascii="Helvetica" w:hAnsi="Helvetica" w:cs="Helvetica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Helvetica" w:hAnsi="Helvetica" w:cs="Helvetica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Helvetica" w:hAnsi="Helvetica" w:cs="Helvetica"/>
      <w:i/>
      <w:iCs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Helvetica" w:hAnsi="Helvetica" w:cs="Helvetica"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Helvetica" w:hAnsi="Helvetica" w:cs="Helvetica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Helvetica" w:hAnsi="Helvetica" w:cs="Helvetica"/>
      <w:sz w:val="16"/>
      <w:szCs w:val="16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mendOpt">
    <w:name w:val="TableOfAmendOpt"/>
    <w:basedOn w:val="TableOfAmend"/>
    <w:uiPriority w:val="99"/>
    <w:pPr>
      <w:spacing w:before="0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Helvetica" w:hAnsi="Helvetica" w:cs="Helvetica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customStyle="1" w:styleId="notebullet">
    <w:name w:val="note(bullet)"/>
    <w:basedOn w:val="Normal"/>
    <w:uiPriority w:val="99"/>
    <w:pPr>
      <w:numPr>
        <w:numId w:val="23"/>
      </w:numPr>
      <w:tabs>
        <w:tab w:val="left" w:pos="2268"/>
      </w:tabs>
    </w:pPr>
    <w:rPr>
      <w:sz w:val="18"/>
      <w:szCs w:val="18"/>
    </w:rPr>
  </w:style>
  <w:style w:type="character" w:customStyle="1" w:styleId="superscriptstyle">
    <w:name w:val="superscriptstyle"/>
    <w:basedOn w:val="DefaultParagraphFont"/>
    <w:uiPriority w:val="99"/>
    <w:rPr>
      <w:rFonts w:ascii="Times" w:hAnsi="Times" w:cs="Times"/>
      <w:sz w:val="18"/>
      <w:szCs w:val="18"/>
      <w:vertAlign w:val="baseline"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Mathtype">
    <w:name w:val="Mathtype"/>
    <w:basedOn w:val="Normal"/>
    <w:uiPriority w:val="99"/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2023-09-18T05:59:00Z</dcterms:created>
  <dcterms:modified xsi:type="dcterms:W3CDTF">2023-12-20T01:30:00Z</dcterms:modified>
</cp:coreProperties>
</file>