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676FED">
      <w:pPr>
        <w:spacing w:line="240" w:lineRule="auto"/>
      </w:pPr>
      <w:r>
        <w:rPr>
          <w:sz w:val="20"/>
          <w:szCs w:val="20"/>
        </w:rP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v:imagedata r:id="rId8" o:title=""/>
          </v:shape>
          <o:OLEObject Type="Embed" ProgID="Word.Picture.8" ShapeID="_x0000_i1025" DrawAspect="Content" ObjectID="_1629895188" r:id="rId9"/>
        </w:object>
      </w:r>
    </w:p>
    <w:p w:rsidR="00000000" w:rsidRDefault="00676FED"/>
    <w:p w:rsidR="00000000" w:rsidRDefault="00676FED"/>
    <w:p w:rsidR="00000000" w:rsidRDefault="00676FED"/>
    <w:p w:rsidR="00000000" w:rsidRDefault="00676FED"/>
    <w:p w:rsidR="00000000" w:rsidRDefault="00676FED">
      <w:pPr>
        <w:pStyle w:val="ShortT"/>
      </w:pPr>
      <w:r>
        <w:t>Referendum Legislation Amendment Act 1999</w:t>
      </w:r>
    </w:p>
    <w:p w:rsidR="00000000" w:rsidRDefault="00676FED"/>
    <w:p w:rsidR="00000000" w:rsidRDefault="00676FED">
      <w:pPr>
        <w:pStyle w:val="Actno"/>
        <w:spacing w:before="400"/>
      </w:pPr>
      <w:r>
        <w:t>No. 22, 1999</w:t>
      </w:r>
    </w:p>
    <w:p w:rsidR="00000000" w:rsidRDefault="00676FED">
      <w:pPr>
        <w:sectPr w:rsidR="00000000">
          <w:pgSz w:w="11906" w:h="16838" w:code="9"/>
          <w:pgMar w:top="1418" w:right="2410" w:bottom="4252" w:left="2410" w:header="709" w:footer="3402" w:gutter="0"/>
          <w:cols w:space="709"/>
        </w:sectPr>
      </w:pPr>
    </w:p>
    <w:p w:rsidR="00000000" w:rsidRDefault="00676FED">
      <w:pPr>
        <w:spacing w:line="240" w:lineRule="auto"/>
      </w:pPr>
      <w:r>
        <w:rPr>
          <w:sz w:val="20"/>
          <w:szCs w:val="20"/>
        </w:rPr>
        <w:object w:dxaOrig="2146" w:dyaOrig="1561">
          <v:shape id="_x0000_i1026" type="#_x0000_t75" style="width:107.25pt;height:78pt" o:ole="">
            <v:imagedata r:id="rId8" o:title=""/>
          </v:shape>
          <o:OLEObject Type="Embed" ProgID="Word.Picture.8" ShapeID="_x0000_i1026" DrawAspect="Content" ObjectID="_1629895189" r:id="rId10"/>
        </w:object>
      </w:r>
    </w:p>
    <w:p w:rsidR="00000000" w:rsidRDefault="00676FED"/>
    <w:p w:rsidR="00000000" w:rsidRDefault="00676FED"/>
    <w:p w:rsidR="00000000" w:rsidRDefault="00676FED"/>
    <w:p w:rsidR="00000000" w:rsidRDefault="00676FED"/>
    <w:p w:rsidR="00000000" w:rsidRDefault="00676FED">
      <w:pPr>
        <w:pStyle w:val="ShortT"/>
      </w:pPr>
      <w:r>
        <w:t>Referendum Legislation Amendment Act 1999</w:t>
      </w:r>
    </w:p>
    <w:p w:rsidR="00000000" w:rsidRDefault="00676FED"/>
    <w:p w:rsidR="00000000" w:rsidRDefault="00676FED">
      <w:pPr>
        <w:pStyle w:val="Actno"/>
        <w:spacing w:before="400"/>
      </w:pPr>
      <w:r>
        <w:t>No. 22, 1999</w:t>
      </w:r>
    </w:p>
    <w:p w:rsidR="00000000" w:rsidRDefault="00676FED"/>
    <w:p w:rsidR="00000000" w:rsidRDefault="00676FED"/>
    <w:p w:rsidR="00000000" w:rsidRDefault="00676FED"/>
    <w:p w:rsidR="00000000" w:rsidRDefault="00676FED"/>
    <w:p w:rsidR="00000000" w:rsidRDefault="00676FED">
      <w:pPr>
        <w:pStyle w:val="LongT"/>
      </w:pPr>
      <w:r>
        <w:t>An Act to amend the law relating to referendums</w:t>
      </w:r>
    </w:p>
    <w:p w:rsidR="00000000" w:rsidRDefault="00676FED">
      <w:pPr>
        <w:pStyle w:val="Header"/>
      </w:pPr>
      <w:r>
        <w:rPr>
          <w:rStyle w:val="CharAmSchNo"/>
        </w:rPr>
        <w:t xml:space="preserve"> </w:t>
      </w:r>
      <w:r>
        <w:rPr>
          <w:rStyle w:val="CharAmSchText"/>
        </w:rPr>
        <w:t xml:space="preserve"> </w:t>
      </w:r>
    </w:p>
    <w:p w:rsidR="00000000" w:rsidRDefault="00676FED">
      <w:pPr>
        <w:pStyle w:val="Header"/>
      </w:pPr>
      <w:r>
        <w:rPr>
          <w:rStyle w:val="CharAmPartNo"/>
        </w:rPr>
        <w:t xml:space="preserve"> </w:t>
      </w:r>
      <w:r>
        <w:rPr>
          <w:rStyle w:val="CharAmPartText"/>
        </w:rPr>
        <w:t xml:space="preserve"> </w:t>
      </w:r>
    </w:p>
    <w:p w:rsidR="00000000" w:rsidRDefault="00676FED">
      <w:pPr>
        <w:sectPr w:rsidR="00000000">
          <w:headerReference w:type="even" r:id="rId11"/>
          <w:headerReference w:type="default" r:id="rId12"/>
          <w:footerReference w:type="even" r:id="rId13"/>
          <w:footerReference w:type="default" r:id="rId14"/>
          <w:pgSz w:w="11906" w:h="16838" w:code="9"/>
          <w:pgMar w:top="1418" w:right="2410" w:bottom="4252" w:left="2410" w:header="709" w:footer="3402" w:gutter="0"/>
          <w:cols w:space="709"/>
        </w:sectPr>
      </w:pPr>
    </w:p>
    <w:p w:rsidR="00000000" w:rsidRDefault="00676FED">
      <w:pPr>
        <w:rPr>
          <w:sz w:val="36"/>
          <w:szCs w:val="36"/>
        </w:rPr>
      </w:pPr>
      <w:r>
        <w:rPr>
          <w:sz w:val="36"/>
          <w:szCs w:val="36"/>
        </w:rPr>
        <w:lastRenderedPageBreak/>
        <w:t>Contents</w:t>
      </w:r>
    </w:p>
    <w:p w:rsidR="00000000" w:rsidRDefault="00676FED">
      <w:pPr>
        <w:pStyle w:val="TOC5"/>
        <w:rPr>
          <w:noProof/>
        </w:rPr>
      </w:pPr>
      <w:r>
        <w:fldChar w:fldCharType="begin"/>
      </w:r>
      <w:r>
        <w:instrText xml:space="preserve"> TOC \o "1-9" </w:instrText>
      </w:r>
      <w:r>
        <w:fldChar w:fldCharType="separate"/>
      </w:r>
      <w:r>
        <w:rPr>
          <w:noProof/>
        </w:rPr>
        <w:t>1</w:t>
      </w:r>
      <w:r>
        <w:rPr>
          <w:noProof/>
        </w:rPr>
        <w:tab/>
        <w:t>Short title</w:t>
      </w:r>
      <w:r>
        <w:rPr>
          <w:noProof/>
        </w:rPr>
        <w:tab/>
      </w:r>
      <w:r>
        <w:rPr>
          <w:noProof/>
        </w:rPr>
        <w:fldChar w:fldCharType="begin"/>
      </w:r>
      <w:r>
        <w:rPr>
          <w:noProof/>
        </w:rPr>
        <w:instrText xml:space="preserve"> PAGEREF _Toc449348411 \h </w:instrText>
      </w:r>
      <w:r>
        <w:rPr>
          <w:noProof/>
          <w:sz w:val="20"/>
          <w:szCs w:val="20"/>
        </w:rPr>
      </w:r>
      <w:r>
        <w:rPr>
          <w:noProof/>
        </w:rPr>
        <w:fldChar w:fldCharType="separate"/>
      </w:r>
      <w:r>
        <w:rPr>
          <w:noProof/>
        </w:rPr>
        <w:t>1</w:t>
      </w:r>
      <w:r>
        <w:rPr>
          <w:noProof/>
        </w:rPr>
        <w:fldChar w:fldCharType="end"/>
      </w:r>
    </w:p>
    <w:p w:rsidR="00000000" w:rsidRDefault="00676FED">
      <w:pPr>
        <w:pStyle w:val="TOC5"/>
        <w:rPr>
          <w:noProof/>
        </w:rPr>
      </w:pPr>
      <w:r>
        <w:rPr>
          <w:noProof/>
        </w:rPr>
        <w:t>2</w:t>
      </w:r>
      <w:r>
        <w:rPr>
          <w:noProof/>
        </w:rPr>
        <w:tab/>
        <w:t>Commencement</w:t>
      </w:r>
      <w:r>
        <w:rPr>
          <w:noProof/>
        </w:rPr>
        <w:tab/>
      </w:r>
      <w:r>
        <w:rPr>
          <w:noProof/>
        </w:rPr>
        <w:fldChar w:fldCharType="begin"/>
      </w:r>
      <w:r>
        <w:rPr>
          <w:noProof/>
        </w:rPr>
        <w:instrText xml:space="preserve"> PAGEREF _Toc449348412 \h </w:instrText>
      </w:r>
      <w:r>
        <w:rPr>
          <w:noProof/>
          <w:sz w:val="20"/>
          <w:szCs w:val="20"/>
        </w:rPr>
      </w:r>
      <w:r>
        <w:rPr>
          <w:noProof/>
        </w:rPr>
        <w:fldChar w:fldCharType="separate"/>
      </w:r>
      <w:r>
        <w:rPr>
          <w:noProof/>
        </w:rPr>
        <w:t>1</w:t>
      </w:r>
      <w:r>
        <w:rPr>
          <w:noProof/>
        </w:rPr>
        <w:fldChar w:fldCharType="end"/>
      </w:r>
    </w:p>
    <w:p w:rsidR="00000000" w:rsidRDefault="00676FED">
      <w:pPr>
        <w:pStyle w:val="TOC5"/>
        <w:rPr>
          <w:noProof/>
        </w:rPr>
      </w:pPr>
      <w:r>
        <w:rPr>
          <w:noProof/>
        </w:rPr>
        <w:t>3</w:t>
      </w:r>
      <w:r>
        <w:rPr>
          <w:noProof/>
        </w:rPr>
        <w:tab/>
        <w:t>Schedule(s)</w:t>
      </w:r>
      <w:r>
        <w:rPr>
          <w:noProof/>
        </w:rPr>
        <w:tab/>
      </w:r>
      <w:r>
        <w:rPr>
          <w:noProof/>
        </w:rPr>
        <w:fldChar w:fldCharType="begin"/>
      </w:r>
      <w:r>
        <w:rPr>
          <w:noProof/>
        </w:rPr>
        <w:instrText xml:space="preserve"> PAGEREF _Toc449348413 \h </w:instrText>
      </w:r>
      <w:r>
        <w:rPr>
          <w:noProof/>
          <w:sz w:val="20"/>
          <w:szCs w:val="20"/>
        </w:rPr>
      </w:r>
      <w:r>
        <w:rPr>
          <w:noProof/>
        </w:rPr>
        <w:fldChar w:fldCharType="separate"/>
      </w:r>
      <w:r>
        <w:rPr>
          <w:noProof/>
        </w:rPr>
        <w:t>2</w:t>
      </w:r>
      <w:r>
        <w:rPr>
          <w:noProof/>
        </w:rPr>
        <w:fldChar w:fldCharType="end"/>
      </w:r>
    </w:p>
    <w:p w:rsidR="00000000" w:rsidRDefault="00676FED">
      <w:pPr>
        <w:pStyle w:val="TOC5"/>
        <w:rPr>
          <w:noProof/>
        </w:rPr>
      </w:pPr>
      <w:r>
        <w:rPr>
          <w:noProof/>
        </w:rPr>
        <w:t>4</w:t>
      </w:r>
      <w:r>
        <w:rPr>
          <w:noProof/>
        </w:rPr>
        <w:tab/>
        <w:t>Commonwealth expenditure during 1999 in connection with certain referendum proposals</w:t>
      </w:r>
      <w:r>
        <w:rPr>
          <w:noProof/>
        </w:rPr>
        <w:tab/>
      </w:r>
      <w:r>
        <w:rPr>
          <w:noProof/>
        </w:rPr>
        <w:fldChar w:fldCharType="begin"/>
      </w:r>
      <w:r>
        <w:rPr>
          <w:noProof/>
        </w:rPr>
        <w:instrText xml:space="preserve"> PAGEREF _Toc449348414 \h </w:instrText>
      </w:r>
      <w:r>
        <w:rPr>
          <w:noProof/>
          <w:sz w:val="20"/>
          <w:szCs w:val="20"/>
        </w:rPr>
      </w:r>
      <w:r>
        <w:rPr>
          <w:noProof/>
        </w:rPr>
        <w:fldChar w:fldCharType="separate"/>
      </w:r>
      <w:r>
        <w:rPr>
          <w:noProof/>
        </w:rPr>
        <w:t>2</w:t>
      </w:r>
      <w:r>
        <w:rPr>
          <w:noProof/>
        </w:rPr>
        <w:fldChar w:fldCharType="end"/>
      </w:r>
    </w:p>
    <w:p w:rsidR="00000000" w:rsidRDefault="00676FED">
      <w:pPr>
        <w:pStyle w:val="TOC6"/>
        <w:rPr>
          <w:noProof/>
        </w:rPr>
      </w:pPr>
      <w:r>
        <w:rPr>
          <w:noProof/>
        </w:rPr>
        <w:t>Sc</w:t>
      </w:r>
      <w:r>
        <w:rPr>
          <w:noProof/>
        </w:rPr>
        <w:t>hedule 1—Amendments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_Toc449348415 \h </w:instrText>
      </w:r>
      <w:r>
        <w:rPr>
          <w:b w:val="0"/>
          <w:bCs w:val="0"/>
          <w:noProof/>
          <w:sz w:val="20"/>
          <w:szCs w:val="20"/>
        </w:rPr>
      </w:r>
      <w:r>
        <w:rPr>
          <w:b w:val="0"/>
          <w:bCs w:val="0"/>
          <w:noProof/>
          <w:sz w:val="18"/>
          <w:szCs w:val="18"/>
        </w:rPr>
        <w:fldChar w:fldCharType="separate"/>
      </w:r>
      <w:r>
        <w:rPr>
          <w:b w:val="0"/>
          <w:bCs w:val="0"/>
          <w:noProof/>
          <w:sz w:val="18"/>
          <w:szCs w:val="18"/>
        </w:rPr>
        <w:t>3</w:t>
      </w:r>
      <w:r>
        <w:rPr>
          <w:b w:val="0"/>
          <w:bCs w:val="0"/>
          <w:noProof/>
          <w:sz w:val="18"/>
          <w:szCs w:val="18"/>
        </w:rPr>
        <w:fldChar w:fldCharType="end"/>
      </w:r>
    </w:p>
    <w:p w:rsidR="00000000" w:rsidRDefault="00676FED">
      <w:pPr>
        <w:pStyle w:val="TOC9"/>
        <w:rPr>
          <w:noProof/>
        </w:rPr>
      </w:pPr>
      <w:r>
        <w:rPr>
          <w:noProof/>
        </w:rPr>
        <w:t>Referendum (Machinery Provisions) Act 1984</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_Toc449348416 \h </w:instrText>
      </w:r>
      <w:r>
        <w:rPr>
          <w:i w:val="0"/>
          <w:iCs w:val="0"/>
          <w:noProof/>
        </w:rPr>
      </w:r>
      <w:r>
        <w:rPr>
          <w:i w:val="0"/>
          <w:iCs w:val="0"/>
          <w:noProof/>
          <w:sz w:val="18"/>
          <w:szCs w:val="18"/>
        </w:rPr>
        <w:fldChar w:fldCharType="separate"/>
      </w:r>
      <w:r>
        <w:rPr>
          <w:i w:val="0"/>
          <w:iCs w:val="0"/>
          <w:noProof/>
          <w:sz w:val="18"/>
          <w:szCs w:val="18"/>
        </w:rPr>
        <w:t>3</w:t>
      </w:r>
      <w:r>
        <w:rPr>
          <w:i w:val="0"/>
          <w:iCs w:val="0"/>
          <w:noProof/>
          <w:sz w:val="18"/>
          <w:szCs w:val="18"/>
        </w:rPr>
        <w:fldChar w:fldCharType="end"/>
      </w:r>
    </w:p>
    <w:p w:rsidR="00000000" w:rsidRDefault="00676FED">
      <w:r>
        <w:fldChar w:fldCharType="end"/>
      </w:r>
    </w:p>
    <w:p w:rsidR="00000000" w:rsidRDefault="00676FED">
      <w:pPr>
        <w:sectPr w:rsidR="00000000">
          <w:headerReference w:type="even" r:id="rId15"/>
          <w:headerReference w:type="default" r:id="rId16"/>
          <w:footerReference w:type="even" r:id="rId17"/>
          <w:footerReference w:type="default" r:id="rId18"/>
          <w:pgSz w:w="11906" w:h="16838" w:code="9"/>
          <w:pgMar w:top="2381" w:right="2410" w:bottom="4252" w:left="2410" w:header="709" w:footer="3402" w:gutter="0"/>
          <w:pgNumType w:fmt="lowerRoman" w:start="1"/>
          <w:cols w:space="709"/>
        </w:sectPr>
      </w:pPr>
    </w:p>
    <w:p w:rsidR="00000000" w:rsidRDefault="00676FED">
      <w:pPr>
        <w:spacing w:line="240" w:lineRule="auto"/>
      </w:pPr>
      <w:r>
        <w:rPr>
          <w:sz w:val="20"/>
          <w:szCs w:val="20"/>
        </w:rPr>
        <w:object w:dxaOrig="2146" w:dyaOrig="1561">
          <v:shape id="_x0000_i1027" type="#_x0000_t75" style="width:107.25pt;height:78pt" o:ole="">
            <v:imagedata r:id="rId8" o:title=""/>
          </v:shape>
          <o:OLEObject Type="Embed" ProgID="Word.Picture.8" ShapeID="_x0000_i1027" DrawAspect="Content" ObjectID="_1629895190" r:id="rId19"/>
        </w:object>
      </w:r>
    </w:p>
    <w:p w:rsidR="00000000" w:rsidRDefault="00676FED">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noProof/>
          <w:sz w:val="40"/>
          <w:szCs w:val="40"/>
        </w:rPr>
        <w:t>Referendum Legislation Amendment Act 1999</w:t>
      </w:r>
      <w:r>
        <w:rPr>
          <w:b/>
          <w:bCs/>
          <w:sz w:val="40"/>
          <w:szCs w:val="40"/>
        </w:rPr>
        <w:fldChar w:fldCharType="end"/>
      </w:r>
    </w:p>
    <w:p w:rsidR="00000000" w:rsidRDefault="00676FED">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noProof/>
          <w:sz w:val="28"/>
          <w:szCs w:val="28"/>
        </w:rPr>
        <w:t>No. 22, 1999</w:t>
      </w:r>
      <w:r>
        <w:rPr>
          <w:b/>
          <w:bCs/>
          <w:sz w:val="28"/>
          <w:szCs w:val="28"/>
        </w:rPr>
        <w:fldChar w:fldCharType="end"/>
      </w:r>
    </w:p>
    <w:p w:rsidR="00000000" w:rsidRDefault="00676FED">
      <w:pPr>
        <w:pBdr>
          <w:bottom w:val="single" w:sz="6" w:space="0" w:color="auto"/>
        </w:pBdr>
        <w:spacing w:before="400" w:line="240" w:lineRule="auto"/>
        <w:rPr>
          <w:b/>
          <w:bCs/>
          <w:sz w:val="28"/>
          <w:szCs w:val="28"/>
        </w:rPr>
      </w:pPr>
    </w:p>
    <w:p w:rsidR="00000000" w:rsidRDefault="00676FED">
      <w:pPr>
        <w:spacing w:line="40" w:lineRule="exact"/>
        <w:rPr>
          <w:b/>
          <w:bCs/>
          <w:sz w:val="28"/>
          <w:szCs w:val="28"/>
        </w:rPr>
      </w:pPr>
    </w:p>
    <w:p w:rsidR="00000000" w:rsidRDefault="00676FED">
      <w:pPr>
        <w:pBdr>
          <w:top w:val="single" w:sz="12" w:space="0" w:color="auto"/>
        </w:pBdr>
        <w:spacing w:line="240" w:lineRule="auto"/>
        <w:rPr>
          <w:b/>
          <w:bCs/>
          <w:sz w:val="28"/>
          <w:szCs w:val="28"/>
        </w:rPr>
      </w:pPr>
    </w:p>
    <w:p w:rsidR="00000000" w:rsidRDefault="00676FED">
      <w:pPr>
        <w:pStyle w:val="Page1"/>
      </w:pPr>
      <w:r>
        <w:fldChar w:fldCharType="begin"/>
      </w:r>
      <w:r>
        <w:instrText xml:space="preserve"> STYLEREF LongT \* MERGEFORMAT </w:instrText>
      </w:r>
      <w:r>
        <w:fldChar w:fldCharType="separate"/>
      </w:r>
      <w:r>
        <w:rPr>
          <w:noProof/>
        </w:rPr>
        <w:t>An Act to amend the law relating to referendums</w:t>
      </w:r>
      <w:r>
        <w:fldChar w:fldCharType="end"/>
      </w:r>
    </w:p>
    <w:p w:rsidR="00000000" w:rsidRDefault="00676FED">
      <w:pPr>
        <w:spacing w:before="120"/>
        <w:rPr>
          <w:sz w:val="24"/>
          <w:szCs w:val="24"/>
        </w:rPr>
      </w:pPr>
      <w:r>
        <w:rPr>
          <w:sz w:val="24"/>
          <w:szCs w:val="24"/>
        </w:rPr>
        <w:t>[</w:t>
      </w:r>
      <w:r>
        <w:rPr>
          <w:i/>
          <w:iCs/>
          <w:sz w:val="24"/>
          <w:szCs w:val="24"/>
        </w:rPr>
        <w:t>Assented to 19 April 1999</w:t>
      </w:r>
      <w:r>
        <w:rPr>
          <w:sz w:val="24"/>
          <w:szCs w:val="24"/>
        </w:rPr>
        <w:t>]</w:t>
      </w:r>
    </w:p>
    <w:p w:rsidR="00000000" w:rsidRDefault="00676FED">
      <w:pPr>
        <w:spacing w:before="240" w:line="240" w:lineRule="auto"/>
        <w:rPr>
          <w:sz w:val="32"/>
          <w:szCs w:val="32"/>
        </w:rPr>
      </w:pPr>
      <w:r>
        <w:rPr>
          <w:sz w:val="32"/>
          <w:szCs w:val="32"/>
        </w:rPr>
        <w:t>The Parliament of Australia enacts:</w:t>
      </w:r>
    </w:p>
    <w:p w:rsidR="00000000" w:rsidRDefault="00676FED">
      <w:pPr>
        <w:pStyle w:val="Heading5"/>
      </w:pPr>
      <w:bookmarkStart w:id="1" w:name="_Toc442245552"/>
      <w:bookmarkStart w:id="2" w:name="_Toc445110558"/>
      <w:bookmarkStart w:id="3" w:name="_Toc445171990"/>
      <w:bookmarkStart w:id="4" w:name="_Toc445172155"/>
      <w:bookmarkStart w:id="5" w:name="_Toc445174285"/>
      <w:bookmarkStart w:id="6" w:name="_Toc445535764"/>
      <w:bookmarkStart w:id="7" w:name="_Toc445535824"/>
      <w:bookmarkStart w:id="8" w:name="_Toc445536741"/>
      <w:bookmarkStart w:id="9" w:name="_Toc445691080"/>
      <w:bookmarkStart w:id="10" w:name="_Toc445709019"/>
      <w:bookmarkStart w:id="11" w:name="_Toc445710351"/>
      <w:bookmarkStart w:id="12" w:name="_Toc448111703"/>
      <w:bookmarkStart w:id="13" w:name="_Toc449348411"/>
      <w:r>
        <w:rPr>
          <w:rStyle w:val="CharSectno"/>
        </w:rPr>
        <w:t>1</w:t>
      </w:r>
      <w:r>
        <w:t xml:space="preserve">  Short title</w:t>
      </w:r>
      <w:bookmarkEnd w:id="1"/>
      <w:bookmarkEnd w:id="2"/>
      <w:bookmarkEnd w:id="3"/>
      <w:bookmarkEnd w:id="4"/>
      <w:bookmarkEnd w:id="5"/>
      <w:bookmarkEnd w:id="6"/>
      <w:bookmarkEnd w:id="7"/>
      <w:bookmarkEnd w:id="8"/>
      <w:bookmarkEnd w:id="9"/>
      <w:bookmarkEnd w:id="10"/>
      <w:bookmarkEnd w:id="11"/>
      <w:bookmarkEnd w:id="12"/>
      <w:bookmarkEnd w:id="13"/>
    </w:p>
    <w:p w:rsidR="00000000" w:rsidRDefault="00676FED">
      <w:pPr>
        <w:pStyle w:val="Subsection"/>
      </w:pPr>
      <w:r>
        <w:tab/>
      </w:r>
      <w:r>
        <w:tab/>
        <w:t xml:space="preserve">This Act may be cited as the </w:t>
      </w:r>
      <w:r>
        <w:rPr>
          <w:i/>
          <w:iCs/>
        </w:rPr>
        <w:t>Referendum Legislation Amendment Act 1999</w:t>
      </w:r>
      <w:r>
        <w:t>.</w:t>
      </w:r>
    </w:p>
    <w:p w:rsidR="00000000" w:rsidRDefault="00676FED">
      <w:pPr>
        <w:pStyle w:val="Heading5"/>
      </w:pPr>
      <w:bookmarkStart w:id="14" w:name="_Toc442245553"/>
      <w:bookmarkStart w:id="15" w:name="_Toc445110559"/>
      <w:bookmarkStart w:id="16" w:name="_Toc445171991"/>
      <w:bookmarkStart w:id="17" w:name="_Toc445172156"/>
      <w:bookmarkStart w:id="18" w:name="_Toc445174286"/>
      <w:bookmarkStart w:id="19" w:name="_Toc445535765"/>
      <w:bookmarkStart w:id="20" w:name="_Toc445535825"/>
      <w:bookmarkStart w:id="21" w:name="_Toc445536742"/>
      <w:bookmarkStart w:id="22" w:name="_Toc445691081"/>
      <w:bookmarkStart w:id="23" w:name="_Toc445709020"/>
      <w:bookmarkStart w:id="24" w:name="_Toc445710352"/>
      <w:bookmarkStart w:id="25" w:name="_Toc448111704"/>
      <w:bookmarkStart w:id="26" w:name="_Toc449348412"/>
      <w:r>
        <w:rPr>
          <w:rStyle w:val="CharSectno"/>
        </w:rPr>
        <w:t>2</w:t>
      </w:r>
      <w:r>
        <w:t xml:space="preserve">  Commencement</w:t>
      </w:r>
      <w:bookmarkEnd w:id="14"/>
      <w:bookmarkEnd w:id="15"/>
      <w:bookmarkEnd w:id="16"/>
      <w:bookmarkEnd w:id="17"/>
      <w:bookmarkEnd w:id="18"/>
      <w:bookmarkEnd w:id="19"/>
      <w:bookmarkEnd w:id="20"/>
      <w:bookmarkEnd w:id="21"/>
      <w:bookmarkEnd w:id="22"/>
      <w:bookmarkEnd w:id="23"/>
      <w:bookmarkEnd w:id="24"/>
      <w:bookmarkEnd w:id="25"/>
      <w:bookmarkEnd w:id="26"/>
    </w:p>
    <w:p w:rsidR="00000000" w:rsidRDefault="00676FED">
      <w:pPr>
        <w:pStyle w:val="Subsection"/>
      </w:pPr>
      <w:r>
        <w:tab/>
      </w:r>
      <w:r>
        <w:tab/>
        <w:t>This Act commences on the day on which it receives</w:t>
      </w:r>
      <w:r>
        <w:t xml:space="preserve"> the Royal Assent.</w:t>
      </w:r>
    </w:p>
    <w:p w:rsidR="00000000" w:rsidRDefault="00676FED">
      <w:pPr>
        <w:pStyle w:val="Heading5"/>
      </w:pPr>
      <w:bookmarkStart w:id="27" w:name="_Toc442245554"/>
      <w:bookmarkStart w:id="28" w:name="_Toc445110560"/>
      <w:bookmarkStart w:id="29" w:name="_Toc445171992"/>
      <w:bookmarkStart w:id="30" w:name="_Toc445172157"/>
      <w:bookmarkStart w:id="31" w:name="_Toc445174287"/>
      <w:bookmarkStart w:id="32" w:name="_Toc445535766"/>
      <w:bookmarkStart w:id="33" w:name="_Toc445535826"/>
      <w:bookmarkStart w:id="34" w:name="_Toc445536743"/>
      <w:bookmarkStart w:id="35" w:name="_Toc445691082"/>
      <w:bookmarkStart w:id="36" w:name="_Toc445709021"/>
      <w:bookmarkStart w:id="37" w:name="_Toc445710353"/>
      <w:bookmarkStart w:id="38" w:name="_Toc448111705"/>
      <w:bookmarkStart w:id="39" w:name="_Toc449348413"/>
      <w:r>
        <w:rPr>
          <w:rStyle w:val="CharSectno"/>
        </w:rPr>
        <w:lastRenderedPageBreak/>
        <w:t>3</w:t>
      </w:r>
      <w:r>
        <w:t xml:space="preserve">  Schedule(s)</w:t>
      </w:r>
      <w:bookmarkEnd w:id="27"/>
      <w:bookmarkEnd w:id="28"/>
      <w:bookmarkEnd w:id="29"/>
      <w:bookmarkEnd w:id="30"/>
      <w:bookmarkEnd w:id="31"/>
      <w:bookmarkEnd w:id="32"/>
      <w:bookmarkEnd w:id="33"/>
      <w:bookmarkEnd w:id="34"/>
      <w:bookmarkEnd w:id="35"/>
      <w:bookmarkEnd w:id="36"/>
      <w:bookmarkEnd w:id="37"/>
      <w:bookmarkEnd w:id="38"/>
      <w:bookmarkEnd w:id="39"/>
    </w:p>
    <w:p w:rsidR="00000000" w:rsidRDefault="00676FED">
      <w:pPr>
        <w:pStyle w:val="Subsection"/>
      </w:pPr>
      <w:r>
        <w:tab/>
      </w:r>
      <w:r>
        <w:tab/>
        <w:t xml:space="preserve">Each Act that is specified in a Schedule to this Act is amended or repealed as set out in the applicable items in the Schedule concerned, </w:t>
      </w:r>
      <w:r>
        <w:t>and any other item in a Schedule to this Act has effect according to its terms.</w:t>
      </w:r>
    </w:p>
    <w:p w:rsidR="00000000" w:rsidRDefault="00676FED">
      <w:pPr>
        <w:pStyle w:val="Heading5"/>
      </w:pPr>
      <w:bookmarkStart w:id="40" w:name="_Toc445110561"/>
      <w:bookmarkStart w:id="41" w:name="_Toc445171993"/>
      <w:bookmarkStart w:id="42" w:name="_Toc445172158"/>
      <w:bookmarkStart w:id="43" w:name="_Toc445174288"/>
      <w:bookmarkStart w:id="44" w:name="_Toc445535767"/>
      <w:bookmarkStart w:id="45" w:name="_Toc445535827"/>
      <w:bookmarkStart w:id="46" w:name="_Toc445536744"/>
      <w:bookmarkStart w:id="47" w:name="_Toc445691083"/>
      <w:bookmarkStart w:id="48" w:name="_Toc445709022"/>
      <w:bookmarkStart w:id="49" w:name="_Toc445710354"/>
      <w:bookmarkStart w:id="50" w:name="_Toc448111706"/>
      <w:bookmarkStart w:id="51" w:name="_Toc449348414"/>
      <w:r>
        <w:rPr>
          <w:rStyle w:val="CharSectno"/>
        </w:rPr>
        <w:t>4</w:t>
      </w:r>
      <w:r>
        <w:t xml:space="preserve">  Commonwealth expe</w:t>
      </w:r>
      <w:r>
        <w:t>nditure during 1999 in connection with certain referendum proposals</w:t>
      </w:r>
      <w:bookmarkEnd w:id="40"/>
      <w:bookmarkEnd w:id="41"/>
      <w:bookmarkEnd w:id="42"/>
      <w:bookmarkEnd w:id="43"/>
      <w:bookmarkEnd w:id="44"/>
      <w:bookmarkEnd w:id="45"/>
      <w:bookmarkEnd w:id="46"/>
      <w:bookmarkEnd w:id="47"/>
      <w:bookmarkEnd w:id="48"/>
      <w:bookmarkEnd w:id="49"/>
      <w:bookmarkEnd w:id="50"/>
      <w:bookmarkEnd w:id="51"/>
    </w:p>
    <w:p w:rsidR="00000000" w:rsidRDefault="00676FED">
      <w:pPr>
        <w:pStyle w:val="Subsection"/>
      </w:pPr>
      <w:r>
        <w:tab/>
      </w:r>
      <w:r>
        <w:tab/>
        <w:t xml:space="preserve">Subsection 11(4) of the </w:t>
      </w:r>
      <w:r>
        <w:rPr>
          <w:i/>
          <w:iCs/>
        </w:rPr>
        <w:t>Refere</w:t>
      </w:r>
      <w:r>
        <w:rPr>
          <w:i/>
          <w:iCs/>
        </w:rPr>
        <w:t>ndum (Machinery Provisions) Act 1984</w:t>
      </w:r>
      <w:r>
        <w:t xml:space="preserve"> does not prevent expenditure by the Commonwealth in respect of things done during 1999 (whether or not by the Commonwealth) in connection with either of the following proposed laws (including expenditure before the rele</w:t>
      </w:r>
      <w:r>
        <w:t>vant Bills are introduced into the Parliament):</w:t>
      </w:r>
    </w:p>
    <w:p w:rsidR="00000000" w:rsidRDefault="00676FED">
      <w:pPr>
        <w:pStyle w:val="indenta"/>
      </w:pPr>
      <w:r>
        <w:tab/>
        <w:t>(a)</w:t>
      </w:r>
      <w:r>
        <w:tab/>
        <w:t>a proposed law to alter the Constitution to establish the Commonwealth of Australia as a republic;</w:t>
      </w:r>
    </w:p>
    <w:p w:rsidR="00000000" w:rsidRDefault="00676FED">
      <w:pPr>
        <w:pStyle w:val="indenta"/>
      </w:pPr>
      <w:r>
        <w:tab/>
        <w:t>(b)</w:t>
      </w:r>
      <w:r>
        <w:tab/>
        <w:t>a proposed law to insert a preamble in the Constitution.</w:t>
      </w:r>
    </w:p>
    <w:p w:rsidR="00000000" w:rsidRDefault="00676FED">
      <w:pPr>
        <w:pStyle w:val="PageBreak"/>
      </w:pPr>
      <w:r>
        <w:br w:type="page"/>
      </w:r>
    </w:p>
    <w:p w:rsidR="00000000" w:rsidRDefault="00676FED">
      <w:pPr>
        <w:pStyle w:val="Heading6"/>
      </w:pPr>
      <w:bookmarkStart w:id="52" w:name="_Toc442245555"/>
      <w:bookmarkStart w:id="53" w:name="_Toc445110562"/>
      <w:bookmarkStart w:id="54" w:name="_Toc445171994"/>
      <w:bookmarkStart w:id="55" w:name="_Toc445172159"/>
      <w:bookmarkStart w:id="56" w:name="_Toc445174289"/>
      <w:bookmarkStart w:id="57" w:name="_Toc445535768"/>
      <w:bookmarkStart w:id="58" w:name="_Toc445535828"/>
      <w:bookmarkStart w:id="59" w:name="_Toc445536745"/>
      <w:bookmarkStart w:id="60" w:name="_Toc445691084"/>
      <w:bookmarkStart w:id="61" w:name="_Toc445709023"/>
      <w:bookmarkStart w:id="62" w:name="_Toc445710355"/>
      <w:bookmarkStart w:id="63" w:name="_Toc448111707"/>
      <w:bookmarkStart w:id="64" w:name="_Toc449348415"/>
      <w:bookmarkStart w:id="65" w:name="AmSched"/>
      <w:bookmarkStart w:id="66" w:name="CurrentFind"/>
      <w:r>
        <w:rPr>
          <w:rStyle w:val="CharAmSchNo"/>
        </w:rPr>
        <w:t>Schedule 1</w:t>
      </w:r>
      <w:r>
        <w:t>—</w:t>
      </w:r>
      <w:r>
        <w:rPr>
          <w:rStyle w:val="CharAmSchText"/>
        </w:rPr>
        <w:t>Amendments</w:t>
      </w:r>
      <w:bookmarkEnd w:id="52"/>
      <w:bookmarkEnd w:id="53"/>
      <w:bookmarkEnd w:id="54"/>
      <w:bookmarkEnd w:id="55"/>
      <w:bookmarkEnd w:id="56"/>
      <w:bookmarkEnd w:id="57"/>
      <w:bookmarkEnd w:id="58"/>
      <w:bookmarkEnd w:id="59"/>
      <w:bookmarkEnd w:id="60"/>
      <w:bookmarkEnd w:id="61"/>
      <w:bookmarkEnd w:id="62"/>
      <w:bookmarkEnd w:id="63"/>
      <w:bookmarkEnd w:id="64"/>
    </w:p>
    <w:bookmarkEnd w:id="65"/>
    <w:bookmarkEnd w:id="66"/>
    <w:p w:rsidR="00000000" w:rsidRDefault="00676FED">
      <w:pPr>
        <w:pStyle w:val="Header"/>
      </w:pPr>
      <w:r>
        <w:rPr>
          <w:rStyle w:val="CharAmPartNo"/>
        </w:rPr>
        <w:t xml:space="preserve"> </w:t>
      </w:r>
      <w:r>
        <w:rPr>
          <w:rStyle w:val="CharAmPartText"/>
        </w:rPr>
        <w:t xml:space="preserve"> </w:t>
      </w:r>
    </w:p>
    <w:p w:rsidR="00000000" w:rsidRDefault="00676FED">
      <w:pPr>
        <w:pStyle w:val="Heading9"/>
      </w:pPr>
      <w:bookmarkStart w:id="67" w:name="_Toc442245556"/>
      <w:bookmarkStart w:id="68" w:name="_Toc445110563"/>
      <w:bookmarkStart w:id="69" w:name="_Toc445171995"/>
      <w:bookmarkStart w:id="70" w:name="_Toc445172160"/>
      <w:bookmarkStart w:id="71" w:name="_Toc445174290"/>
      <w:bookmarkStart w:id="72" w:name="_Toc445535769"/>
      <w:bookmarkStart w:id="73" w:name="_Toc445535829"/>
      <w:bookmarkStart w:id="74" w:name="_Toc445536746"/>
      <w:bookmarkStart w:id="75" w:name="_Toc445691085"/>
      <w:bookmarkStart w:id="76" w:name="_Toc445709024"/>
      <w:bookmarkStart w:id="77" w:name="_Toc445710356"/>
      <w:bookmarkStart w:id="78" w:name="_Toc448111708"/>
      <w:bookmarkStart w:id="79" w:name="_Toc449348416"/>
      <w:r>
        <w:t>Referendum (Machinery Provisions) Act 1984</w:t>
      </w:r>
      <w:bookmarkEnd w:id="67"/>
      <w:bookmarkEnd w:id="68"/>
      <w:bookmarkEnd w:id="69"/>
      <w:bookmarkEnd w:id="70"/>
      <w:bookmarkEnd w:id="71"/>
      <w:bookmarkEnd w:id="72"/>
      <w:bookmarkEnd w:id="73"/>
      <w:bookmarkEnd w:id="74"/>
      <w:bookmarkEnd w:id="75"/>
      <w:bookmarkEnd w:id="76"/>
      <w:bookmarkEnd w:id="77"/>
      <w:bookmarkEnd w:id="78"/>
      <w:bookmarkEnd w:id="79"/>
    </w:p>
    <w:p w:rsidR="00000000" w:rsidRDefault="00676FED">
      <w:pPr>
        <w:pStyle w:val="ItemHead"/>
      </w:pPr>
      <w:r>
        <w:t>1  Paragraphs 11(4)(a) and (</w:t>
      </w:r>
      <w:r>
        <w:t>aa)</w:t>
      </w:r>
    </w:p>
    <w:p w:rsidR="00000000" w:rsidRDefault="00676FED">
      <w:pPr>
        <w:pStyle w:val="Item"/>
      </w:pPr>
      <w:r>
        <w:t>Repeal the paragraphs, substitute:</w:t>
      </w:r>
    </w:p>
    <w:p w:rsidR="00000000" w:rsidRDefault="00676FED">
      <w:pPr>
        <w:pStyle w:val="indenta"/>
      </w:pPr>
      <w:r>
        <w:tab/>
        <w:t>(a)</w:t>
      </w:r>
      <w:r>
        <w:tab/>
        <w:t>the preparation, printing and posting, in accordance with this section, of the pamphlets referred to in this section;</w:t>
      </w:r>
    </w:p>
    <w:p w:rsidR="00000000" w:rsidRDefault="00676FED">
      <w:pPr>
        <w:pStyle w:val="indenta"/>
      </w:pPr>
      <w:r>
        <w:tab/>
        <w:t>(aa)</w:t>
      </w:r>
      <w:r>
        <w:tab/>
        <w:t>the preparation, by or on behalf of the Electoral Commission, of translations into other</w:t>
      </w:r>
      <w:r>
        <w:t xml:space="preserve"> languages of material contained in those pamphlets;</w:t>
      </w:r>
    </w:p>
    <w:p w:rsidR="00000000" w:rsidRDefault="00676FED">
      <w:pPr>
        <w:pStyle w:val="indenta"/>
      </w:pPr>
      <w:r>
        <w:tab/>
        <w:t>(ab)</w:t>
      </w:r>
      <w:r>
        <w:tab/>
        <w:t>the preparation, by or on behalf of the Electoral Commission, of presentations of material contained in those pamphlets in forms suitable for the visually impaired;</w:t>
      </w:r>
    </w:p>
    <w:p w:rsidR="00000000" w:rsidRDefault="00676FED">
      <w:pPr>
        <w:pStyle w:val="indenta"/>
      </w:pPr>
      <w:r>
        <w:tab/>
        <w:t>(ac)</w:t>
      </w:r>
      <w:r>
        <w:tab/>
        <w:t>the distribution or public</w:t>
      </w:r>
      <w:r>
        <w:t>ation, by or on behalf of the Electoral Commission, of those pamphlets, translations or presentations (including publication on the Internet);</w:t>
      </w:r>
    </w:p>
    <w:p w:rsidR="00000000" w:rsidRDefault="00676FED">
      <w:pPr>
        <w:pStyle w:val="ItemHead"/>
      </w:pPr>
      <w:r>
        <w:t>2  Subsection 25(2)</w:t>
      </w:r>
    </w:p>
    <w:p w:rsidR="00000000" w:rsidRDefault="00676FED">
      <w:pPr>
        <w:pStyle w:val="Item"/>
      </w:pPr>
      <w:r>
        <w:t>Omit “Where”, substitute “Subject to subsection (3A), where”.</w:t>
      </w:r>
    </w:p>
    <w:p w:rsidR="00000000" w:rsidRDefault="00676FED">
      <w:pPr>
        <w:pStyle w:val="ItemHead"/>
      </w:pPr>
      <w:r>
        <w:t>3  After subsection 25(3)</w:t>
      </w:r>
    </w:p>
    <w:p w:rsidR="00000000" w:rsidRDefault="00676FED">
      <w:pPr>
        <w:pStyle w:val="Item"/>
      </w:pPr>
      <w:r>
        <w:t>Insert:</w:t>
      </w:r>
    </w:p>
    <w:p w:rsidR="00000000" w:rsidRDefault="00676FED">
      <w:pPr>
        <w:pStyle w:val="Subsection"/>
      </w:pPr>
      <w:r>
        <w:tab/>
        <w:t>(3A)</w:t>
      </w:r>
      <w:r>
        <w:tab/>
        <w:t>If:</w:t>
      </w:r>
    </w:p>
    <w:p w:rsidR="00000000" w:rsidRDefault="00676FED">
      <w:pPr>
        <w:pStyle w:val="indenta"/>
      </w:pPr>
      <w:r>
        <w:tab/>
        <w:t>(a)</w:t>
      </w:r>
      <w:r>
        <w:tab/>
        <w:t>the Minister gives a written notice to the Electoral Commissioner that identifies 2 or more proposed laws; and</w:t>
      </w:r>
    </w:p>
    <w:p w:rsidR="00000000" w:rsidRDefault="00676FED">
      <w:pPr>
        <w:pStyle w:val="indenta"/>
      </w:pPr>
      <w:r>
        <w:tab/>
        <w:t>(b)</w:t>
      </w:r>
      <w:r>
        <w:tab/>
        <w:t xml:space="preserve">referendums are to be held on the same day (the </w:t>
      </w:r>
      <w:r>
        <w:rPr>
          <w:b/>
          <w:bCs/>
          <w:i/>
          <w:iCs/>
        </w:rPr>
        <w:t>referendum day</w:t>
      </w:r>
      <w:r>
        <w:t>) in relation to 2 or more of the proposed laws identif</w:t>
      </w:r>
      <w:r>
        <w:t>ied in the notice; and</w:t>
      </w:r>
    </w:p>
    <w:p w:rsidR="00000000" w:rsidRDefault="00676FED">
      <w:pPr>
        <w:pStyle w:val="indenta"/>
      </w:pPr>
      <w:r>
        <w:tab/>
        <w:t>(c)</w:t>
      </w:r>
      <w:r>
        <w:tab/>
        <w:t>the notice under paragraph (a) is given to the Electoral Commissioner at least 28 days before the issue of the writs for those referendums;</w:t>
      </w:r>
    </w:p>
    <w:p w:rsidR="00000000" w:rsidRDefault="00676FED">
      <w:pPr>
        <w:pStyle w:val="subsection2"/>
      </w:pPr>
      <w:r>
        <w:t>then:</w:t>
      </w:r>
    </w:p>
    <w:p w:rsidR="00000000" w:rsidRDefault="00676FED">
      <w:pPr>
        <w:pStyle w:val="indenta"/>
      </w:pPr>
      <w:r>
        <w:tab/>
        <w:t>(d)</w:t>
      </w:r>
      <w:r>
        <w:tab/>
        <w:t>the ballot papers for each referendum held on the referendum day must be prin</w:t>
      </w:r>
      <w:r>
        <w:t>ted on separate pieces of paper; and</w:t>
      </w:r>
    </w:p>
    <w:p w:rsidR="00000000" w:rsidRDefault="00676FED">
      <w:pPr>
        <w:pStyle w:val="indenta"/>
      </w:pPr>
      <w:r>
        <w:lastRenderedPageBreak/>
        <w:tab/>
        <w:t>(e)</w:t>
      </w:r>
      <w:r>
        <w:tab/>
        <w:t>for each of those referendums, the ballot papers must be of a different colour, chosen by the Electoral Commissioner.</w:t>
      </w:r>
    </w:p>
    <w:p w:rsidR="00000000" w:rsidRDefault="00676FED">
      <w:pPr>
        <w:pStyle w:val="ItemHead"/>
      </w:pPr>
      <w:r>
        <w:t>4  Paragraph 36A(3)(b)</w:t>
      </w:r>
    </w:p>
    <w:p w:rsidR="00000000" w:rsidRDefault="00676FED">
      <w:pPr>
        <w:pStyle w:val="Item"/>
      </w:pPr>
      <w:r>
        <w:t>Omit “the names of the candidates”, substitute “his or her vote”.</w:t>
      </w:r>
    </w:p>
    <w:p w:rsidR="00000000" w:rsidRDefault="00676FED"/>
    <w:p w:rsidR="00000000" w:rsidRDefault="00676FED">
      <w:pPr>
        <w:pBdr>
          <w:top w:val="single" w:sz="6" w:space="1" w:color="auto"/>
        </w:pBdr>
      </w:pPr>
    </w:p>
    <w:p w:rsidR="00000000" w:rsidRDefault="00676FED">
      <w:pPr>
        <w:rPr>
          <w:i/>
          <w:iCs/>
          <w:sz w:val="24"/>
          <w:szCs w:val="24"/>
        </w:rPr>
      </w:pPr>
      <w:r>
        <w:rPr>
          <w:sz w:val="24"/>
          <w:szCs w:val="24"/>
        </w:rPr>
        <w:t>[</w:t>
      </w:r>
      <w:r>
        <w:rPr>
          <w:i/>
          <w:iCs/>
          <w:sz w:val="24"/>
          <w:szCs w:val="24"/>
        </w:rPr>
        <w:t>Mini</w:t>
      </w:r>
      <w:r>
        <w:rPr>
          <w:i/>
          <w:iCs/>
          <w:sz w:val="24"/>
          <w:szCs w:val="24"/>
        </w:rPr>
        <w:t>ster’s second reading speech made in—</w:t>
      </w:r>
    </w:p>
    <w:p w:rsidR="00000000" w:rsidRDefault="00676FED">
      <w:pPr>
        <w:rPr>
          <w:i/>
          <w:iCs/>
          <w:sz w:val="24"/>
          <w:szCs w:val="24"/>
        </w:rPr>
      </w:pPr>
      <w:r>
        <w:rPr>
          <w:i/>
          <w:iCs/>
          <w:sz w:val="24"/>
          <w:szCs w:val="24"/>
        </w:rPr>
        <w:t>House of Representatives on 11 March 1999</w:t>
      </w:r>
    </w:p>
    <w:p w:rsidR="00000000" w:rsidRDefault="00676FED">
      <w:pPr>
        <w:rPr>
          <w:sz w:val="24"/>
          <w:szCs w:val="24"/>
        </w:rPr>
      </w:pPr>
      <w:r>
        <w:rPr>
          <w:i/>
          <w:iCs/>
          <w:sz w:val="24"/>
          <w:szCs w:val="24"/>
        </w:rPr>
        <w:t>Senate on 25 March 1999</w:t>
      </w:r>
      <w:r>
        <w:rPr>
          <w:sz w:val="24"/>
          <w:szCs w:val="24"/>
        </w:rPr>
        <w:t>]</w:t>
      </w:r>
    </w:p>
    <w:p w:rsidR="00000000" w:rsidRDefault="00676FED"/>
    <w:p w:rsidR="00000000" w:rsidRDefault="00676FED">
      <w:pPr>
        <w:framePr w:w="947" w:h="325" w:hSpace="181" w:wrap="notBeside" w:vAnchor="page" w:hAnchor="page" w:x="2448" w:y="12385"/>
        <w:rPr>
          <w:sz w:val="20"/>
          <w:szCs w:val="20"/>
        </w:rPr>
      </w:pPr>
      <w:r>
        <w:rPr>
          <w:sz w:val="20"/>
          <w:szCs w:val="20"/>
        </w:rPr>
        <w:t>(33/99)</w:t>
      </w:r>
    </w:p>
    <w:p w:rsidR="00000000" w:rsidRDefault="00676FED"/>
    <w:p w:rsidR="00000000" w:rsidRDefault="00676FED">
      <w:pPr>
        <w:pStyle w:val="ItemHead"/>
      </w:pPr>
    </w:p>
    <w:sectPr w:rsidR="00000000">
      <w:headerReference w:type="even" r:id="rId20"/>
      <w:headerReference w:type="default" r:id="rId21"/>
      <w:footerReference w:type="even" r:id="rId22"/>
      <w:footerReference w:type="default" r:id="rId23"/>
      <w:headerReference w:type="first" r:id="rId24"/>
      <w:footerReference w:type="first" r:id="rId25"/>
      <w:pgSz w:w="11906" w:h="16838" w:code="9"/>
      <w:pgMar w:top="1871" w:right="2410" w:bottom="4252" w:left="2410" w:header="709" w:footer="3402"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6FED">
      <w:pPr>
        <w:spacing w:line="240" w:lineRule="auto"/>
      </w:pPr>
      <w:r>
        <w:separator/>
      </w:r>
    </w:p>
  </w:endnote>
  <w:endnote w:type="continuationSeparator" w:id="0">
    <w:p w:rsidR="00000000" w:rsidRDefault="00676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F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F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FED">
    <w:pPr>
      <w:pBdr>
        <w:top w:val="single" w:sz="6" w:space="1" w:color="auto"/>
      </w:pBdr>
      <w:rPr>
        <w:sz w:val="18"/>
        <w:szCs w:val="18"/>
      </w:rPr>
    </w:pPr>
  </w:p>
  <w:p w:rsidR="00000000" w:rsidRDefault="00676FE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Referendum Legislation Amendment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22,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FED">
    <w:pPr>
      <w:pBdr>
        <w:top w:val="single" w:sz="6" w:space="1" w:color="auto"/>
      </w:pBdr>
      <w:rPr>
        <w:sz w:val="18"/>
        <w:szCs w:val="18"/>
      </w:rPr>
    </w:pPr>
  </w:p>
  <w:p w:rsidR="00000000" w:rsidRDefault="00676FED">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Referendum Legislation Amendment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22, 1999</w:t>
    </w:r>
    <w:r>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FED">
    <w:pPr>
      <w:pBdr>
        <w:top w:val="single" w:sz="6" w:space="1" w:color="auto"/>
      </w:pBdr>
      <w:jc w:val="right"/>
      <w:rPr>
        <w:sz w:val="18"/>
        <w:szCs w:val="18"/>
      </w:rPr>
    </w:pPr>
  </w:p>
  <w:p w:rsidR="00000000" w:rsidRDefault="00676FED">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Referendum Legislation Amendment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22, 1999</w:t>
    </w:r>
    <w:r>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FED">
    <w:pPr>
      <w:pBdr>
        <w:top w:val="single" w:sz="6" w:space="1" w:color="auto"/>
      </w:pBdr>
      <w:rPr>
        <w:sz w:val="18"/>
        <w:szCs w:val="18"/>
      </w:rPr>
    </w:pPr>
  </w:p>
  <w:p w:rsidR="00000000" w:rsidRDefault="00676FE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Referendum Legislation Amendment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w:instrText>
    </w:r>
    <w:r>
      <w:rPr>
        <w:i/>
        <w:iCs/>
        <w:sz w:val="18"/>
        <w:szCs w:val="18"/>
      </w:rPr>
      <w:instrText xml:space="preserve">F Actno </w:instrText>
    </w:r>
    <w:r>
      <w:rPr>
        <w:i/>
        <w:iCs/>
        <w:sz w:val="18"/>
        <w:szCs w:val="18"/>
      </w:rPr>
      <w:fldChar w:fldCharType="separate"/>
    </w:r>
    <w:r>
      <w:rPr>
        <w:i/>
        <w:iCs/>
        <w:noProof/>
        <w:sz w:val="18"/>
        <w:szCs w:val="18"/>
      </w:rPr>
      <w:t>No. 22,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FED">
    <w:pPr>
      <w:pBdr>
        <w:top w:val="single" w:sz="6" w:space="1" w:color="auto"/>
      </w:pBdr>
      <w:rPr>
        <w:sz w:val="18"/>
        <w:szCs w:val="18"/>
      </w:rPr>
    </w:pPr>
  </w:p>
  <w:p w:rsidR="00000000" w:rsidRDefault="00676FE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Referendum Legislation Amendment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22,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6FED">
      <w:pPr>
        <w:spacing w:line="240" w:lineRule="auto"/>
      </w:pPr>
      <w:r>
        <w:separator/>
      </w:r>
    </w:p>
  </w:footnote>
  <w:footnote w:type="continuationSeparator" w:id="0">
    <w:p w:rsidR="00000000" w:rsidRDefault="00676F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F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F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FED">
    <w:pPr>
      <w:pBdr>
        <w:bottom w:val="single" w:sz="12"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FED">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FED">
    <w:pPr>
      <w:rPr>
        <w:sz w:val="20"/>
        <w:szCs w:val="20"/>
      </w:rPr>
    </w:pPr>
    <w:r>
      <w:rPr>
        <w:b/>
        <w:bCs/>
        <w:sz w:val="20"/>
        <w:szCs w:val="20"/>
      </w:rPr>
      <w:fldChar w:fldCharType="begin"/>
    </w:r>
    <w:r>
      <w:rPr>
        <w:b/>
        <w:bCs/>
        <w:sz w:val="20"/>
        <w:szCs w:val="20"/>
      </w:rPr>
      <w:instrText xml:space="preserve"> STYLEREF CharAmSchNo </w:instrText>
    </w:r>
    <w:r>
      <w:rPr>
        <w:b/>
        <w:bCs/>
        <w:sz w:val="20"/>
        <w:szCs w:val="20"/>
      </w:rPr>
      <w:fldChar w:fldCharType="separate"/>
    </w:r>
    <w:r>
      <w:rPr>
        <w:b/>
        <w:bCs/>
        <w:noProof/>
        <w:sz w:val="20"/>
        <w:szCs w:val="20"/>
      </w:rPr>
      <w:t>Schedule 1</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Pr>
        <w:sz w:val="20"/>
        <w:szCs w:val="20"/>
      </w:rPr>
      <w:fldChar w:fldCharType="separate"/>
    </w:r>
    <w:r>
      <w:rPr>
        <w:noProof/>
        <w:sz w:val="20"/>
        <w:szCs w:val="20"/>
      </w:rPr>
      <w:t>Amendments</w:t>
    </w:r>
    <w:r>
      <w:rPr>
        <w:sz w:val="20"/>
        <w:szCs w:val="20"/>
      </w:rPr>
      <w:fldChar w:fldCharType="end"/>
    </w:r>
  </w:p>
  <w:p w:rsidR="00000000" w:rsidRDefault="00676FED">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000000" w:rsidRDefault="00676FED">
    <w:pPr>
      <w:pBdr>
        <w:bottom w:val="single" w:sz="6"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FED">
    <w:pPr>
      <w:jc w:val="right"/>
      <w:rPr>
        <w:sz w:val="20"/>
        <w:szCs w:val="20"/>
      </w:rPr>
    </w:pPr>
    <w:r>
      <w:rPr>
        <w:sz w:val="20"/>
        <w:szCs w:val="20"/>
      </w:rPr>
      <w:fldChar w:fldCharType="begin"/>
    </w:r>
    <w:r>
      <w:rPr>
        <w:sz w:val="20"/>
        <w:szCs w:val="20"/>
      </w:rPr>
      <w:instrText xml:space="preserve"> STYLEREF CharAmSchText </w:instrText>
    </w:r>
    <w:r>
      <w:rPr>
        <w:sz w:val="20"/>
        <w:szCs w:val="20"/>
      </w:rPr>
      <w:fldChar w:fldCharType="separate"/>
    </w:r>
    <w:r>
      <w:rPr>
        <w:noProof/>
        <w:sz w:val="20"/>
        <w:szCs w:val="20"/>
      </w:rPr>
      <w:t>Amendments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Pr>
        <w:b/>
        <w:bCs/>
        <w:sz w:val="20"/>
        <w:szCs w:val="20"/>
      </w:rPr>
      <w:fldChar w:fldCharType="separate"/>
    </w:r>
    <w:r>
      <w:rPr>
        <w:b/>
        <w:bCs/>
        <w:noProof/>
        <w:sz w:val="20"/>
        <w:szCs w:val="20"/>
      </w:rPr>
      <w:t>Schedule 1</w:t>
    </w:r>
    <w:r>
      <w:rPr>
        <w:b/>
        <w:bCs/>
        <w:sz w:val="20"/>
        <w:szCs w:val="20"/>
      </w:rPr>
      <w:fldChar w:fldCharType="end"/>
    </w:r>
  </w:p>
  <w:p w:rsidR="00000000" w:rsidRDefault="00676FED">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p w:rsidR="00000000" w:rsidRDefault="00676FED">
    <w:pPr>
      <w:pBdr>
        <w:bottom w:val="single" w:sz="6" w:space="1" w:color="auto"/>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F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0BA5BF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0F8775C"/>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F68C145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897CF026"/>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C1E219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FED"/>
    <w:rsid w:val="00676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uiPriority w:val="99"/>
    <w:rPr>
      <w:b/>
      <w:bCs/>
      <w:sz w:val="40"/>
      <w:szCs w:val="40"/>
    </w:rPr>
  </w:style>
  <w:style w:type="paragraph" w:customStyle="1" w:styleId="Actno">
    <w:name w:val="Actno"/>
    <w:basedOn w:val="ShortT"/>
    <w:next w:val="Normal"/>
    <w:uiPriority w:val="99"/>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customStyle="1" w:styleId="Formula">
    <w:name w:val="Formula"/>
    <w:basedOn w:val="Normal"/>
    <w:uiPriority w:val="99"/>
    <w:pPr>
      <w:ind w:left="1134"/>
    </w:pPr>
  </w:style>
  <w:style w:type="paragraph" w:styleId="Header">
    <w:name w:val="header"/>
    <w:basedOn w:val="Normal"/>
    <w:link w:val="HeaderChar"/>
    <w:uiPriority w:val="99"/>
    <w:pPr>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uiPriority w:val="99"/>
    <w:pPr>
      <w:ind w:left="284" w:hanging="284"/>
    </w:pPr>
  </w:style>
  <w:style w:type="paragraph" w:styleId="ListBullet2">
    <w:name w:val="List Bullet 2"/>
    <w:basedOn w:val="Normal"/>
    <w:uiPriority w:val="99"/>
    <w:pPr>
      <w:tabs>
        <w:tab w:val="left" w:pos="643"/>
      </w:tabs>
      <w:ind w:left="643" w:hanging="360"/>
    </w:pPr>
  </w:style>
  <w:style w:type="paragraph" w:styleId="ListBullet3">
    <w:name w:val="List Bullet 3"/>
    <w:basedOn w:val="Normal"/>
    <w:uiPriority w:val="99"/>
    <w:pPr>
      <w:tabs>
        <w:tab w:val="left" w:pos="926"/>
      </w:tabs>
      <w:ind w:left="926" w:hanging="360"/>
    </w:pPr>
  </w:style>
  <w:style w:type="paragraph" w:styleId="ListBullet4">
    <w:name w:val="List Bullet 4"/>
    <w:basedOn w:val="Normal"/>
    <w:uiPriority w:val="99"/>
    <w:pPr>
      <w:tabs>
        <w:tab w:val="left" w:pos="1209"/>
      </w:tabs>
      <w:ind w:left="1209" w:hanging="360"/>
    </w:pPr>
  </w:style>
  <w:style w:type="paragraph" w:styleId="ListBullet5">
    <w:name w:val="List Bullet 5"/>
    <w:basedOn w:val="Normal"/>
    <w:uiPriority w:val="99"/>
    <w:pPr>
      <w:tabs>
        <w:tab w:val="left" w:pos="1492"/>
      </w:tabs>
      <w:ind w:left="1492" w:hanging="360"/>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FF"/>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uiPriority w:val="99"/>
    <w:rPr>
      <w:b/>
      <w:bCs/>
      <w:sz w:val="40"/>
      <w:szCs w:val="40"/>
    </w:rPr>
  </w:style>
  <w:style w:type="paragraph" w:customStyle="1" w:styleId="Actno">
    <w:name w:val="Actno"/>
    <w:basedOn w:val="ShortT"/>
    <w:next w:val="Normal"/>
    <w:uiPriority w:val="99"/>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customStyle="1" w:styleId="Formula">
    <w:name w:val="Formula"/>
    <w:basedOn w:val="Normal"/>
    <w:uiPriority w:val="99"/>
    <w:pPr>
      <w:ind w:left="1134"/>
    </w:pPr>
  </w:style>
  <w:style w:type="paragraph" w:styleId="Header">
    <w:name w:val="header"/>
    <w:basedOn w:val="Normal"/>
    <w:link w:val="HeaderChar"/>
    <w:uiPriority w:val="99"/>
    <w:pPr>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uiPriority w:val="99"/>
    <w:pPr>
      <w:ind w:left="284" w:hanging="284"/>
    </w:pPr>
  </w:style>
  <w:style w:type="paragraph" w:styleId="ListBullet2">
    <w:name w:val="List Bullet 2"/>
    <w:basedOn w:val="Normal"/>
    <w:uiPriority w:val="99"/>
    <w:pPr>
      <w:tabs>
        <w:tab w:val="left" w:pos="643"/>
      </w:tabs>
      <w:ind w:left="643" w:hanging="360"/>
    </w:pPr>
  </w:style>
  <w:style w:type="paragraph" w:styleId="ListBullet3">
    <w:name w:val="List Bullet 3"/>
    <w:basedOn w:val="Normal"/>
    <w:uiPriority w:val="99"/>
    <w:pPr>
      <w:tabs>
        <w:tab w:val="left" w:pos="926"/>
      </w:tabs>
      <w:ind w:left="926" w:hanging="360"/>
    </w:pPr>
  </w:style>
  <w:style w:type="paragraph" w:styleId="ListBullet4">
    <w:name w:val="List Bullet 4"/>
    <w:basedOn w:val="Normal"/>
    <w:uiPriority w:val="99"/>
    <w:pPr>
      <w:tabs>
        <w:tab w:val="left" w:pos="1209"/>
      </w:tabs>
      <w:ind w:left="1209" w:hanging="360"/>
    </w:pPr>
  </w:style>
  <w:style w:type="paragraph" w:styleId="ListBullet5">
    <w:name w:val="List Bullet 5"/>
    <w:basedOn w:val="Normal"/>
    <w:uiPriority w:val="99"/>
    <w:pPr>
      <w:tabs>
        <w:tab w:val="left" w:pos="1492"/>
      </w:tabs>
      <w:ind w:left="1492" w:hanging="360"/>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FF"/>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oleObject" Target="embeddings/oleObject2.bin"/><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Office of Parliamentary Counsel</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sherdj</dc:creator>
  <cp:lastModifiedBy>Purba, Wendy</cp:lastModifiedBy>
  <cp:revision>2</cp:revision>
  <dcterms:created xsi:type="dcterms:W3CDTF">2019-09-13T05:48:00Z</dcterms:created>
  <dcterms:modified xsi:type="dcterms:W3CDTF">2019-09-13T05:48:00Z</dcterms:modified>
</cp:coreProperties>
</file>