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F3A" w:rsidRDefault="00DD74C4">
      <w:pPr>
        <w:rPr>
          <w:sz w:val="28"/>
          <w:szCs w:val="28"/>
        </w:rPr>
      </w:pPr>
      <w:r>
        <w:rPr>
          <w:noProof/>
          <w:sz w:val="28"/>
        </w:rPr>
        <w:drawing>
          <wp:inline distT="0" distB="0" distL="0" distR="0" wp14:anchorId="63C9E58D" wp14:editId="53783042">
            <wp:extent cx="1352550" cy="9906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of Austral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990600"/>
                    </a:xfrm>
                    <a:prstGeom prst="rect">
                      <a:avLst/>
                    </a:prstGeom>
                    <a:noFill/>
                    <a:ln>
                      <a:noFill/>
                    </a:ln>
                  </pic:spPr>
                </pic:pic>
              </a:graphicData>
            </a:graphic>
          </wp:inline>
        </w:drawing>
      </w:r>
    </w:p>
    <w:p w:rsidR="002B5F3A" w:rsidRDefault="002B5F3A">
      <w:pPr>
        <w:rPr>
          <w:sz w:val="28"/>
          <w:szCs w:val="28"/>
        </w:rPr>
      </w:pPr>
    </w:p>
    <w:p w:rsidR="002B5F3A" w:rsidRDefault="002B5F3A">
      <w:pPr>
        <w:rPr>
          <w:sz w:val="28"/>
          <w:szCs w:val="28"/>
        </w:rPr>
      </w:pPr>
    </w:p>
    <w:p w:rsidR="002B5F3A" w:rsidRDefault="002B5F3A">
      <w:pPr>
        <w:rPr>
          <w:sz w:val="28"/>
          <w:szCs w:val="28"/>
        </w:rPr>
      </w:pPr>
    </w:p>
    <w:p w:rsidR="002B5F3A" w:rsidRDefault="002B5F3A">
      <w:pPr>
        <w:rPr>
          <w:i/>
          <w:iCs/>
          <w:sz w:val="19"/>
          <w:szCs w:val="19"/>
        </w:rPr>
      </w:pPr>
    </w:p>
    <w:p w:rsidR="002B5F3A" w:rsidRDefault="00A2769A">
      <w:pPr>
        <w:pStyle w:val="ShortT"/>
      </w:pPr>
      <w:r>
        <w:t>Superannuation Supervisory Levy Imposition Act 1998</w:t>
      </w:r>
    </w:p>
    <w:p w:rsidR="002B5F3A" w:rsidRPr="003513C5" w:rsidRDefault="00A2769A">
      <w:pPr>
        <w:pStyle w:val="Actno"/>
        <w:spacing w:before="400"/>
      </w:pPr>
      <w:r w:rsidRPr="003513C5">
        <w:t>No. 60, 1998</w:t>
      </w:r>
    </w:p>
    <w:p w:rsidR="002B5F3A" w:rsidRDefault="002B5F3A"/>
    <w:p w:rsidR="002B5F3A" w:rsidRDefault="002B5F3A"/>
    <w:p w:rsidR="002B5F3A" w:rsidRDefault="002B5F3A"/>
    <w:p w:rsidR="002B5F3A" w:rsidRDefault="002B5F3A"/>
    <w:p w:rsidR="002B5F3A" w:rsidRDefault="00A2769A">
      <w:pPr>
        <w:pStyle w:val="LongT"/>
      </w:pPr>
      <w:r>
        <w:t>An Act to impose a levy on trustees of certain superannuation entities</w:t>
      </w:r>
    </w:p>
    <w:p w:rsidR="002B5F3A" w:rsidRDefault="00A2769A">
      <w:pPr>
        <w:pStyle w:val="Header"/>
      </w:pPr>
      <w:r>
        <w:rPr>
          <w:rStyle w:val="CharChapNo"/>
        </w:rPr>
        <w:t xml:space="preserve"> </w:t>
      </w:r>
      <w:r>
        <w:rPr>
          <w:rStyle w:val="CharChapText"/>
        </w:rPr>
        <w:t xml:space="preserve"> </w:t>
      </w:r>
    </w:p>
    <w:p w:rsidR="002B5F3A" w:rsidRDefault="00A2769A">
      <w:pPr>
        <w:pStyle w:val="Header"/>
      </w:pPr>
      <w:r>
        <w:rPr>
          <w:rStyle w:val="CharPartNo"/>
        </w:rPr>
        <w:t xml:space="preserve"> </w:t>
      </w:r>
      <w:r>
        <w:rPr>
          <w:rStyle w:val="CharPartText"/>
        </w:rPr>
        <w:t xml:space="preserve"> </w:t>
      </w:r>
    </w:p>
    <w:p w:rsidR="002B5F3A" w:rsidRDefault="00A2769A">
      <w:pPr>
        <w:pStyle w:val="Header"/>
        <w:rPr>
          <w:rStyle w:val="CharDivText"/>
        </w:rPr>
      </w:pPr>
      <w:r>
        <w:rPr>
          <w:rStyle w:val="CharDivNo"/>
        </w:rPr>
        <w:t xml:space="preserve"> </w:t>
      </w:r>
      <w:r>
        <w:rPr>
          <w:rStyle w:val="CharDivText"/>
        </w:rPr>
        <w:t xml:space="preserve"> </w:t>
      </w:r>
    </w:p>
    <w:p w:rsidR="002B5F3A" w:rsidRDefault="002B5F3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2B5F3A">
          <w:headerReference w:type="even" r:id="rId7"/>
          <w:headerReference w:type="default" r:id="rId8"/>
          <w:footerReference w:type="even" r:id="rId9"/>
          <w:footerReference w:type="default" r:id="rId10"/>
          <w:headerReference w:type="first" r:id="rId11"/>
          <w:type w:val="nextColumn"/>
          <w:pgSz w:w="11907" w:h="16840" w:code="9"/>
          <w:pgMar w:top="2381" w:right="2410" w:bottom="3544" w:left="2410" w:header="720" w:footer="4111" w:gutter="0"/>
          <w:pgNumType w:start="1"/>
          <w:cols w:space="720"/>
          <w:titlePg/>
        </w:sectPr>
      </w:pPr>
    </w:p>
    <w:p w:rsidR="002B5F3A" w:rsidRDefault="00A2769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2B5F3A" w:rsidRDefault="00A2769A">
      <w:pPr>
        <w:pStyle w:val="TOC5"/>
      </w:pPr>
      <w:r>
        <w:fldChar w:fldCharType="begin"/>
      </w:r>
      <w:r>
        <w:instrText xml:space="preserve"> TOC \t "Heading 1,1,Heading 2,2,Heading 3,3,Heading 4,4,Heading 5,5, Heading 6,6,Heading 7,7,Heading 8,8, Heading 9,9" </w:instrText>
      </w:r>
      <w:r>
        <w:fldChar w:fldCharType="separate"/>
      </w:r>
      <w:r>
        <w:t>1</w:t>
      </w:r>
      <w:r>
        <w:tab/>
        <w:t>Short title</w:t>
      </w:r>
      <w:r>
        <w:tab/>
      </w:r>
      <w:r>
        <w:fldChar w:fldCharType="begin"/>
      </w:r>
      <w:r>
        <w:instrText xml:space="preserve"> GOTOBUTTON _Toc415373804  </w:instrText>
      </w:r>
      <w:r>
        <w:fldChar w:fldCharType="begin"/>
      </w:r>
      <w:r>
        <w:instrText xml:space="preserve"> PAGEREF _Toc415373804 </w:instrText>
      </w:r>
      <w:r>
        <w:fldChar w:fldCharType="separate"/>
      </w:r>
      <w:r>
        <w:instrText>1</w:instrText>
      </w:r>
      <w:r>
        <w:fldChar w:fldCharType="end"/>
      </w:r>
      <w:r>
        <w:fldChar w:fldCharType="end"/>
      </w:r>
    </w:p>
    <w:p w:rsidR="002B5F3A" w:rsidRDefault="00A2769A">
      <w:pPr>
        <w:pStyle w:val="TOC5"/>
      </w:pPr>
      <w:r>
        <w:t>2</w:t>
      </w:r>
      <w:r>
        <w:tab/>
        <w:t>Commencement</w:t>
      </w:r>
      <w:r>
        <w:tab/>
      </w:r>
      <w:r>
        <w:fldChar w:fldCharType="begin"/>
      </w:r>
      <w:r>
        <w:instrText xml:space="preserve"> GOTOBUTTON _Toc415373805  </w:instrText>
      </w:r>
      <w:r>
        <w:fldChar w:fldCharType="begin"/>
      </w:r>
      <w:r>
        <w:instrText xml:space="preserve"> PAGEREF _Toc415373805 </w:instrText>
      </w:r>
      <w:r>
        <w:fldChar w:fldCharType="separate"/>
      </w:r>
      <w:r>
        <w:instrText>1</w:instrText>
      </w:r>
      <w:r>
        <w:fldChar w:fldCharType="end"/>
      </w:r>
      <w:r>
        <w:fldChar w:fldCharType="end"/>
      </w:r>
    </w:p>
    <w:p w:rsidR="002B5F3A" w:rsidRDefault="00A2769A">
      <w:pPr>
        <w:pStyle w:val="TOC5"/>
      </w:pPr>
      <w:r>
        <w:t>3</w:t>
      </w:r>
      <w:r>
        <w:tab/>
        <w:t>Act binds the Crown</w:t>
      </w:r>
      <w:r>
        <w:tab/>
      </w:r>
      <w:r>
        <w:fldChar w:fldCharType="begin"/>
      </w:r>
      <w:r>
        <w:instrText xml:space="preserve"> GOTOBUTTON _Toc415373806  </w:instrText>
      </w:r>
      <w:r>
        <w:fldChar w:fldCharType="begin"/>
      </w:r>
      <w:r>
        <w:instrText xml:space="preserve"> PAGEREF _Toc415373806 </w:instrText>
      </w:r>
      <w:r>
        <w:fldChar w:fldCharType="separate"/>
      </w:r>
      <w:r>
        <w:instrText>2</w:instrText>
      </w:r>
      <w:r>
        <w:fldChar w:fldCharType="end"/>
      </w:r>
      <w:r>
        <w:fldChar w:fldCharType="end"/>
      </w:r>
    </w:p>
    <w:p w:rsidR="002B5F3A" w:rsidRDefault="00A2769A">
      <w:pPr>
        <w:pStyle w:val="TOC5"/>
      </w:pPr>
      <w:r>
        <w:t>4</w:t>
      </w:r>
      <w:r>
        <w:tab/>
        <w:t>External Territories</w:t>
      </w:r>
      <w:r>
        <w:tab/>
      </w:r>
      <w:r>
        <w:fldChar w:fldCharType="begin"/>
      </w:r>
      <w:r>
        <w:instrText xml:space="preserve"> GOTOBUTTON _Toc415373807  </w:instrText>
      </w:r>
      <w:r>
        <w:fldChar w:fldCharType="begin"/>
      </w:r>
      <w:r>
        <w:instrText xml:space="preserve"> PAGEREF _Toc415373807 </w:instrText>
      </w:r>
      <w:r>
        <w:fldChar w:fldCharType="separate"/>
      </w:r>
      <w:r>
        <w:instrText>2</w:instrText>
      </w:r>
      <w:r>
        <w:fldChar w:fldCharType="end"/>
      </w:r>
      <w:r>
        <w:fldChar w:fldCharType="end"/>
      </w:r>
    </w:p>
    <w:p w:rsidR="002B5F3A" w:rsidRDefault="00A2769A">
      <w:pPr>
        <w:pStyle w:val="TOC5"/>
      </w:pPr>
      <w:r>
        <w:t>5</w:t>
      </w:r>
      <w:r>
        <w:tab/>
        <w:t>Definitions</w:t>
      </w:r>
      <w:r>
        <w:tab/>
      </w:r>
      <w:r>
        <w:fldChar w:fldCharType="begin"/>
      </w:r>
      <w:r>
        <w:instrText xml:space="preserve"> GOTOBUTTON _Toc415373808  </w:instrText>
      </w:r>
      <w:r>
        <w:fldChar w:fldCharType="begin"/>
      </w:r>
      <w:r>
        <w:instrText xml:space="preserve"> PAGEREF _Toc415373808 </w:instrText>
      </w:r>
      <w:r>
        <w:fldChar w:fldCharType="separate"/>
      </w:r>
      <w:r>
        <w:instrText>2</w:instrText>
      </w:r>
      <w:r>
        <w:fldChar w:fldCharType="end"/>
      </w:r>
      <w:r>
        <w:fldChar w:fldCharType="end"/>
      </w:r>
    </w:p>
    <w:p w:rsidR="002B5F3A" w:rsidRDefault="00A2769A">
      <w:pPr>
        <w:pStyle w:val="TOC5"/>
      </w:pPr>
      <w:r>
        <w:t>6</w:t>
      </w:r>
      <w:r>
        <w:tab/>
        <w:t>Imposition of superannuation industry supervisory levy</w:t>
      </w:r>
      <w:r>
        <w:tab/>
      </w:r>
      <w:r>
        <w:fldChar w:fldCharType="begin"/>
      </w:r>
      <w:r>
        <w:instrText xml:space="preserve"> GOTOBUTTON _Toc415373809  </w:instrText>
      </w:r>
      <w:r>
        <w:fldChar w:fldCharType="begin"/>
      </w:r>
      <w:r>
        <w:instrText xml:space="preserve"> PAGEREF _Toc415373809 </w:instrText>
      </w:r>
      <w:r>
        <w:fldChar w:fldCharType="separate"/>
      </w:r>
      <w:r>
        <w:instrText>3</w:instrText>
      </w:r>
      <w:r>
        <w:fldChar w:fldCharType="end"/>
      </w:r>
      <w:r>
        <w:fldChar w:fldCharType="end"/>
      </w:r>
    </w:p>
    <w:p w:rsidR="002B5F3A" w:rsidRDefault="00A2769A">
      <w:pPr>
        <w:pStyle w:val="TOC5"/>
      </w:pPr>
      <w:r>
        <w:t>7</w:t>
      </w:r>
      <w:r>
        <w:tab/>
        <w:t>Amount of levy</w:t>
      </w:r>
      <w:r>
        <w:tab/>
      </w:r>
      <w:r>
        <w:fldChar w:fldCharType="begin"/>
      </w:r>
      <w:r>
        <w:instrText xml:space="preserve"> GOTOBUTTON _Toc415373810  </w:instrText>
      </w:r>
      <w:r>
        <w:fldChar w:fldCharType="begin"/>
      </w:r>
      <w:r>
        <w:instrText xml:space="preserve"> PAGEREF _Toc415373810 </w:instrText>
      </w:r>
      <w:r>
        <w:fldChar w:fldCharType="separate"/>
      </w:r>
      <w:r>
        <w:instrText>3</w:instrText>
      </w:r>
      <w:r>
        <w:fldChar w:fldCharType="end"/>
      </w:r>
      <w:r>
        <w:fldChar w:fldCharType="end"/>
      </w:r>
    </w:p>
    <w:p w:rsidR="002B5F3A" w:rsidRDefault="00A2769A">
      <w:pPr>
        <w:pStyle w:val="TOC5"/>
      </w:pPr>
      <w:r>
        <w:t>8</w:t>
      </w:r>
      <w:r>
        <w:tab/>
        <w:t>Calculation of indexation factor</w:t>
      </w:r>
      <w:r>
        <w:tab/>
      </w:r>
      <w:r>
        <w:fldChar w:fldCharType="begin"/>
      </w:r>
      <w:r>
        <w:instrText xml:space="preserve"> GOTOBUTTON _Toc415373811  </w:instrText>
      </w:r>
      <w:r>
        <w:fldChar w:fldCharType="begin"/>
      </w:r>
      <w:r>
        <w:instrText xml:space="preserve"> PAGEREF _Toc415373811 </w:instrText>
      </w:r>
      <w:r>
        <w:fldChar w:fldCharType="separate"/>
      </w:r>
      <w:r>
        <w:instrText>4</w:instrText>
      </w:r>
      <w:r>
        <w:fldChar w:fldCharType="end"/>
      </w:r>
      <w:r>
        <w:fldChar w:fldCharType="end"/>
      </w:r>
    </w:p>
    <w:p w:rsidR="002B5F3A" w:rsidRDefault="00A2769A">
      <w:pPr>
        <w:pStyle w:val="TOC5"/>
      </w:pPr>
      <w:r>
        <w:t>9</w:t>
      </w:r>
      <w:r>
        <w:tab/>
        <w:t>Regulations</w:t>
      </w:r>
      <w:r>
        <w:tab/>
      </w:r>
      <w:r>
        <w:fldChar w:fldCharType="begin"/>
      </w:r>
      <w:r>
        <w:instrText xml:space="preserve"> GOTOBUTTON _Toc415373812  </w:instrText>
      </w:r>
      <w:r>
        <w:fldChar w:fldCharType="begin"/>
      </w:r>
      <w:r>
        <w:instrText xml:space="preserve"> PAGEREF _Toc415373812 </w:instrText>
      </w:r>
      <w:r>
        <w:fldChar w:fldCharType="separate"/>
      </w:r>
      <w:r>
        <w:instrText>5</w:instrText>
      </w:r>
      <w:r>
        <w:fldChar w:fldCharType="end"/>
      </w:r>
      <w:r>
        <w:fldChar w:fldCharType="end"/>
      </w:r>
    </w:p>
    <w:p w:rsidR="002B5F3A" w:rsidRDefault="00A2769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
        <w:fldChar w:fldCharType="end"/>
      </w:r>
    </w:p>
    <w:p w:rsidR="002B5F3A" w:rsidRDefault="002B5F3A">
      <w:pPr>
        <w:sectPr w:rsidR="002B5F3A">
          <w:headerReference w:type="even" r:id="rId12"/>
          <w:headerReference w:type="default" r:id="rId13"/>
          <w:footerReference w:type="even" r:id="rId14"/>
          <w:footerReference w:type="default" r:id="rId15"/>
          <w:pgSz w:w="11907" w:h="16840" w:code="9"/>
          <w:pgMar w:top="2381" w:right="2410" w:bottom="3544" w:left="2410" w:header="720" w:footer="4111" w:gutter="0"/>
          <w:pgNumType w:fmt="lowerRoman" w:start="1"/>
          <w:cols w:space="720"/>
        </w:sectPr>
      </w:pPr>
    </w:p>
    <w:p w:rsidR="002B5F3A" w:rsidRDefault="00DD74C4">
      <w:r>
        <w:rPr>
          <w:noProof/>
          <w:sz w:val="28"/>
        </w:rPr>
        <w:lastRenderedPageBreak/>
        <w:drawing>
          <wp:inline distT="0" distB="0" distL="0" distR="0" wp14:anchorId="63C9E58D" wp14:editId="53783042">
            <wp:extent cx="1352550" cy="99060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of Austral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990600"/>
                    </a:xfrm>
                    <a:prstGeom prst="rect">
                      <a:avLst/>
                    </a:prstGeom>
                    <a:noFill/>
                    <a:ln>
                      <a:noFill/>
                    </a:ln>
                  </pic:spPr>
                </pic:pic>
              </a:graphicData>
            </a:graphic>
          </wp:inline>
        </w:drawing>
      </w:r>
    </w:p>
    <w:p w:rsidR="002B5F3A" w:rsidRDefault="00A2769A">
      <w:pPr>
        <w:spacing w:before="800"/>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sz w:val="40"/>
          <w:szCs w:val="40"/>
        </w:rPr>
        <w:t>Superannuation Supervisory Levy Imposition Act 1998</w:t>
      </w:r>
      <w:r>
        <w:rPr>
          <w:b/>
          <w:bCs/>
          <w:sz w:val="40"/>
          <w:szCs w:val="40"/>
        </w:rPr>
        <w:fldChar w:fldCharType="end"/>
      </w:r>
    </w:p>
    <w:p w:rsidR="002B5F3A" w:rsidRDefault="00A2769A">
      <w:pPr>
        <w:spacing w:before="36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No. 60, 1998</w:t>
      </w:r>
      <w:r>
        <w:rPr>
          <w:b/>
          <w:bCs/>
          <w:sz w:val="28"/>
          <w:szCs w:val="28"/>
        </w:rPr>
        <w:fldChar w:fldCharType="end"/>
      </w:r>
    </w:p>
    <w:p w:rsidR="002B5F3A" w:rsidRDefault="002B5F3A">
      <w:pPr>
        <w:pBdr>
          <w:bottom w:val="single" w:sz="6" w:space="1" w:color="auto"/>
        </w:pBdr>
        <w:spacing w:before="240"/>
        <w:rPr>
          <w:b/>
          <w:bCs/>
          <w:sz w:val="16"/>
          <w:szCs w:val="16"/>
        </w:rPr>
      </w:pPr>
    </w:p>
    <w:p w:rsidR="002B5F3A" w:rsidRDefault="002B5F3A">
      <w:pPr>
        <w:spacing w:line="40" w:lineRule="exact"/>
        <w:rPr>
          <w:b/>
          <w:bCs/>
          <w:sz w:val="28"/>
          <w:szCs w:val="28"/>
        </w:rPr>
      </w:pPr>
    </w:p>
    <w:p w:rsidR="002B5F3A" w:rsidRDefault="002B5F3A">
      <w:pPr>
        <w:pBdr>
          <w:top w:val="single" w:sz="12" w:space="1" w:color="auto"/>
        </w:pBdr>
      </w:pPr>
    </w:p>
    <w:p w:rsidR="002B5F3A" w:rsidRDefault="00B96358">
      <w:pPr>
        <w:pStyle w:val="Page1"/>
        <w:spacing w:before="0"/>
      </w:pPr>
      <w:fldSimple w:instr=" STYLEREF LongT \* MERGEFORMAT ">
        <w:r w:rsidR="00A2769A">
          <w:t>An Act to impose a levy on trustees of certain superannuation entities</w:t>
        </w:r>
      </w:fldSimple>
    </w:p>
    <w:p w:rsidR="002B5F3A" w:rsidRDefault="00A2769A">
      <w:pPr>
        <w:spacing w:before="240"/>
      </w:pPr>
      <w:r>
        <w:t>[</w:t>
      </w:r>
      <w:r>
        <w:rPr>
          <w:i/>
          <w:iCs/>
        </w:rPr>
        <w:t>Assented to 29 June 1998</w:t>
      </w:r>
      <w:r>
        <w:t>]</w:t>
      </w:r>
    </w:p>
    <w:p w:rsidR="002B5F3A" w:rsidRDefault="00A2769A">
      <w:pPr>
        <w:spacing w:before="240" w:line="240" w:lineRule="auto"/>
        <w:rPr>
          <w:sz w:val="32"/>
          <w:szCs w:val="32"/>
        </w:rPr>
      </w:pPr>
      <w:r>
        <w:rPr>
          <w:sz w:val="32"/>
          <w:szCs w:val="32"/>
        </w:rPr>
        <w:t>The Parliament of Australia enacts:</w:t>
      </w:r>
    </w:p>
    <w:p w:rsidR="002B5F3A" w:rsidRDefault="00A2769A">
      <w:pPr>
        <w:pStyle w:val="Heading5"/>
      </w:pPr>
      <w:bookmarkStart w:id="0" w:name="_Toc313538257"/>
      <w:bookmarkStart w:id="1" w:name="_Toc313693988"/>
      <w:bookmarkStart w:id="2" w:name="_Toc317143067"/>
      <w:bookmarkStart w:id="3" w:name="_Toc317251939"/>
      <w:bookmarkStart w:id="4" w:name="_Toc414083918"/>
      <w:bookmarkStart w:id="5" w:name="_Toc414157894"/>
      <w:bookmarkStart w:id="6" w:name="_Toc414434307"/>
      <w:bookmarkStart w:id="7" w:name="_Toc414780384"/>
      <w:bookmarkStart w:id="8" w:name="_Toc415019713"/>
      <w:bookmarkStart w:id="9" w:name="_Toc415024276"/>
      <w:bookmarkStart w:id="10" w:name="_Toc415283601"/>
      <w:bookmarkStart w:id="11" w:name="_Toc415373804"/>
      <w:bookmarkStart w:id="12" w:name="_Toc318795567"/>
      <w:r>
        <w:rPr>
          <w:rStyle w:val="CharSectno"/>
        </w:rPr>
        <w:t>1</w:t>
      </w:r>
      <w:r>
        <w:t xml:space="preserve">  Short title</w:t>
      </w:r>
      <w:bookmarkEnd w:id="0"/>
      <w:bookmarkEnd w:id="1"/>
      <w:bookmarkEnd w:id="2"/>
      <w:bookmarkEnd w:id="3"/>
      <w:bookmarkEnd w:id="4"/>
      <w:bookmarkEnd w:id="5"/>
      <w:bookmarkEnd w:id="6"/>
      <w:bookmarkEnd w:id="7"/>
      <w:bookmarkEnd w:id="8"/>
      <w:bookmarkEnd w:id="9"/>
      <w:bookmarkEnd w:id="10"/>
      <w:bookmarkEnd w:id="11"/>
    </w:p>
    <w:p w:rsidR="002B5F3A" w:rsidRDefault="00A2769A">
      <w:pPr>
        <w:pStyle w:val="Subsection"/>
      </w:pPr>
      <w:r>
        <w:tab/>
      </w:r>
      <w:r>
        <w:tab/>
        <w:t xml:space="preserve">This Act may be cited as the </w:t>
      </w:r>
      <w:r>
        <w:rPr>
          <w:i/>
          <w:iCs/>
        </w:rPr>
        <w:t>Superannuation Sup</w:t>
      </w:r>
      <w:bookmarkStart w:id="13" w:name="_GoBack"/>
      <w:bookmarkEnd w:id="13"/>
      <w:r>
        <w:rPr>
          <w:i/>
          <w:iCs/>
        </w:rPr>
        <w:t>ervisory Levy Imposition Act 1998</w:t>
      </w:r>
      <w:r>
        <w:t>.</w:t>
      </w:r>
    </w:p>
    <w:p w:rsidR="002B5F3A" w:rsidRDefault="00A2769A">
      <w:pPr>
        <w:pStyle w:val="Heading5"/>
      </w:pPr>
      <w:bookmarkStart w:id="14" w:name="_FOPNextObject"/>
      <w:bookmarkStart w:id="15" w:name="_Toc313538258"/>
      <w:bookmarkStart w:id="16" w:name="_Toc313693989"/>
      <w:bookmarkStart w:id="17" w:name="_Toc317143068"/>
      <w:bookmarkStart w:id="18" w:name="_Toc317251940"/>
      <w:bookmarkStart w:id="19" w:name="_Toc318795568"/>
      <w:bookmarkStart w:id="20" w:name="_Toc414083919"/>
      <w:bookmarkStart w:id="21" w:name="_Toc414157895"/>
      <w:bookmarkStart w:id="22" w:name="_Toc414434308"/>
      <w:bookmarkStart w:id="23" w:name="_Toc414780385"/>
      <w:bookmarkStart w:id="24" w:name="_Toc415019714"/>
      <w:bookmarkStart w:id="25" w:name="_Toc415024277"/>
      <w:bookmarkStart w:id="26" w:name="_Toc415283602"/>
      <w:bookmarkStart w:id="27" w:name="_Toc415373805"/>
      <w:bookmarkEnd w:id="14"/>
      <w:r>
        <w:rPr>
          <w:rStyle w:val="CharSectno"/>
        </w:rPr>
        <w:t>2</w:t>
      </w:r>
      <w:r>
        <w:t xml:space="preserve">  Commencement</w:t>
      </w:r>
      <w:bookmarkEnd w:id="15"/>
      <w:bookmarkEnd w:id="16"/>
      <w:bookmarkEnd w:id="17"/>
      <w:bookmarkEnd w:id="18"/>
      <w:bookmarkEnd w:id="19"/>
      <w:bookmarkEnd w:id="20"/>
      <w:bookmarkEnd w:id="21"/>
      <w:bookmarkEnd w:id="22"/>
      <w:bookmarkEnd w:id="23"/>
      <w:bookmarkEnd w:id="24"/>
      <w:bookmarkEnd w:id="25"/>
      <w:bookmarkEnd w:id="26"/>
      <w:bookmarkEnd w:id="27"/>
    </w:p>
    <w:p w:rsidR="002B5F3A" w:rsidRDefault="00A2769A">
      <w:pPr>
        <w:pStyle w:val="Subsection"/>
      </w:pPr>
      <w:r>
        <w:tab/>
        <w:t>(1)</w:t>
      </w:r>
      <w:r>
        <w:tab/>
        <w:t xml:space="preserve">This Act commences on </w:t>
      </w:r>
      <w:bookmarkEnd w:id="12"/>
      <w:r>
        <w:t xml:space="preserve">the commencement of the </w:t>
      </w:r>
      <w:r>
        <w:rPr>
          <w:i/>
          <w:iCs/>
        </w:rPr>
        <w:t>Australian Prudential Regulation Authority Act 1998</w:t>
      </w:r>
      <w:r>
        <w:t>.</w:t>
      </w:r>
    </w:p>
    <w:p w:rsidR="002B5F3A" w:rsidRDefault="00A2769A">
      <w:pPr>
        <w:pStyle w:val="Subsection"/>
      </w:pPr>
      <w:r>
        <w:lastRenderedPageBreak/>
        <w:tab/>
        <w:t>(2)</w:t>
      </w:r>
      <w:r>
        <w:tab/>
        <w:t>If this Act commences during a financial year (but not on 1 July of that financial year), this Act has effect in relation to that financial year subject to the modifications specified in the regulations.</w:t>
      </w:r>
    </w:p>
    <w:p w:rsidR="002B5F3A" w:rsidRDefault="00A2769A">
      <w:pPr>
        <w:pStyle w:val="Heading5"/>
      </w:pPr>
      <w:bookmarkStart w:id="28" w:name="_Toc414083920"/>
      <w:bookmarkStart w:id="29" w:name="_Toc414157896"/>
      <w:bookmarkStart w:id="30" w:name="_Toc414434309"/>
      <w:bookmarkStart w:id="31" w:name="_Toc414780386"/>
      <w:bookmarkStart w:id="32" w:name="_Toc415019715"/>
      <w:bookmarkStart w:id="33" w:name="_Toc415024278"/>
      <w:bookmarkStart w:id="34" w:name="_Toc415283603"/>
      <w:bookmarkStart w:id="35" w:name="_Toc415373806"/>
      <w:r>
        <w:rPr>
          <w:rStyle w:val="CharSectno"/>
        </w:rPr>
        <w:t>3</w:t>
      </w:r>
      <w:r>
        <w:t xml:space="preserve">  Act binds the Crown</w:t>
      </w:r>
      <w:bookmarkEnd w:id="28"/>
      <w:bookmarkEnd w:id="29"/>
      <w:bookmarkEnd w:id="30"/>
      <w:bookmarkEnd w:id="31"/>
      <w:bookmarkEnd w:id="32"/>
      <w:bookmarkEnd w:id="33"/>
      <w:bookmarkEnd w:id="34"/>
      <w:bookmarkEnd w:id="35"/>
    </w:p>
    <w:p w:rsidR="002B5F3A" w:rsidRDefault="00A2769A">
      <w:pPr>
        <w:pStyle w:val="Subsection"/>
      </w:pPr>
      <w:r>
        <w:tab/>
      </w:r>
      <w:r>
        <w:tab/>
        <w:t>This Act binds the Crown in each of its capacities.</w:t>
      </w:r>
    </w:p>
    <w:p w:rsidR="002B5F3A" w:rsidRDefault="00A2769A">
      <w:pPr>
        <w:pStyle w:val="Heading5"/>
      </w:pPr>
      <w:bookmarkStart w:id="36" w:name="_Toc414083921"/>
      <w:bookmarkStart w:id="37" w:name="_Toc414157897"/>
      <w:bookmarkStart w:id="38" w:name="_Toc414434310"/>
      <w:bookmarkStart w:id="39" w:name="_Toc414780387"/>
      <w:bookmarkStart w:id="40" w:name="_Toc415019716"/>
      <w:bookmarkStart w:id="41" w:name="_Toc415024279"/>
      <w:bookmarkStart w:id="42" w:name="_Toc415283604"/>
      <w:bookmarkStart w:id="43" w:name="_Toc415373807"/>
      <w:r>
        <w:rPr>
          <w:rStyle w:val="CharSectno"/>
        </w:rPr>
        <w:t>4</w:t>
      </w:r>
      <w:r>
        <w:t xml:space="preserve">  External Territories</w:t>
      </w:r>
      <w:bookmarkEnd w:id="36"/>
      <w:bookmarkEnd w:id="37"/>
      <w:bookmarkEnd w:id="38"/>
      <w:bookmarkEnd w:id="39"/>
      <w:bookmarkEnd w:id="40"/>
      <w:bookmarkEnd w:id="41"/>
      <w:bookmarkEnd w:id="42"/>
      <w:bookmarkEnd w:id="43"/>
    </w:p>
    <w:p w:rsidR="002B5F3A" w:rsidRDefault="00A2769A">
      <w:pPr>
        <w:pStyle w:val="Subsection"/>
      </w:pPr>
      <w:r>
        <w:tab/>
      </w:r>
      <w:r>
        <w:tab/>
        <w:t>This Act extends to each external Territory.</w:t>
      </w:r>
    </w:p>
    <w:p w:rsidR="002B5F3A" w:rsidRDefault="00A2769A">
      <w:pPr>
        <w:pStyle w:val="Heading5"/>
      </w:pPr>
      <w:bookmarkStart w:id="44" w:name="_Toc414083922"/>
      <w:bookmarkStart w:id="45" w:name="_Toc414157898"/>
      <w:bookmarkStart w:id="46" w:name="_Toc414434311"/>
      <w:bookmarkStart w:id="47" w:name="_Toc414780388"/>
      <w:bookmarkStart w:id="48" w:name="_Toc415019717"/>
      <w:bookmarkStart w:id="49" w:name="_Toc415024280"/>
      <w:bookmarkStart w:id="50" w:name="_Toc415283605"/>
      <w:bookmarkStart w:id="51" w:name="_Toc415373808"/>
      <w:r>
        <w:rPr>
          <w:rStyle w:val="CharSectno"/>
        </w:rPr>
        <w:t>5</w:t>
      </w:r>
      <w:r>
        <w:t xml:space="preserve">  </w:t>
      </w:r>
      <w:bookmarkEnd w:id="44"/>
      <w:bookmarkEnd w:id="45"/>
      <w:bookmarkEnd w:id="46"/>
      <w:bookmarkEnd w:id="47"/>
      <w:r>
        <w:t>Definitions</w:t>
      </w:r>
      <w:bookmarkEnd w:id="48"/>
      <w:bookmarkEnd w:id="49"/>
      <w:bookmarkEnd w:id="50"/>
      <w:bookmarkEnd w:id="51"/>
    </w:p>
    <w:p w:rsidR="002B5F3A" w:rsidRDefault="00A2769A">
      <w:pPr>
        <w:pStyle w:val="Subsection"/>
      </w:pPr>
      <w:r>
        <w:tab/>
      </w:r>
      <w:r>
        <w:tab/>
        <w:t>In this Act, unless the contrary intention appears:</w:t>
      </w:r>
    </w:p>
    <w:p w:rsidR="002B5F3A" w:rsidRDefault="00A2769A">
      <w:pPr>
        <w:pStyle w:val="Definition"/>
      </w:pPr>
      <w:r>
        <w:rPr>
          <w:b/>
          <w:bCs/>
          <w:i/>
          <w:iCs/>
        </w:rPr>
        <w:t>indexation factor</w:t>
      </w:r>
      <w:r>
        <w:t xml:space="preserve"> means the indexation factor calculated under section 8.</w:t>
      </w:r>
    </w:p>
    <w:p w:rsidR="002B5F3A" w:rsidRDefault="00A2769A">
      <w:pPr>
        <w:pStyle w:val="Definition"/>
      </w:pPr>
      <w:r>
        <w:rPr>
          <w:b/>
          <w:bCs/>
          <w:i/>
          <w:iCs/>
        </w:rPr>
        <w:t>index number</w:t>
      </w:r>
      <w:r>
        <w:t>, in relation to a quarter, means the All Groups Consumer Price Index number, being the weighted average of the 8 capital cities, published by the Australian Statistician in respect of that quarter.</w:t>
      </w:r>
    </w:p>
    <w:p w:rsidR="002B5F3A" w:rsidRDefault="00A2769A">
      <w:pPr>
        <w:pStyle w:val="Definition"/>
      </w:pPr>
      <w:r>
        <w:rPr>
          <w:b/>
          <w:bCs/>
          <w:i/>
          <w:iCs/>
        </w:rPr>
        <w:t>levy imposition day</w:t>
      </w:r>
      <w:r>
        <w:t>, in relation to a trustee of a superannuation entity for a financial year, means:</w:t>
      </w:r>
    </w:p>
    <w:p w:rsidR="002B5F3A" w:rsidRDefault="00A2769A">
      <w:pPr>
        <w:pStyle w:val="indenta"/>
      </w:pPr>
      <w:r>
        <w:tab/>
        <w:t>(a)</w:t>
      </w:r>
      <w:r>
        <w:tab/>
        <w:t>if the superannuation entity is a superannuation entity on 1 July of the financial year—that day; or</w:t>
      </w:r>
    </w:p>
    <w:p w:rsidR="002B5F3A" w:rsidRDefault="00A2769A">
      <w:pPr>
        <w:pStyle w:val="indenta"/>
      </w:pPr>
      <w:r>
        <w:tab/>
        <w:t>(b)</w:t>
      </w:r>
      <w:r>
        <w:tab/>
        <w:t>in any other case—the day, during the financial year, on which the superannuation entity becomes a superannuation entity.</w:t>
      </w:r>
    </w:p>
    <w:p w:rsidR="002B5F3A" w:rsidRDefault="00A2769A">
      <w:pPr>
        <w:pStyle w:val="Definition"/>
      </w:pPr>
      <w:r>
        <w:rPr>
          <w:b/>
          <w:bCs/>
          <w:i/>
          <w:iCs/>
        </w:rPr>
        <w:t>statutory upper limit</w:t>
      </w:r>
      <w:r>
        <w:t xml:space="preserve"> means:</w:t>
      </w:r>
    </w:p>
    <w:p w:rsidR="002B5F3A" w:rsidRDefault="00A2769A">
      <w:pPr>
        <w:pStyle w:val="indenta"/>
      </w:pPr>
      <w:r>
        <w:tab/>
        <w:t>(a)</w:t>
      </w:r>
      <w:r>
        <w:tab/>
        <w:t>in relation to the first financial year that ends after this Act commences—$500,000; or</w:t>
      </w:r>
    </w:p>
    <w:p w:rsidR="002B5F3A" w:rsidRDefault="00A2769A">
      <w:pPr>
        <w:pStyle w:val="indenta"/>
      </w:pPr>
      <w:r>
        <w:tab/>
        <w:t>(b)</w:t>
      </w:r>
      <w:r>
        <w:tab/>
        <w:t xml:space="preserve">in relation to a later financial year—the amount calculated by multiplying the statutory upper limit for the previous </w:t>
      </w:r>
      <w:r>
        <w:lastRenderedPageBreak/>
        <w:t>financial year by the indexation factor for the later financial year.</w:t>
      </w:r>
    </w:p>
    <w:p w:rsidR="002B5F3A" w:rsidRDefault="00A2769A">
      <w:pPr>
        <w:pStyle w:val="Definition"/>
      </w:pPr>
      <w:r>
        <w:rPr>
          <w:b/>
          <w:bCs/>
          <w:i/>
          <w:iCs/>
        </w:rPr>
        <w:t>superannuation entity</w:t>
      </w:r>
      <w:r>
        <w:t xml:space="preserve"> means an entity that:</w:t>
      </w:r>
    </w:p>
    <w:p w:rsidR="002B5F3A" w:rsidRDefault="00A2769A">
      <w:pPr>
        <w:pStyle w:val="indenta"/>
      </w:pPr>
      <w:r>
        <w:tab/>
        <w:t>(a)</w:t>
      </w:r>
      <w:r>
        <w:tab/>
        <w:t xml:space="preserve">is a superannuation entity within the meaning of the </w:t>
      </w:r>
      <w:r>
        <w:rPr>
          <w:i/>
          <w:iCs/>
        </w:rPr>
        <w:t>Superannuation Industry (Supervision) Act 1993</w:t>
      </w:r>
      <w:r>
        <w:t>; and</w:t>
      </w:r>
    </w:p>
    <w:p w:rsidR="002B5F3A" w:rsidRDefault="00A2769A">
      <w:pPr>
        <w:pStyle w:val="indenta"/>
      </w:pPr>
      <w:r>
        <w:tab/>
        <w:t>(b)</w:t>
      </w:r>
      <w:r>
        <w:tab/>
        <w:t>is not an excluded superannuation fund within the meaning of that Act.</w:t>
      </w:r>
    </w:p>
    <w:p w:rsidR="002B5F3A" w:rsidRDefault="00A2769A">
      <w:pPr>
        <w:pStyle w:val="Definition"/>
      </w:pPr>
      <w:r>
        <w:rPr>
          <w:b/>
          <w:bCs/>
          <w:i/>
          <w:iCs/>
        </w:rPr>
        <w:t>trustee</w:t>
      </w:r>
      <w:r>
        <w:t xml:space="preserve">, in relation to a superannuation entity, means the person who is the trustee of the entity for the purposes of the </w:t>
      </w:r>
      <w:r>
        <w:rPr>
          <w:i/>
          <w:iCs/>
        </w:rPr>
        <w:t>Superannuation Industry (Supervision) Act 1993</w:t>
      </w:r>
      <w:r>
        <w:t>.</w:t>
      </w:r>
    </w:p>
    <w:p w:rsidR="002B5F3A" w:rsidRDefault="00A2769A">
      <w:pPr>
        <w:pStyle w:val="Heading5"/>
      </w:pPr>
      <w:bookmarkStart w:id="52" w:name="_Toc414083923"/>
      <w:bookmarkStart w:id="53" w:name="_Toc414157899"/>
      <w:bookmarkStart w:id="54" w:name="_Toc414434312"/>
      <w:bookmarkStart w:id="55" w:name="_Toc414780389"/>
      <w:bookmarkStart w:id="56" w:name="_Toc415019718"/>
      <w:bookmarkStart w:id="57" w:name="_Toc415024281"/>
      <w:bookmarkStart w:id="58" w:name="_Toc415283606"/>
      <w:bookmarkStart w:id="59" w:name="_Toc415373809"/>
      <w:r>
        <w:rPr>
          <w:rStyle w:val="CharSectno"/>
        </w:rPr>
        <w:t>6</w:t>
      </w:r>
      <w:r>
        <w:t xml:space="preserve">  Imposition of superannuation industry supervisory levy</w:t>
      </w:r>
      <w:bookmarkEnd w:id="52"/>
      <w:bookmarkEnd w:id="53"/>
      <w:bookmarkEnd w:id="54"/>
      <w:bookmarkEnd w:id="55"/>
      <w:bookmarkEnd w:id="56"/>
      <w:bookmarkEnd w:id="57"/>
      <w:bookmarkEnd w:id="58"/>
      <w:bookmarkEnd w:id="59"/>
    </w:p>
    <w:p w:rsidR="002B5F3A" w:rsidRDefault="00A2769A">
      <w:pPr>
        <w:pStyle w:val="Subsection"/>
      </w:pPr>
      <w:r>
        <w:tab/>
      </w:r>
      <w:r>
        <w:tab/>
        <w:t xml:space="preserve">Levy payable in accordance with subsection 8(6) of the </w:t>
      </w:r>
      <w:r>
        <w:rPr>
          <w:i/>
          <w:iCs/>
        </w:rPr>
        <w:t>Financial Institutions Supervisory Levies Collection Act 1998</w:t>
      </w:r>
      <w:r>
        <w:t xml:space="preserve"> is imposed.</w:t>
      </w:r>
    </w:p>
    <w:p w:rsidR="002B5F3A" w:rsidRDefault="00A2769A">
      <w:pPr>
        <w:pStyle w:val="Heading5"/>
      </w:pPr>
      <w:bookmarkStart w:id="60" w:name="_Toc414083924"/>
      <w:bookmarkStart w:id="61" w:name="_Toc414157900"/>
      <w:bookmarkStart w:id="62" w:name="_Toc414434313"/>
      <w:bookmarkStart w:id="63" w:name="_Toc414780390"/>
      <w:bookmarkStart w:id="64" w:name="_Toc415019719"/>
      <w:bookmarkStart w:id="65" w:name="_Toc415024282"/>
      <w:bookmarkStart w:id="66" w:name="_Toc415283607"/>
      <w:bookmarkStart w:id="67" w:name="_Toc415373810"/>
      <w:r>
        <w:rPr>
          <w:rStyle w:val="CharSectno"/>
        </w:rPr>
        <w:t>7</w:t>
      </w:r>
      <w:r>
        <w:t xml:space="preserve">  Amount of levy</w:t>
      </w:r>
      <w:bookmarkEnd w:id="60"/>
      <w:bookmarkEnd w:id="61"/>
      <w:bookmarkEnd w:id="62"/>
      <w:bookmarkEnd w:id="63"/>
      <w:bookmarkEnd w:id="64"/>
      <w:bookmarkEnd w:id="65"/>
      <w:bookmarkEnd w:id="66"/>
      <w:bookmarkEnd w:id="67"/>
    </w:p>
    <w:p w:rsidR="002B5F3A" w:rsidRDefault="00A2769A">
      <w:pPr>
        <w:pStyle w:val="Subsection"/>
      </w:pPr>
      <w:r>
        <w:tab/>
        <w:t>(1)</w:t>
      </w:r>
      <w:r>
        <w:tab/>
        <w:t>Subject to subsection (2), the amount of levy payable by a trustee of a superannuation entity for a financial year is:</w:t>
      </w:r>
    </w:p>
    <w:p w:rsidR="002B5F3A" w:rsidRDefault="00A2769A">
      <w:pPr>
        <w:pStyle w:val="indenta"/>
      </w:pPr>
      <w:r>
        <w:tab/>
        <w:t>(a)</w:t>
      </w:r>
      <w:r>
        <w:tab/>
        <w:t>unless paragraph (b) or (c) applies—the amount that, for the financial year, is the levy percentage of the superannuation entity’s asset value on 30 June of the previous financial year; or</w:t>
      </w:r>
    </w:p>
    <w:p w:rsidR="002B5F3A" w:rsidRDefault="00A2769A">
      <w:pPr>
        <w:pStyle w:val="indenta"/>
      </w:pPr>
      <w:r>
        <w:tab/>
        <w:t>(b)</w:t>
      </w:r>
      <w:r>
        <w:tab/>
        <w:t>if the amount worked out under paragraph (a) exceeds the maximum levy amount for the financial year—the maximum levy amount; or</w:t>
      </w:r>
    </w:p>
    <w:p w:rsidR="002B5F3A" w:rsidRDefault="00A2769A">
      <w:pPr>
        <w:pStyle w:val="indenta"/>
      </w:pPr>
      <w:r>
        <w:tab/>
        <w:t>(c)</w:t>
      </w:r>
      <w:r>
        <w:tab/>
        <w:t>if the amount worked out under paragraph (a) is less than the minimum levy amount for the financial year—the minimum levy amount.</w:t>
      </w:r>
    </w:p>
    <w:p w:rsidR="002B5F3A" w:rsidRDefault="00A2769A">
      <w:pPr>
        <w:pStyle w:val="notetext"/>
      </w:pPr>
      <w:r>
        <w:t>Note:</w:t>
      </w:r>
      <w:r>
        <w:tab/>
        <w:t>The levy percentage, maximum levy amount, minimum levy amount and the method of working out the superannuation entity’s asset value, are as determined under subsection (3).</w:t>
      </w:r>
    </w:p>
    <w:p w:rsidR="002B5F3A" w:rsidRDefault="00A2769A">
      <w:pPr>
        <w:pStyle w:val="Subsection"/>
      </w:pPr>
      <w:r>
        <w:tab/>
        <w:t>(2)</w:t>
      </w:r>
      <w:r>
        <w:tab/>
        <w:t xml:space="preserve">If the levy imposition day for the trustee of a superannuation entity for the financial year is later than 1 July in the financial year, the </w:t>
      </w:r>
      <w:r>
        <w:lastRenderedPageBreak/>
        <w:t>amount of levy payable by the trustee for the financial year is the amount worked out using the following formula:</w:t>
      </w:r>
    </w:p>
    <w:p w:rsidR="002B5F3A" w:rsidRDefault="00A676C2">
      <w:pPr>
        <w:pStyle w:val="Formula"/>
      </w:pPr>
      <w:r>
        <w:rPr>
          <w:noProof/>
        </w:rPr>
        <w:drawing>
          <wp:inline distT="0" distB="0" distL="0" distR="0" wp14:anchorId="13550C76" wp14:editId="318FE42D">
            <wp:extent cx="3771429" cy="866667"/>
            <wp:effectExtent l="0" t="0" r="635" b="0"/>
            <wp:docPr id="5" name="Picture 5" descr="Start formula start fraction The amount worked out under subsection (1) over The number of days in the financial year end fraction times open bracket 1 plus The number of days in the financial year after the levy imposition day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71429" cy="866667"/>
                    </a:xfrm>
                    <a:prstGeom prst="rect">
                      <a:avLst/>
                    </a:prstGeom>
                  </pic:spPr>
                </pic:pic>
              </a:graphicData>
            </a:graphic>
          </wp:inline>
        </w:drawing>
      </w:r>
    </w:p>
    <w:p w:rsidR="002B5F3A" w:rsidRDefault="00A2769A">
      <w:pPr>
        <w:pStyle w:val="Subsection"/>
      </w:pPr>
      <w:r>
        <w:tab/>
        <w:t>(3)</w:t>
      </w:r>
      <w:r>
        <w:tab/>
        <w:t>The Treasurer is, in writing, to determine:</w:t>
      </w:r>
    </w:p>
    <w:p w:rsidR="002B5F3A" w:rsidRDefault="00A2769A">
      <w:pPr>
        <w:pStyle w:val="indenta"/>
      </w:pPr>
      <w:r>
        <w:tab/>
        <w:t>(a)</w:t>
      </w:r>
      <w:r>
        <w:tab/>
        <w:t xml:space="preserve">the </w:t>
      </w:r>
      <w:r>
        <w:rPr>
          <w:b/>
          <w:bCs/>
          <w:i/>
          <w:iCs/>
        </w:rPr>
        <w:t>maximum levy amount</w:t>
      </w:r>
      <w:r>
        <w:t xml:space="preserve"> for each financial year; and</w:t>
      </w:r>
    </w:p>
    <w:p w:rsidR="002B5F3A" w:rsidRDefault="00A2769A">
      <w:pPr>
        <w:pStyle w:val="indenta"/>
      </w:pPr>
      <w:r>
        <w:tab/>
        <w:t>(b)</w:t>
      </w:r>
      <w:r>
        <w:tab/>
        <w:t xml:space="preserve">the </w:t>
      </w:r>
      <w:r>
        <w:rPr>
          <w:b/>
          <w:bCs/>
          <w:i/>
          <w:iCs/>
        </w:rPr>
        <w:t>minimum levy amount</w:t>
      </w:r>
      <w:r>
        <w:t xml:space="preserve"> for each financial year; and</w:t>
      </w:r>
    </w:p>
    <w:p w:rsidR="002B5F3A" w:rsidRDefault="00A2769A">
      <w:pPr>
        <w:pStyle w:val="indenta"/>
      </w:pPr>
      <w:r>
        <w:tab/>
        <w:t>(c)</w:t>
      </w:r>
      <w:r>
        <w:tab/>
        <w:t xml:space="preserve">the </w:t>
      </w:r>
      <w:r>
        <w:rPr>
          <w:b/>
          <w:bCs/>
          <w:i/>
          <w:iCs/>
        </w:rPr>
        <w:t>levy percentage</w:t>
      </w:r>
      <w:r>
        <w:t xml:space="preserve"> for each financial year; and</w:t>
      </w:r>
    </w:p>
    <w:p w:rsidR="002B5F3A" w:rsidRDefault="00A2769A">
      <w:pPr>
        <w:pStyle w:val="indenta"/>
      </w:pPr>
      <w:r>
        <w:tab/>
        <w:t>(d)</w:t>
      </w:r>
      <w:r>
        <w:tab/>
        <w:t xml:space="preserve">how a </w:t>
      </w:r>
      <w:r>
        <w:rPr>
          <w:b/>
          <w:bCs/>
          <w:i/>
          <w:iCs/>
        </w:rPr>
        <w:t>superannuation entity’s asset value</w:t>
      </w:r>
      <w:r>
        <w:t xml:space="preserve"> is to be worked out.</w:t>
      </w:r>
    </w:p>
    <w:p w:rsidR="002B5F3A" w:rsidRDefault="00A2769A">
      <w:pPr>
        <w:pStyle w:val="Subsection"/>
      </w:pPr>
      <w:r>
        <w:tab/>
        <w:t>(4)</w:t>
      </w:r>
      <w:r>
        <w:tab/>
        <w:t>An amount determined under subsection (3) as the maximum levy amount must not exceed the statutory upper limit as at the time when the determination is made.</w:t>
      </w:r>
    </w:p>
    <w:p w:rsidR="002B5F3A" w:rsidRDefault="00A2769A">
      <w:pPr>
        <w:pStyle w:val="Subsection"/>
      </w:pPr>
      <w:r>
        <w:tab/>
        <w:t>(5)</w:t>
      </w:r>
      <w:r>
        <w:tab/>
        <w:t xml:space="preserve">A determination under subsection (3) is a disallowable instrument for the purposes of section 46A of the </w:t>
      </w:r>
      <w:r>
        <w:rPr>
          <w:i/>
          <w:iCs/>
        </w:rPr>
        <w:t>Acts Interpretation Act 1901</w:t>
      </w:r>
      <w:r>
        <w:t>.</w:t>
      </w:r>
    </w:p>
    <w:p w:rsidR="002B5F3A" w:rsidRDefault="00A2769A">
      <w:pPr>
        <w:pStyle w:val="Heading5"/>
      </w:pPr>
      <w:bookmarkStart w:id="68" w:name="_Toc414083925"/>
      <w:bookmarkStart w:id="69" w:name="_Toc414157901"/>
      <w:bookmarkStart w:id="70" w:name="_Toc414434314"/>
      <w:bookmarkStart w:id="71" w:name="_Toc414780391"/>
      <w:bookmarkStart w:id="72" w:name="_Toc415019720"/>
      <w:bookmarkStart w:id="73" w:name="_Toc415024283"/>
      <w:bookmarkStart w:id="74" w:name="_Toc415283608"/>
      <w:bookmarkStart w:id="75" w:name="_Toc415373811"/>
      <w:r>
        <w:rPr>
          <w:rStyle w:val="CharSectno"/>
        </w:rPr>
        <w:t>8</w:t>
      </w:r>
      <w:r>
        <w:t xml:space="preserve">  Calculation of indexation factor</w:t>
      </w:r>
      <w:bookmarkEnd w:id="68"/>
      <w:bookmarkEnd w:id="69"/>
      <w:bookmarkEnd w:id="70"/>
      <w:bookmarkEnd w:id="71"/>
      <w:bookmarkEnd w:id="72"/>
      <w:bookmarkEnd w:id="73"/>
      <w:bookmarkEnd w:id="74"/>
      <w:bookmarkEnd w:id="75"/>
    </w:p>
    <w:p w:rsidR="002B5F3A" w:rsidRDefault="00A2769A">
      <w:pPr>
        <w:pStyle w:val="Subsection"/>
      </w:pPr>
      <w:r>
        <w:tab/>
        <w:t>(1)</w:t>
      </w:r>
      <w:r>
        <w:tab/>
        <w:t>The indexation factor for a financial year is the number worked out by dividing the index number for the March quarter immediately preceding that financial year by the index number for the March quarter immediately preceding that first</w:t>
      </w:r>
      <w:r>
        <w:noBreakHyphen/>
        <w:t>mentioned March quarter.</w:t>
      </w:r>
    </w:p>
    <w:p w:rsidR="002B5F3A" w:rsidRDefault="00A2769A">
      <w:pPr>
        <w:pStyle w:val="Subsection"/>
      </w:pPr>
      <w:r>
        <w:tab/>
        <w:t>(2)</w:t>
      </w:r>
      <w:r>
        <w:tab/>
        <w:t>The indexation factor is to be calculated to 3 decimal places, but increased by .001 if the 4th decimal place is more than 4.</w:t>
      </w:r>
    </w:p>
    <w:p w:rsidR="002B5F3A" w:rsidRDefault="00A2769A">
      <w:pPr>
        <w:pStyle w:val="Subsection"/>
      </w:pPr>
      <w:r>
        <w:tab/>
        <w:t>(3)</w:t>
      </w:r>
      <w:r>
        <w:tab/>
        <w:t>Calculations under subsection (1):</w:t>
      </w:r>
    </w:p>
    <w:p w:rsidR="002B5F3A" w:rsidRDefault="00A2769A">
      <w:pPr>
        <w:pStyle w:val="indenta"/>
      </w:pPr>
      <w:r>
        <w:tab/>
        <w:t>(a)</w:t>
      </w:r>
      <w:r>
        <w:tab/>
        <w:t>are to be made using only the index numbers published in terms of the most recently published reference base for the Consumer Price Index; and</w:t>
      </w:r>
    </w:p>
    <w:p w:rsidR="002B5F3A" w:rsidRDefault="00A2769A">
      <w:pPr>
        <w:pStyle w:val="indenta"/>
      </w:pPr>
      <w:r>
        <w:tab/>
        <w:t>(b)</w:t>
      </w:r>
      <w:r>
        <w:tab/>
        <w:t xml:space="preserve">are to be made disregarding index numbers that are published in substitution for previously published index numbers </w:t>
      </w:r>
      <w:r>
        <w:lastRenderedPageBreak/>
        <w:t>(where the substituted numbers are published to take account of changes in the reference base).</w:t>
      </w:r>
    </w:p>
    <w:p w:rsidR="002B5F3A" w:rsidRDefault="00A2769A">
      <w:pPr>
        <w:pStyle w:val="Heading5"/>
      </w:pPr>
      <w:bookmarkStart w:id="76" w:name="_Toc414157902"/>
      <w:bookmarkStart w:id="77" w:name="_Toc414434315"/>
      <w:bookmarkStart w:id="78" w:name="_Toc414780392"/>
      <w:bookmarkStart w:id="79" w:name="_Toc415019721"/>
      <w:bookmarkStart w:id="80" w:name="_Toc415024284"/>
      <w:bookmarkStart w:id="81" w:name="_Toc415283609"/>
      <w:bookmarkStart w:id="82" w:name="_Toc415373812"/>
      <w:r>
        <w:rPr>
          <w:rStyle w:val="CharSectno"/>
        </w:rPr>
        <w:t>9</w:t>
      </w:r>
      <w:r>
        <w:t xml:space="preserve">  Regulations</w:t>
      </w:r>
      <w:bookmarkEnd w:id="76"/>
      <w:bookmarkEnd w:id="77"/>
      <w:bookmarkEnd w:id="78"/>
      <w:bookmarkEnd w:id="79"/>
      <w:bookmarkEnd w:id="80"/>
      <w:bookmarkEnd w:id="81"/>
      <w:bookmarkEnd w:id="82"/>
    </w:p>
    <w:p w:rsidR="002B5F3A" w:rsidRDefault="00A2769A">
      <w:pPr>
        <w:pStyle w:val="Subsection"/>
      </w:pPr>
      <w:r>
        <w:tab/>
      </w:r>
      <w:r>
        <w:tab/>
        <w:t>The Governor</w:t>
      </w:r>
      <w:r>
        <w:noBreakHyphen/>
        <w:t>General may make regulations for the purposes of subsection 2(2).</w:t>
      </w:r>
    </w:p>
    <w:p w:rsidR="002B5F3A" w:rsidRDefault="002B5F3A">
      <w:pPr>
        <w:pStyle w:val="Subsection"/>
      </w:pPr>
    </w:p>
    <w:p w:rsidR="002B5F3A" w:rsidRDefault="002B5F3A">
      <w:pPr>
        <w:pBdr>
          <w:top w:val="single" w:sz="6" w:space="1" w:color="auto"/>
        </w:pBdr>
      </w:pPr>
    </w:p>
    <w:p w:rsidR="002B5F3A" w:rsidRDefault="00A2769A">
      <w:pPr>
        <w:rPr>
          <w:i/>
          <w:iCs/>
        </w:rPr>
      </w:pPr>
      <w:r>
        <w:t>[</w:t>
      </w:r>
      <w:r>
        <w:rPr>
          <w:i/>
          <w:iCs/>
        </w:rPr>
        <w:t>Minister's second reading speech made in</w:t>
      </w:r>
      <w:r>
        <w:rPr>
          <w:i/>
          <w:iCs/>
        </w:rPr>
        <w:sym w:font="Kino MT" w:char="2014"/>
      </w:r>
    </w:p>
    <w:p w:rsidR="002B5F3A" w:rsidRDefault="00A2769A">
      <w:pPr>
        <w:rPr>
          <w:i/>
          <w:iCs/>
        </w:rPr>
      </w:pPr>
      <w:r>
        <w:rPr>
          <w:i/>
          <w:iCs/>
        </w:rPr>
        <w:t>House of Representatives on 26 March 1998</w:t>
      </w:r>
    </w:p>
    <w:p w:rsidR="002B5F3A" w:rsidRDefault="00A2769A">
      <w:r>
        <w:rPr>
          <w:i/>
          <w:iCs/>
        </w:rPr>
        <w:t>Senate on 13 May 1998</w:t>
      </w:r>
      <w:r>
        <w:t>]</w:t>
      </w:r>
    </w:p>
    <w:p w:rsidR="002B5F3A" w:rsidRDefault="002B5F3A"/>
    <w:p w:rsidR="002B5F3A" w:rsidRDefault="00A2769A">
      <w:pPr>
        <w:framePr w:w="947" w:h="325" w:hSpace="181" w:wrap="notBeside" w:vAnchor="page" w:hAnchor="margin" w:y="11341"/>
      </w:pPr>
      <w:r>
        <w:t>(30/98)</w:t>
      </w:r>
    </w:p>
    <w:p w:rsidR="002B5F3A" w:rsidRDefault="002B5F3A"/>
    <w:p w:rsidR="002B5F3A" w:rsidRDefault="002B5F3A"/>
    <w:p w:rsidR="002B5F3A" w:rsidRDefault="002B5F3A">
      <w:pPr>
        <w:pStyle w:val="Subsection"/>
      </w:pPr>
    </w:p>
    <w:sectPr w:rsidR="002B5F3A">
      <w:headerReference w:type="even" r:id="rId17"/>
      <w:headerReference w:type="default" r:id="rId18"/>
      <w:footerReference w:type="even" r:id="rId19"/>
      <w:footerReference w:type="default" r:id="rId20"/>
      <w:headerReference w:type="first" r:id="rId21"/>
      <w:footerReference w:type="first" r:id="rId22"/>
      <w:pgSz w:w="11907" w:h="16840" w:code="9"/>
      <w:pgMar w:top="2381" w:right="2410" w:bottom="3544" w:left="2410" w:header="720" w:footer="411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F3A" w:rsidRDefault="00A2769A">
      <w:pPr>
        <w:spacing w:line="240" w:lineRule="auto"/>
      </w:pPr>
      <w:r>
        <w:separator/>
      </w:r>
    </w:p>
  </w:endnote>
  <w:endnote w:type="continuationSeparator" w:id="0">
    <w:p w:rsidR="002B5F3A" w:rsidRDefault="00A27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Kino MT">
    <w:altName w:val="Times"/>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rPr>
        <w:i/>
        <w:iCs/>
        <w:sz w:val="18"/>
        <w:szCs w:val="18"/>
      </w:rPr>
    </w:pPr>
  </w:p>
  <w:p w:rsidR="002B5F3A" w:rsidRDefault="00A2769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60,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w:t>
    </w:r>
    <w:r>
      <w:rPr>
        <w:i/>
        <w:iCs/>
        <w:sz w:val="18"/>
        <w:szCs w:val="18"/>
      </w:rPr>
      <w:fldChar w:fldCharType="end"/>
    </w:r>
  </w:p>
  <w:p w:rsidR="002B5F3A" w:rsidRDefault="00A2769A">
    <w:pPr>
      <w:pStyle w:val="Footer"/>
      <w:rPr>
        <w:i/>
        <w:iCs/>
        <w:sz w:val="18"/>
        <w:szCs w:val="18"/>
      </w:rPr>
    </w:pPr>
    <w:r>
      <w:rPr>
        <w:i/>
        <w:iCs/>
        <w:sz w:val="18"/>
        <w:szCs w:val="18"/>
      </w:rPr>
      <w:fldChar w:fldCharType="begin"/>
    </w:r>
    <w:r>
      <w:rPr>
        <w:i/>
        <w:iCs/>
        <w:sz w:val="18"/>
        <w:szCs w:val="18"/>
      </w:rPr>
      <w:instrText xml:space="preserve"> FILENAME \p</w:instrText>
    </w:r>
    <w:r>
      <w:rPr>
        <w:i/>
        <w:iCs/>
        <w:sz w:val="18"/>
        <w:szCs w:val="18"/>
      </w:rPr>
      <w:fldChar w:fldCharType="separate"/>
    </w:r>
    <w:r>
      <w:rPr>
        <w:i/>
        <w:iCs/>
        <w:sz w:val="18"/>
        <w:szCs w:val="18"/>
      </w:rPr>
      <w:t>Macintosh HD:Desktop Folder:comact:98030b01.doc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513C5">
      <w:rPr>
        <w:i/>
        <w:iCs/>
        <w:noProof/>
        <w:sz w:val="18"/>
        <w:szCs w:val="18"/>
      </w:rPr>
      <w:t>20/9/23 9:11 AM</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jc w:val="right"/>
      <w:rPr>
        <w:i/>
        <w:iCs/>
        <w:sz w:val="18"/>
        <w:szCs w:val="18"/>
      </w:rPr>
    </w:pPr>
  </w:p>
  <w:p w:rsidR="002B5F3A" w:rsidRDefault="00A2769A">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60, 1998</w:t>
    </w:r>
    <w:r>
      <w:rPr>
        <w:i/>
        <w:iCs/>
        <w:sz w:val="18"/>
        <w:szCs w:val="18"/>
      </w:rPr>
      <w:fldChar w:fldCharType="end"/>
    </w:r>
    <w:r>
      <w:rPr>
        <w:i/>
        <w:iCs/>
        <w:sz w:val="18"/>
        <w:szCs w:val="18"/>
      </w:rPr>
      <w:t xml:space="preserve">     </w:t>
    </w:r>
  </w:p>
  <w:p w:rsidR="002B5F3A" w:rsidRDefault="00A2769A">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HD:Desktop Folder:comact:98030b01.doc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513C5">
      <w:rPr>
        <w:i/>
        <w:iCs/>
        <w:noProof/>
        <w:sz w:val="18"/>
        <w:szCs w:val="18"/>
      </w:rPr>
      <w:t>20/9/23 9:11 AM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rPr>
        <w:i/>
        <w:iCs/>
        <w:sz w:val="18"/>
        <w:szCs w:val="18"/>
      </w:rPr>
    </w:pPr>
  </w:p>
  <w:p w:rsidR="002B5F3A" w:rsidRDefault="00A2769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60,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ii</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jc w:val="right"/>
      <w:rPr>
        <w:i/>
        <w:iCs/>
        <w:sz w:val="18"/>
        <w:szCs w:val="18"/>
      </w:rPr>
    </w:pPr>
  </w:p>
  <w:p w:rsidR="002B5F3A" w:rsidRDefault="00A2769A">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3513C5">
      <w:rPr>
        <w:i/>
        <w:iCs/>
        <w:noProof/>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513C5">
      <w:rPr>
        <w:i/>
        <w:iCs/>
        <w:noProof/>
        <w:sz w:val="18"/>
        <w:szCs w:val="18"/>
      </w:rPr>
      <w:t>No. 60, 1998</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jc w:val="right"/>
      <w:rPr>
        <w:i/>
        <w:iCs/>
        <w:sz w:val="18"/>
        <w:szCs w:val="18"/>
      </w:rPr>
    </w:pPr>
  </w:p>
  <w:p w:rsidR="002B5F3A" w:rsidRDefault="00A2769A">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3513C5">
      <w:rPr>
        <w:i/>
        <w:iCs/>
        <w:noProof/>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513C5">
      <w:rPr>
        <w:i/>
        <w:iCs/>
        <w:noProof/>
        <w:sz w:val="18"/>
        <w:szCs w:val="18"/>
      </w:rPr>
      <w:t>No. 60, 1998</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rPr>
        <w:i/>
        <w:iCs/>
        <w:sz w:val="18"/>
        <w:szCs w:val="18"/>
      </w:rPr>
    </w:pPr>
  </w:p>
  <w:p w:rsidR="002B5F3A" w:rsidRDefault="00A2769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3513C5">
      <w:rPr>
        <w:i/>
        <w:iCs/>
        <w:noProof/>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513C5">
      <w:rPr>
        <w:i/>
        <w:iCs/>
        <w:noProof/>
        <w:sz w:val="18"/>
        <w:szCs w:val="18"/>
      </w:rPr>
      <w:t>No. 60,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5</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Footer"/>
      <w:pBdr>
        <w:top w:val="single" w:sz="6" w:space="1" w:color="auto"/>
      </w:pBdr>
      <w:ind w:right="-1" w:firstLine="360"/>
      <w:rPr>
        <w:i/>
        <w:iCs/>
        <w:sz w:val="18"/>
        <w:szCs w:val="18"/>
      </w:rPr>
    </w:pPr>
  </w:p>
  <w:p w:rsidR="002B5F3A" w:rsidRDefault="00A2769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3513C5">
      <w:rPr>
        <w:i/>
        <w:iCs/>
        <w:noProof/>
        <w:sz w:val="18"/>
        <w:szCs w:val="18"/>
      </w:rPr>
      <w:t>Superannuation Supervisory Levy Imposition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513C5">
      <w:rPr>
        <w:i/>
        <w:iCs/>
        <w:noProof/>
        <w:sz w:val="18"/>
        <w:szCs w:val="18"/>
      </w:rPr>
      <w:t>No. 60,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F3A" w:rsidRDefault="00A2769A">
      <w:pPr>
        <w:spacing w:line="240" w:lineRule="auto"/>
      </w:pPr>
      <w:r>
        <w:separator/>
      </w:r>
    </w:p>
  </w:footnote>
  <w:footnote w:type="continuationSeparator" w:id="0">
    <w:p w:rsidR="002B5F3A" w:rsidRDefault="00A27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headerpart"/>
      <w:rPr>
        <w:b w:val="0"/>
        <w:bCs w:val="0"/>
      </w:rPr>
    </w:pPr>
  </w:p>
  <w:p w:rsidR="002B5F3A" w:rsidRDefault="002B5F3A">
    <w:pPr>
      <w:pStyle w:val="headerpart"/>
    </w:pPr>
  </w:p>
  <w:p w:rsidR="002B5F3A" w:rsidRDefault="002B5F3A">
    <w:pPr>
      <w:pStyle w:val="headerpart"/>
    </w:pPr>
  </w:p>
  <w:p w:rsidR="002B5F3A" w:rsidRDefault="002B5F3A">
    <w:pPr>
      <w:pStyle w:val="headerpart"/>
      <w:rPr>
        <w:sz w:val="24"/>
        <w:szCs w:val="24"/>
      </w:rPr>
    </w:pPr>
  </w:p>
  <w:p w:rsidR="002B5F3A" w:rsidRDefault="002B5F3A">
    <w:pPr>
      <w:pBdr>
        <w:bottom w:val="single" w:sz="12"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headerpartodd"/>
      <w:ind w:left="0" w:firstLine="0"/>
      <w:jc w:val="right"/>
    </w:pPr>
  </w:p>
  <w:p w:rsidR="002B5F3A" w:rsidRDefault="002B5F3A">
    <w:pPr>
      <w:pStyle w:val="headerpartodd"/>
      <w:ind w:left="0" w:firstLine="0"/>
      <w:jc w:val="right"/>
      <w:rPr>
        <w:i/>
        <w:iCs/>
      </w:rPr>
    </w:pPr>
  </w:p>
  <w:p w:rsidR="002B5F3A" w:rsidRDefault="002B5F3A">
    <w:pPr>
      <w:pStyle w:val="headerpartodd"/>
      <w:ind w:left="0" w:firstLine="0"/>
      <w:jc w:val="right"/>
    </w:pPr>
  </w:p>
  <w:p w:rsidR="002B5F3A" w:rsidRDefault="002B5F3A">
    <w:pPr>
      <w:pStyle w:val="headerpartodd"/>
      <w:ind w:left="0" w:firstLine="0"/>
      <w:jc w:val="right"/>
    </w:pPr>
  </w:p>
  <w:p w:rsidR="002B5F3A" w:rsidRDefault="002B5F3A">
    <w:pPr>
      <w:pStyle w:val="headerpartodd"/>
      <w:pBdr>
        <w:bottom w:val="single" w:sz="12" w:space="1" w:color="auto"/>
      </w:pBdr>
      <w:ind w:left="0" w:firstLine="0"/>
      <w:jc w:val="right"/>
      <w:rPr>
        <w:i/>
        <w:iCs/>
      </w:rPr>
    </w:pPr>
  </w:p>
  <w:p w:rsidR="002B5F3A" w:rsidRDefault="002B5F3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headerpart"/>
      <w:rPr>
        <w:b w:val="0"/>
        <w:bCs w:val="0"/>
      </w:rPr>
    </w:pPr>
  </w:p>
  <w:p w:rsidR="002B5F3A" w:rsidRDefault="002B5F3A">
    <w:pPr>
      <w:pStyle w:val="headerpart"/>
    </w:pPr>
  </w:p>
  <w:p w:rsidR="002B5F3A" w:rsidRDefault="002B5F3A">
    <w:pPr>
      <w:pStyle w:val="headerpart"/>
    </w:pPr>
  </w:p>
  <w:p w:rsidR="002B5F3A" w:rsidRDefault="002B5F3A">
    <w:pPr>
      <w:pStyle w:val="headerpart"/>
      <w:rPr>
        <w:sz w:val="24"/>
        <w:szCs w:val="24"/>
      </w:rPr>
    </w:pPr>
  </w:p>
  <w:p w:rsidR="002B5F3A" w:rsidRDefault="002B5F3A">
    <w:pPr>
      <w:pBdr>
        <w:bottom w:val="single" w:sz="12"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pStyle w:val="headerpartodd"/>
      <w:ind w:left="0" w:firstLine="0"/>
    </w:pPr>
  </w:p>
  <w:p w:rsidR="002B5F3A" w:rsidRDefault="002B5F3A">
    <w:pPr>
      <w:pStyle w:val="headerpartodd"/>
      <w:ind w:left="0" w:firstLine="0"/>
      <w:rPr>
        <w:i/>
        <w:iCs/>
      </w:rPr>
    </w:pPr>
  </w:p>
  <w:p w:rsidR="002B5F3A" w:rsidRDefault="002B5F3A">
    <w:pPr>
      <w:pStyle w:val="headerpartodd"/>
      <w:ind w:left="0" w:firstLine="0"/>
    </w:pPr>
  </w:p>
  <w:p w:rsidR="002B5F3A" w:rsidRDefault="002B5F3A">
    <w:pPr>
      <w:pStyle w:val="headerpartodd"/>
      <w:ind w:left="0" w:firstLine="0"/>
    </w:pPr>
  </w:p>
  <w:p w:rsidR="002B5F3A" w:rsidRDefault="002B5F3A">
    <w:pPr>
      <w:pStyle w:val="headerpartodd"/>
      <w:pBdr>
        <w:bottom w:val="single" w:sz="12" w:space="1" w:color="auto"/>
      </w:pBdr>
      <w:ind w:left="0" w:firstLine="0"/>
      <w:jc w:val="right"/>
      <w:rPr>
        <w:i/>
        <w:iCs/>
      </w:rPr>
    </w:pPr>
  </w:p>
  <w:p w:rsidR="002B5F3A" w:rsidRDefault="002B5F3A">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A2769A">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2B5F3A" w:rsidRDefault="00A2769A">
    <w:pPr>
      <w:pStyle w:val="headerpartodd"/>
      <w:ind w:left="0" w:firstLine="0"/>
      <w:rPr>
        <w:b w:val="0"/>
        <w:bCs w:val="0"/>
        <w:i/>
        <w:iCs/>
      </w:rPr>
    </w:pPr>
    <w:r>
      <w:fldChar w:fldCharType="begin"/>
    </w:r>
    <w:r>
      <w:instrText xml:space="preserve"> STYLEREF CharPartNo </w:instrText>
    </w:r>
    <w:r>
      <w:fldChar w:fldCharType="end"/>
    </w:r>
    <w:r>
      <w:t xml:space="preserve">  </w:t>
    </w:r>
    <w:r>
      <w:rPr>
        <w:b w:val="0"/>
        <w:bCs w:val="0"/>
      </w:rPr>
      <w:fldChar w:fldCharType="begin"/>
    </w:r>
    <w:r>
      <w:rPr>
        <w:b w:val="0"/>
        <w:bCs w:val="0"/>
      </w:rPr>
      <w:instrText xml:space="preserve"> STYLEREF CharPartText </w:instrText>
    </w:r>
    <w:r>
      <w:rPr>
        <w:b w:val="0"/>
        <w:bCs w:val="0"/>
      </w:rPr>
      <w:fldChar w:fldCharType="end"/>
    </w:r>
  </w:p>
  <w:p w:rsidR="002B5F3A" w:rsidRDefault="00A2769A">
    <w:pPr>
      <w:pStyle w:val="headerpar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separate"/>
    </w:r>
    <w:r w:rsidR="003513C5">
      <w:rPr>
        <w:b w:val="0"/>
        <w:bCs w:val="0"/>
        <w:noProof/>
      </w:rPr>
      <w:cr/>
    </w:r>
    <w:r>
      <w:rPr>
        <w:b w:val="0"/>
        <w:bCs w:val="0"/>
      </w:rPr>
      <w:fldChar w:fldCharType="end"/>
    </w:r>
  </w:p>
  <w:p w:rsidR="002B5F3A" w:rsidRDefault="002B5F3A">
    <w:pPr>
      <w:pStyle w:val="headerpart"/>
      <w:rPr>
        <w:sz w:val="24"/>
        <w:szCs w:val="24"/>
      </w:rPr>
    </w:pPr>
  </w:p>
  <w:p w:rsidR="002B5F3A" w:rsidRDefault="00A2769A">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3513C5">
      <w:rPr>
        <w:noProof/>
        <w:sz w:val="24"/>
        <w:szCs w:val="24"/>
      </w:rPr>
      <w:t>8</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A2769A">
    <w:pPr>
      <w:pStyle w:val="headerpartodd"/>
      <w:ind w:left="0" w:firstLine="0"/>
      <w:jc w:val="right"/>
    </w:pPr>
    <w:r>
      <w:rPr>
        <w:b w:val="0"/>
        <w:bCs w:val="0"/>
      </w:rPr>
      <w:fldChar w:fldCharType="begin"/>
    </w:r>
    <w:r>
      <w:rPr>
        <w:b w:val="0"/>
        <w:bCs w:val="0"/>
      </w:rPr>
      <w:instrText xml:space="preserve"> STYLEREF CharChapText </w:instrText>
    </w:r>
    <w:r>
      <w:rPr>
        <w:b w:val="0"/>
        <w:bCs w:val="0"/>
      </w:rPr>
      <w:fldChar w:fldCharType="end"/>
    </w:r>
    <w:r>
      <w:rPr>
        <w:b w:val="0"/>
        <w:bCs w:val="0"/>
      </w:rPr>
      <w:t xml:space="preserve">  </w:t>
    </w:r>
    <w:r>
      <w:fldChar w:fldCharType="begin"/>
    </w:r>
    <w:r>
      <w:instrText xml:space="preserve"> STYLEREF CharChapNo </w:instrText>
    </w:r>
    <w:r>
      <w:fldChar w:fldCharType="end"/>
    </w:r>
    <w:r>
      <w:t xml:space="preserve">  </w:t>
    </w:r>
  </w:p>
  <w:p w:rsidR="002B5F3A" w:rsidRDefault="00A2769A">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end"/>
    </w:r>
    <w:r>
      <w:rPr>
        <w:b w:val="0"/>
        <w:bCs w:val="0"/>
      </w:rPr>
      <w:t xml:space="preserve">  </w:t>
    </w:r>
    <w:r>
      <w:fldChar w:fldCharType="begin"/>
    </w:r>
    <w:r>
      <w:instrText xml:space="preserve"> STYLEREF CharPartNo </w:instrText>
    </w:r>
    <w:r>
      <w:fldChar w:fldCharType="end"/>
    </w:r>
    <w:r>
      <w:t xml:space="preserve">  </w:t>
    </w:r>
  </w:p>
  <w:p w:rsidR="002B5F3A" w:rsidRDefault="00A2769A">
    <w:pPr>
      <w:pStyle w:val="headerpartodd"/>
      <w:ind w:left="0" w:firstLine="0"/>
      <w:jc w:val="right"/>
    </w:pPr>
    <w:r>
      <w:rPr>
        <w:b w:val="0"/>
        <w:bCs w:val="0"/>
      </w:rPr>
      <w:fldChar w:fldCharType="begin"/>
    </w:r>
    <w:r>
      <w:rPr>
        <w:b w:val="0"/>
        <w:bCs w:val="0"/>
      </w:rPr>
      <w:instrText xml:space="preserve"> STYLEREF CharDivText </w:instrText>
    </w:r>
    <w:r>
      <w:rPr>
        <w:b w:val="0"/>
        <w:bCs w:val="0"/>
      </w:rPr>
      <w:fldChar w:fldCharType="separate"/>
    </w:r>
    <w:r w:rsidR="003513C5">
      <w:rPr>
        <w:b w:val="0"/>
        <w:bCs w:val="0"/>
        <w:noProof/>
      </w:rPr>
      <w:cr/>
    </w:r>
    <w:r>
      <w:rPr>
        <w:b w:val="0"/>
        <w:bCs w:val="0"/>
      </w:rPr>
      <w:fldChar w:fldCharType="end"/>
    </w:r>
    <w:r>
      <w:rPr>
        <w:b w:val="0"/>
        <w:bCs w:val="0"/>
      </w:rPr>
      <w:t xml:space="preserve">  </w:t>
    </w:r>
    <w:r>
      <w:fldChar w:fldCharType="begin"/>
    </w:r>
    <w:r>
      <w:instrText xml:space="preserve"> STYLEREF CharDivNo </w:instrText>
    </w:r>
    <w:r>
      <w:fldChar w:fldCharType="end"/>
    </w:r>
    <w:r>
      <w:t xml:space="preserve">  </w:t>
    </w:r>
  </w:p>
  <w:p w:rsidR="002B5F3A" w:rsidRDefault="002B5F3A">
    <w:pPr>
      <w:pStyle w:val="headerpart"/>
      <w:jc w:val="right"/>
      <w:rPr>
        <w:sz w:val="24"/>
        <w:szCs w:val="24"/>
      </w:rPr>
    </w:pPr>
  </w:p>
  <w:p w:rsidR="002B5F3A" w:rsidRDefault="00A2769A">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3513C5">
      <w:rPr>
        <w:noProof/>
        <w:sz w:val="24"/>
        <w:szCs w:val="24"/>
      </w:rPr>
      <w:t>9</w:t>
    </w:r>
    <w:r>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3A" w:rsidRDefault="002B5F3A">
    <w:pPr>
      <w:tabs>
        <w:tab w:val="center" w:pos="36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D8"/>
    <w:rsid w:val="000765C3"/>
    <w:rsid w:val="002B5F3A"/>
    <w:rsid w:val="003513C5"/>
    <w:rsid w:val="00A2769A"/>
    <w:rsid w:val="00A676C2"/>
    <w:rsid w:val="00B96358"/>
    <w:rsid w:val="00BF0963"/>
    <w:rsid w:val="00DD74C4"/>
    <w:rsid w:val="00E8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Formula">
    <w:name w:val="Formula"/>
    <w:basedOn w:val="Normal"/>
    <w:uiPriority w:val="99"/>
    <w:pPr>
      <w:spacing w:line="240" w:lineRule="auto"/>
      <w:ind w:left="1134"/>
    </w:p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
    <w:name w:val="Item"/>
    <w:aliases w:val="i"/>
    <w:basedOn w:val="Subsection"/>
    <w:next w:val="ItemHead"/>
    <w:uiPriority w:val="99"/>
    <w:pPr>
      <w:keepLines/>
      <w:tabs>
        <w:tab w:val="clear" w:pos="1021"/>
      </w:tabs>
      <w:spacing w:before="80"/>
      <w:ind w:left="709" w:firstLine="0"/>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lang w:val="en-AU"/>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ParlAmend">
    <w:name w:val="ParlAmend"/>
    <w:aliases w:val="pp"/>
    <w:basedOn w:val="Normal"/>
    <w:uiPriority w:val="99"/>
    <w:pPr>
      <w:spacing w:before="240" w:line="240" w:lineRule="atLeast"/>
      <w:ind w:hanging="56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883</Words>
  <Characters>5270</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2023-09-19T05:18:00Z</dcterms:created>
  <dcterms:modified xsi:type="dcterms:W3CDTF">2023-09-19T23:12:00Z</dcterms:modified>
</cp:coreProperties>
</file>