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C13B0" w14:textId="77777777" w:rsidR="00162E80" w:rsidRPr="0002208C" w:rsidRDefault="00A56AD2" w:rsidP="00AA66A1">
      <w:pPr>
        <w:spacing w:after="240"/>
        <w:jc w:val="center"/>
        <w:rPr>
          <w:rFonts w:ascii="Times New Roman" w:hAnsi="Times New Roman"/>
          <w:b/>
          <w:sz w:val="32"/>
          <w:szCs w:val="32"/>
        </w:rPr>
      </w:pPr>
      <w:bookmarkStart w:id="0" w:name="bookmark0"/>
      <w:r w:rsidRPr="0002208C">
        <w:rPr>
          <w:rFonts w:ascii="Times New Roman" w:hAnsi="Times New Roman"/>
          <w:b/>
          <w:sz w:val="32"/>
          <w:szCs w:val="32"/>
        </w:rPr>
        <w:t>SALES TAX ACT (No. 1) 1975</w:t>
      </w:r>
      <w:bookmarkEnd w:id="0"/>
    </w:p>
    <w:p w14:paraId="30AC3695" w14:textId="77777777" w:rsidR="00162E80" w:rsidRPr="00BE7AB9" w:rsidRDefault="00A56AD2" w:rsidP="00AA66A1">
      <w:pPr>
        <w:spacing w:after="240"/>
        <w:jc w:val="center"/>
        <w:rPr>
          <w:rFonts w:ascii="Times New Roman" w:hAnsi="Times New Roman" w:cs="Times New Roman"/>
          <w:b/>
          <w:sz w:val="28"/>
          <w:szCs w:val="28"/>
        </w:rPr>
      </w:pPr>
      <w:bookmarkStart w:id="1" w:name="bookmark1"/>
      <w:r w:rsidRPr="00BE7AB9">
        <w:rPr>
          <w:rFonts w:ascii="Times New Roman" w:hAnsi="Times New Roman" w:cs="Times New Roman"/>
          <w:b/>
          <w:sz w:val="28"/>
          <w:szCs w:val="28"/>
        </w:rPr>
        <w:t>No. 15 of 1975</w:t>
      </w:r>
      <w:bookmarkEnd w:id="1"/>
    </w:p>
    <w:p w14:paraId="59B6BE54" w14:textId="1EE350D4" w:rsidR="00162E80" w:rsidRPr="00AA66A1" w:rsidRDefault="00A56AD2" w:rsidP="00AA66A1">
      <w:pPr>
        <w:pStyle w:val="BodyText1"/>
        <w:shd w:val="clear" w:color="auto" w:fill="auto"/>
        <w:spacing w:before="0" w:after="240" w:line="240" w:lineRule="auto"/>
        <w:rPr>
          <w:b w:val="0"/>
          <w:sz w:val="24"/>
        </w:rPr>
      </w:pPr>
      <w:r w:rsidRPr="00AA66A1">
        <w:rPr>
          <w:b w:val="0"/>
          <w:sz w:val="24"/>
        </w:rPr>
        <w:t xml:space="preserve">An Act to amend the </w:t>
      </w:r>
      <w:r w:rsidRPr="00AA66A1">
        <w:rPr>
          <w:rStyle w:val="BodytextItalic"/>
          <w:bCs/>
          <w:sz w:val="24"/>
        </w:rPr>
        <w:t xml:space="preserve">Sales Tax Act </w:t>
      </w:r>
      <w:r w:rsidRPr="00BE7AB9">
        <w:rPr>
          <w:rStyle w:val="BodytextItalic"/>
          <w:bCs/>
          <w:i w:val="0"/>
          <w:sz w:val="24"/>
        </w:rPr>
        <w:t>(</w:t>
      </w:r>
      <w:r w:rsidRPr="00AA66A1">
        <w:rPr>
          <w:rStyle w:val="BodytextItalic"/>
          <w:bCs/>
          <w:sz w:val="24"/>
        </w:rPr>
        <w:t>No.</w:t>
      </w:r>
      <w:r w:rsidRPr="00AA66A1">
        <w:rPr>
          <w:rStyle w:val="BodytextSylfaen"/>
          <w:rFonts w:ascii="Times New Roman" w:hAnsi="Times New Roman"/>
          <w:sz w:val="24"/>
        </w:rPr>
        <w:t xml:space="preserve"> </w:t>
      </w:r>
      <w:r w:rsidR="00BE7AB9">
        <w:rPr>
          <w:b w:val="0"/>
          <w:sz w:val="24"/>
        </w:rPr>
        <w:t>1</w:t>
      </w:r>
      <w:r w:rsidRPr="00AA66A1">
        <w:rPr>
          <w:b w:val="0"/>
          <w:sz w:val="24"/>
        </w:rPr>
        <w:t>) 1930-1970.</w:t>
      </w:r>
    </w:p>
    <w:p w14:paraId="52B0924D" w14:textId="77777777" w:rsidR="00162E80" w:rsidRPr="00AA66A1" w:rsidRDefault="00A56AD2" w:rsidP="00AA66A1">
      <w:pPr>
        <w:pStyle w:val="BodyText1"/>
        <w:shd w:val="clear" w:color="auto" w:fill="auto"/>
        <w:spacing w:before="0" w:after="0" w:line="240" w:lineRule="auto"/>
        <w:ind w:firstLine="270"/>
        <w:jc w:val="both"/>
        <w:rPr>
          <w:b w:val="0"/>
          <w:sz w:val="24"/>
        </w:rPr>
      </w:pPr>
      <w:r w:rsidRPr="00AA66A1">
        <w:rPr>
          <w:b w:val="0"/>
          <w:sz w:val="24"/>
        </w:rPr>
        <w:t>BE IT ENACTED by the Queen, the Senate and the House of Representatives of Australia, as follows:—</w:t>
      </w:r>
    </w:p>
    <w:p w14:paraId="5AE9827E" w14:textId="77777777" w:rsidR="00AA66A1" w:rsidRPr="00AA66A1" w:rsidRDefault="00AA66A1" w:rsidP="00AA66A1">
      <w:pPr>
        <w:pStyle w:val="BodyText1"/>
        <w:shd w:val="clear" w:color="auto" w:fill="auto"/>
        <w:tabs>
          <w:tab w:val="left" w:pos="641"/>
        </w:tabs>
        <w:spacing w:before="120" w:after="60" w:line="240" w:lineRule="auto"/>
        <w:jc w:val="both"/>
      </w:pPr>
      <w:r w:rsidRPr="00AA66A1">
        <w:t>Short title and citation</w:t>
      </w:r>
      <w:r w:rsidR="000F617A">
        <w:t>.</w:t>
      </w:r>
    </w:p>
    <w:p w14:paraId="4B3FF28A" w14:textId="638696EF" w:rsidR="00162E80" w:rsidRPr="00AA66A1" w:rsidRDefault="00AA66A1" w:rsidP="00AA66A1">
      <w:pPr>
        <w:pStyle w:val="BodyText1"/>
        <w:shd w:val="clear" w:color="auto" w:fill="auto"/>
        <w:tabs>
          <w:tab w:val="left" w:pos="641"/>
        </w:tabs>
        <w:spacing w:before="0" w:after="120" w:line="240" w:lineRule="auto"/>
        <w:ind w:firstLine="270"/>
        <w:jc w:val="both"/>
        <w:rPr>
          <w:b w:val="0"/>
          <w:sz w:val="24"/>
        </w:rPr>
      </w:pPr>
      <w:r w:rsidRPr="000F617A">
        <w:rPr>
          <w:sz w:val="24"/>
        </w:rPr>
        <w:t>1.</w:t>
      </w:r>
      <w:r>
        <w:rPr>
          <w:b w:val="0"/>
          <w:sz w:val="24"/>
        </w:rPr>
        <w:t xml:space="preserve"> </w:t>
      </w:r>
      <w:r w:rsidR="00A56AD2" w:rsidRPr="00AA66A1">
        <w:rPr>
          <w:b w:val="0"/>
          <w:sz w:val="24"/>
        </w:rPr>
        <w:t xml:space="preserve">(1) This Act may be cited as the </w:t>
      </w:r>
      <w:r w:rsidR="00A56AD2" w:rsidRPr="00AA66A1">
        <w:rPr>
          <w:rStyle w:val="BodytextItalic"/>
          <w:bCs/>
          <w:sz w:val="24"/>
        </w:rPr>
        <w:t xml:space="preserve">Sales Tax Act </w:t>
      </w:r>
      <w:r w:rsidR="00A56AD2" w:rsidRPr="00BE7AB9">
        <w:rPr>
          <w:rStyle w:val="BodytextItalic"/>
          <w:bCs/>
          <w:i w:val="0"/>
          <w:sz w:val="24"/>
        </w:rPr>
        <w:t>(</w:t>
      </w:r>
      <w:r w:rsidR="00A56AD2" w:rsidRPr="00AA66A1">
        <w:rPr>
          <w:rStyle w:val="BodytextItalic"/>
          <w:bCs/>
          <w:sz w:val="24"/>
        </w:rPr>
        <w:t>No.</w:t>
      </w:r>
      <w:r w:rsidR="00A56AD2" w:rsidRPr="00AA66A1">
        <w:rPr>
          <w:rStyle w:val="BodytextSylfaen"/>
          <w:rFonts w:ascii="Times New Roman" w:hAnsi="Times New Roman"/>
          <w:sz w:val="24"/>
        </w:rPr>
        <w:t xml:space="preserve"> </w:t>
      </w:r>
      <w:r w:rsidR="00A56AD2" w:rsidRPr="00AA66A1">
        <w:rPr>
          <w:b w:val="0"/>
          <w:sz w:val="24"/>
        </w:rPr>
        <w:t>1) 1975.</w:t>
      </w:r>
    </w:p>
    <w:p w14:paraId="6F487F02" w14:textId="0FE487F2" w:rsidR="00162E80" w:rsidRPr="00AA66A1" w:rsidRDefault="00A56AD2" w:rsidP="000F617A">
      <w:pPr>
        <w:pStyle w:val="BodyText1"/>
        <w:shd w:val="clear" w:color="auto" w:fill="auto"/>
        <w:spacing w:before="0" w:after="120" w:line="240" w:lineRule="auto"/>
        <w:ind w:firstLine="270"/>
        <w:jc w:val="both"/>
        <w:rPr>
          <w:b w:val="0"/>
          <w:sz w:val="24"/>
        </w:rPr>
      </w:pPr>
      <w:r w:rsidRPr="00AA66A1">
        <w:rPr>
          <w:b w:val="0"/>
          <w:sz w:val="24"/>
        </w:rPr>
        <w:t xml:space="preserve">(2) The </w:t>
      </w:r>
      <w:r w:rsidRPr="00AA66A1">
        <w:rPr>
          <w:rStyle w:val="BodytextItalic"/>
          <w:bCs/>
          <w:sz w:val="24"/>
        </w:rPr>
        <w:t xml:space="preserve">Sales Tax Act </w:t>
      </w:r>
      <w:r w:rsidRPr="00BE7AB9">
        <w:rPr>
          <w:rStyle w:val="BodytextItalic"/>
          <w:bCs/>
          <w:i w:val="0"/>
          <w:sz w:val="24"/>
        </w:rPr>
        <w:t>(</w:t>
      </w:r>
      <w:r w:rsidRPr="00AA66A1">
        <w:rPr>
          <w:rStyle w:val="BodytextItalic"/>
          <w:bCs/>
          <w:sz w:val="24"/>
        </w:rPr>
        <w:t>No.</w:t>
      </w:r>
      <w:r w:rsidRPr="00AA66A1">
        <w:rPr>
          <w:rStyle w:val="BodytextSylfaen"/>
          <w:rFonts w:ascii="Times New Roman" w:hAnsi="Times New Roman"/>
          <w:sz w:val="24"/>
        </w:rPr>
        <w:t xml:space="preserve"> </w:t>
      </w:r>
      <w:r w:rsidR="00CD44E7">
        <w:rPr>
          <w:b w:val="0"/>
          <w:sz w:val="24"/>
        </w:rPr>
        <w:t>1) 1930-1970,</w:t>
      </w:r>
      <w:r w:rsidR="00AA66A1">
        <w:rPr>
          <w:b w:val="0"/>
          <w:sz w:val="24"/>
        </w:rPr>
        <w:t xml:space="preserve"> </w:t>
      </w:r>
      <w:r w:rsidRPr="00AA66A1">
        <w:rPr>
          <w:b w:val="0"/>
          <w:sz w:val="24"/>
        </w:rPr>
        <w:t xml:space="preserve">as amended by this Act, may be cited as the </w:t>
      </w:r>
      <w:r w:rsidRPr="00AA66A1">
        <w:rPr>
          <w:rStyle w:val="BodytextItalic"/>
          <w:bCs/>
          <w:sz w:val="24"/>
        </w:rPr>
        <w:t xml:space="preserve">Sales Tax Act </w:t>
      </w:r>
      <w:r w:rsidRPr="00BE7AB9">
        <w:rPr>
          <w:rStyle w:val="BodytextItalic"/>
          <w:bCs/>
          <w:i w:val="0"/>
          <w:sz w:val="24"/>
        </w:rPr>
        <w:t>(</w:t>
      </w:r>
      <w:r w:rsidRPr="00AA66A1">
        <w:rPr>
          <w:rStyle w:val="BodytextItalic"/>
          <w:bCs/>
          <w:sz w:val="24"/>
        </w:rPr>
        <w:t>No.</w:t>
      </w:r>
      <w:r w:rsidRPr="00AA66A1">
        <w:rPr>
          <w:rStyle w:val="BodytextSylfaen"/>
          <w:rFonts w:ascii="Times New Roman" w:hAnsi="Times New Roman"/>
          <w:sz w:val="24"/>
        </w:rPr>
        <w:t xml:space="preserve"> </w:t>
      </w:r>
      <w:r w:rsidRPr="00AA66A1">
        <w:rPr>
          <w:b w:val="0"/>
          <w:sz w:val="24"/>
        </w:rPr>
        <w:t>1) 1930-1975.</w:t>
      </w:r>
    </w:p>
    <w:p w14:paraId="4B3D58A0" w14:textId="77777777" w:rsidR="000F617A" w:rsidRPr="000F617A" w:rsidRDefault="000F617A" w:rsidP="000F617A">
      <w:pPr>
        <w:pStyle w:val="BodyText1"/>
        <w:shd w:val="clear" w:color="auto" w:fill="auto"/>
        <w:tabs>
          <w:tab w:val="left" w:pos="641"/>
        </w:tabs>
        <w:spacing w:before="120" w:after="60" w:line="240" w:lineRule="auto"/>
        <w:jc w:val="both"/>
      </w:pPr>
      <w:r w:rsidRPr="000F617A">
        <w:t>Commencement.</w:t>
      </w:r>
    </w:p>
    <w:p w14:paraId="0B7DD75B" w14:textId="77777777" w:rsidR="00162E80" w:rsidRPr="00AA66A1" w:rsidRDefault="000F617A" w:rsidP="000F617A">
      <w:pPr>
        <w:pStyle w:val="BodyText1"/>
        <w:shd w:val="clear" w:color="auto" w:fill="auto"/>
        <w:tabs>
          <w:tab w:val="left" w:pos="641"/>
        </w:tabs>
        <w:spacing w:before="0" w:after="120" w:line="240" w:lineRule="auto"/>
        <w:ind w:firstLine="270"/>
        <w:jc w:val="both"/>
        <w:rPr>
          <w:b w:val="0"/>
          <w:sz w:val="24"/>
        </w:rPr>
      </w:pPr>
      <w:r w:rsidRPr="000F617A">
        <w:rPr>
          <w:sz w:val="24"/>
        </w:rPr>
        <w:t>2.</w:t>
      </w:r>
      <w:r>
        <w:rPr>
          <w:b w:val="0"/>
          <w:sz w:val="24"/>
        </w:rPr>
        <w:tab/>
      </w:r>
      <w:bookmarkStart w:id="2" w:name="_GoBack"/>
      <w:r w:rsidR="00A56AD2" w:rsidRPr="00AA66A1">
        <w:rPr>
          <w:b w:val="0"/>
          <w:sz w:val="24"/>
        </w:rPr>
        <w:t>This Act shall be deemed to have come into operation on 29 January 1975.</w:t>
      </w:r>
      <w:bookmarkEnd w:id="2"/>
    </w:p>
    <w:p w14:paraId="75BB80BE" w14:textId="63ACBA1A" w:rsidR="00162E80" w:rsidRPr="00AA66A1" w:rsidRDefault="000F617A" w:rsidP="000F617A">
      <w:pPr>
        <w:pStyle w:val="BodyText1"/>
        <w:shd w:val="clear" w:color="auto" w:fill="auto"/>
        <w:tabs>
          <w:tab w:val="left" w:pos="641"/>
        </w:tabs>
        <w:spacing w:before="0" w:after="0" w:line="240" w:lineRule="auto"/>
        <w:ind w:firstLine="270"/>
        <w:jc w:val="both"/>
        <w:rPr>
          <w:b w:val="0"/>
          <w:sz w:val="24"/>
        </w:rPr>
      </w:pPr>
      <w:r w:rsidRPr="000F617A">
        <w:rPr>
          <w:sz w:val="24"/>
        </w:rPr>
        <w:t>3.</w:t>
      </w:r>
      <w:r>
        <w:rPr>
          <w:b w:val="0"/>
          <w:sz w:val="24"/>
        </w:rPr>
        <w:tab/>
      </w:r>
      <w:r w:rsidR="00A56AD2" w:rsidRPr="00AA66A1">
        <w:rPr>
          <w:b w:val="0"/>
          <w:sz w:val="24"/>
        </w:rPr>
        <w:t xml:space="preserve">Sections 3 and 4 of the </w:t>
      </w:r>
      <w:r w:rsidR="00A56AD2" w:rsidRPr="00AA66A1">
        <w:rPr>
          <w:rStyle w:val="BodytextItalic"/>
          <w:bCs/>
          <w:sz w:val="24"/>
        </w:rPr>
        <w:t xml:space="preserve">Sales Tax Act </w:t>
      </w:r>
      <w:r w:rsidR="00A56AD2" w:rsidRPr="00BE7AB9">
        <w:rPr>
          <w:rStyle w:val="BodytextItalic"/>
          <w:bCs/>
          <w:i w:val="0"/>
          <w:sz w:val="24"/>
        </w:rPr>
        <w:t>(</w:t>
      </w:r>
      <w:r w:rsidR="00A56AD2" w:rsidRPr="00AA66A1">
        <w:rPr>
          <w:rStyle w:val="BodytextItalic"/>
          <w:bCs/>
          <w:sz w:val="24"/>
        </w:rPr>
        <w:t>No.</w:t>
      </w:r>
      <w:r w:rsidR="00BE7AB9">
        <w:rPr>
          <w:rStyle w:val="BodytextItalic"/>
          <w:bCs/>
          <w:sz w:val="24"/>
        </w:rPr>
        <w:t xml:space="preserve"> </w:t>
      </w:r>
      <w:r w:rsidR="00A56AD2" w:rsidRPr="00AA66A1">
        <w:rPr>
          <w:b w:val="0"/>
          <w:sz w:val="24"/>
        </w:rPr>
        <w:t>1) 1930-197</w:t>
      </w:r>
      <w:r>
        <w:rPr>
          <w:b w:val="0"/>
          <w:sz w:val="24"/>
        </w:rPr>
        <w:t>0</w:t>
      </w:r>
      <w:r w:rsidR="00A56AD2" w:rsidRPr="00AA66A1">
        <w:rPr>
          <w:b w:val="0"/>
          <w:sz w:val="24"/>
        </w:rPr>
        <w:t xml:space="preserve"> are repealed and the following sections substituted:—</w:t>
      </w:r>
    </w:p>
    <w:p w14:paraId="3546EC30" w14:textId="77777777" w:rsidR="000F617A" w:rsidRPr="000F617A" w:rsidRDefault="000F617A" w:rsidP="000F617A">
      <w:pPr>
        <w:pStyle w:val="BodyText1"/>
        <w:shd w:val="clear" w:color="auto" w:fill="auto"/>
        <w:spacing w:before="120" w:after="60" w:line="240" w:lineRule="auto"/>
        <w:jc w:val="both"/>
      </w:pPr>
      <w:r w:rsidRPr="000F617A">
        <w:t>Imposition of tax</w:t>
      </w:r>
      <w:r w:rsidR="00F844E2">
        <w:t>.</w:t>
      </w:r>
    </w:p>
    <w:p w14:paraId="7CDFCE51" w14:textId="77777777" w:rsidR="00162E80" w:rsidRPr="000F617A" w:rsidRDefault="00A56AD2" w:rsidP="000F617A">
      <w:pPr>
        <w:pStyle w:val="BodyText1"/>
        <w:shd w:val="clear" w:color="auto" w:fill="auto"/>
        <w:spacing w:before="0" w:after="120" w:line="240" w:lineRule="auto"/>
        <w:ind w:firstLine="270"/>
        <w:jc w:val="both"/>
        <w:rPr>
          <w:b w:val="0"/>
          <w:sz w:val="24"/>
          <w:szCs w:val="24"/>
        </w:rPr>
      </w:pPr>
      <w:r w:rsidRPr="00AA66A1">
        <w:rPr>
          <w:b w:val="0"/>
          <w:sz w:val="24"/>
        </w:rPr>
        <w:t xml:space="preserve">“3. Sales tax is imposed, at the rates specified in section 4, upon the sale value of goods </w:t>
      </w:r>
      <w:r w:rsidRPr="000F617A">
        <w:rPr>
          <w:b w:val="0"/>
          <w:sz w:val="24"/>
          <w:szCs w:val="24"/>
        </w:rPr>
        <w:t>manufactured in Australia by a taxpayer and, on or after 29 January 1975, sold by him or treated by him as stock for sale by retail or applied to his own use.</w:t>
      </w:r>
    </w:p>
    <w:p w14:paraId="30FAF44F" w14:textId="77777777" w:rsidR="00F844E2" w:rsidRPr="00F844E2" w:rsidRDefault="00F844E2" w:rsidP="00F844E2">
      <w:pPr>
        <w:pStyle w:val="BodyText1"/>
        <w:shd w:val="clear" w:color="auto" w:fill="auto"/>
        <w:spacing w:before="120" w:after="60" w:line="240" w:lineRule="auto"/>
        <w:jc w:val="both"/>
      </w:pPr>
      <w:r w:rsidRPr="00F844E2">
        <w:t>Rates of tax.</w:t>
      </w:r>
    </w:p>
    <w:p w14:paraId="267B5058" w14:textId="77777777" w:rsidR="00162E80" w:rsidRPr="000F617A" w:rsidRDefault="00A56AD2" w:rsidP="000F617A">
      <w:pPr>
        <w:pStyle w:val="BodyText1"/>
        <w:shd w:val="clear" w:color="auto" w:fill="auto"/>
        <w:spacing w:before="0" w:after="120" w:line="240" w:lineRule="auto"/>
        <w:ind w:firstLine="270"/>
        <w:jc w:val="both"/>
        <w:rPr>
          <w:b w:val="0"/>
          <w:sz w:val="24"/>
          <w:szCs w:val="24"/>
        </w:rPr>
      </w:pPr>
      <w:r w:rsidRPr="000F617A">
        <w:rPr>
          <w:b w:val="0"/>
          <w:sz w:val="24"/>
          <w:szCs w:val="24"/>
        </w:rPr>
        <w:t xml:space="preserve">“4. (1) The rate of the sales tax imposed by this Act in respect of goods covered by the Second Schedule to the </w:t>
      </w:r>
      <w:r w:rsidRPr="000F617A">
        <w:rPr>
          <w:rStyle w:val="BodytextItalic"/>
          <w:bCs/>
          <w:sz w:val="24"/>
          <w:szCs w:val="24"/>
        </w:rPr>
        <w:t>Sales Tax (Exemptions and Classifications) Act</w:t>
      </w:r>
      <w:r w:rsidRPr="000F617A">
        <w:rPr>
          <w:rStyle w:val="BodytextSylfaen"/>
          <w:rFonts w:ascii="Times New Roman" w:hAnsi="Times New Roman"/>
          <w:sz w:val="24"/>
          <w:szCs w:val="24"/>
        </w:rPr>
        <w:t xml:space="preserve"> </w:t>
      </w:r>
      <w:r w:rsidRPr="000F617A">
        <w:rPr>
          <w:b w:val="0"/>
          <w:sz w:val="24"/>
          <w:szCs w:val="24"/>
        </w:rPr>
        <w:t xml:space="preserve">1935-1975 is </w:t>
      </w:r>
      <w:r w:rsidR="000F617A" w:rsidRPr="000F617A">
        <w:rPr>
          <w:b w:val="0"/>
          <w:sz w:val="24"/>
          <w:szCs w:val="24"/>
        </w:rPr>
        <w:t>2</w:t>
      </w:r>
      <w:r w:rsidR="000F617A" w:rsidRPr="000F617A">
        <w:rPr>
          <w:rFonts w:cs="Courier New"/>
          <w:b w:val="0"/>
          <w:sz w:val="24"/>
          <w:szCs w:val="24"/>
        </w:rPr>
        <w:t>7½</w:t>
      </w:r>
      <w:r w:rsidRPr="000F617A">
        <w:rPr>
          <w:b w:val="0"/>
          <w:sz w:val="24"/>
          <w:szCs w:val="24"/>
        </w:rPr>
        <w:t xml:space="preserve"> per centum.</w:t>
      </w:r>
    </w:p>
    <w:p w14:paraId="63C60B0C" w14:textId="77777777" w:rsidR="00162E80" w:rsidRPr="000F617A" w:rsidRDefault="00A56AD2" w:rsidP="000F617A">
      <w:pPr>
        <w:pStyle w:val="BodyText1"/>
        <w:shd w:val="clear" w:color="auto" w:fill="auto"/>
        <w:spacing w:before="0" w:after="120" w:line="240" w:lineRule="auto"/>
        <w:ind w:firstLine="270"/>
        <w:jc w:val="both"/>
        <w:rPr>
          <w:b w:val="0"/>
          <w:sz w:val="24"/>
          <w:szCs w:val="24"/>
        </w:rPr>
      </w:pPr>
      <w:r w:rsidRPr="000F617A">
        <w:rPr>
          <w:b w:val="0"/>
          <w:sz w:val="24"/>
          <w:szCs w:val="24"/>
        </w:rPr>
        <w:t xml:space="preserve">“(2) The rate of the sales tax imposed by this Act in respect of goods covered by the Third Schedule to the </w:t>
      </w:r>
      <w:r w:rsidRPr="00BE7AB9">
        <w:rPr>
          <w:rFonts w:cs="Courier New"/>
          <w:b w:val="0"/>
          <w:i/>
          <w:sz w:val="24"/>
          <w:szCs w:val="24"/>
        </w:rPr>
        <w:t>S</w:t>
      </w:r>
      <w:r w:rsidR="000F617A" w:rsidRPr="00BE7AB9">
        <w:rPr>
          <w:rFonts w:cs="Courier New"/>
          <w:b w:val="0"/>
          <w:i/>
          <w:sz w:val="24"/>
          <w:szCs w:val="24"/>
        </w:rPr>
        <w:t>ales Tax (Exemptions and Classi</w:t>
      </w:r>
      <w:r w:rsidRPr="00BE7AB9">
        <w:rPr>
          <w:rFonts w:cs="Courier New"/>
          <w:b w:val="0"/>
          <w:i/>
          <w:sz w:val="24"/>
          <w:szCs w:val="24"/>
        </w:rPr>
        <w:t>fications)</w:t>
      </w:r>
      <w:r w:rsidRPr="000F617A">
        <w:rPr>
          <w:rFonts w:cs="Courier New"/>
          <w:b w:val="0"/>
          <w:sz w:val="24"/>
          <w:szCs w:val="24"/>
        </w:rPr>
        <w:t xml:space="preserve"> Act</w:t>
      </w:r>
      <w:r w:rsidRPr="000F617A">
        <w:rPr>
          <w:rFonts w:eastAsia="Courier New" w:cs="Courier New"/>
          <w:b w:val="0"/>
          <w:sz w:val="24"/>
          <w:szCs w:val="24"/>
        </w:rPr>
        <w:t xml:space="preserve"> </w:t>
      </w:r>
      <w:r w:rsidR="000F617A" w:rsidRPr="000F617A">
        <w:rPr>
          <w:b w:val="0"/>
          <w:sz w:val="24"/>
          <w:szCs w:val="24"/>
        </w:rPr>
        <w:t>1935-1975 is 2</w:t>
      </w:r>
      <w:r w:rsidR="000F617A" w:rsidRPr="000F617A">
        <w:rPr>
          <w:rFonts w:cs="Courier New"/>
          <w:b w:val="0"/>
          <w:sz w:val="24"/>
          <w:szCs w:val="24"/>
        </w:rPr>
        <w:t>½</w:t>
      </w:r>
      <w:r w:rsidR="000F617A" w:rsidRPr="000F617A">
        <w:rPr>
          <w:b w:val="0"/>
          <w:sz w:val="24"/>
          <w:szCs w:val="24"/>
        </w:rPr>
        <w:t xml:space="preserve"> </w:t>
      </w:r>
      <w:r w:rsidRPr="000F617A">
        <w:rPr>
          <w:b w:val="0"/>
          <w:sz w:val="24"/>
          <w:szCs w:val="24"/>
        </w:rPr>
        <w:t>per centum.</w:t>
      </w:r>
    </w:p>
    <w:p w14:paraId="3FA2A559" w14:textId="77777777" w:rsidR="000F617A" w:rsidRDefault="00A56AD2" w:rsidP="000F617A">
      <w:pPr>
        <w:pStyle w:val="BodyText1"/>
        <w:shd w:val="clear" w:color="auto" w:fill="auto"/>
        <w:spacing w:before="0" w:after="120" w:line="240" w:lineRule="auto"/>
        <w:ind w:firstLine="270"/>
        <w:jc w:val="both"/>
        <w:rPr>
          <w:b w:val="0"/>
          <w:sz w:val="24"/>
          <w:szCs w:val="24"/>
        </w:rPr>
      </w:pPr>
      <w:r w:rsidRPr="000F617A">
        <w:rPr>
          <w:b w:val="0"/>
          <w:sz w:val="24"/>
          <w:szCs w:val="24"/>
        </w:rPr>
        <w:t xml:space="preserve">“(3) The rate of the sales tax imposed by his Act in respect of goods covered by the Fourth Schedule to the </w:t>
      </w:r>
      <w:r w:rsidRPr="000F617A">
        <w:rPr>
          <w:rStyle w:val="BodytextItalic"/>
          <w:bCs/>
          <w:sz w:val="24"/>
          <w:szCs w:val="24"/>
        </w:rPr>
        <w:t>Sales Tax (Exemptions and Classifications) Act</w:t>
      </w:r>
      <w:r w:rsidRPr="000F617A">
        <w:rPr>
          <w:rStyle w:val="BodytextSylfaen"/>
          <w:rFonts w:ascii="Times New Roman" w:hAnsi="Times New Roman"/>
          <w:sz w:val="24"/>
          <w:szCs w:val="24"/>
        </w:rPr>
        <w:t xml:space="preserve"> </w:t>
      </w:r>
      <w:r w:rsidRPr="000F617A">
        <w:rPr>
          <w:b w:val="0"/>
          <w:sz w:val="24"/>
          <w:szCs w:val="24"/>
        </w:rPr>
        <w:t>1935-1975 that, on or after a date specified in the first column of the following table and before the next later date (if any) specified in that column, become goods on which sales tax is imposed by section 3 of this Act, is the rate specified in the second column of that table opposite to the first-mentioned date in the first column of that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2297"/>
      </w:tblGrid>
      <w:tr w:rsidR="00560CDA" w14:paraId="19B6613A" w14:textId="77777777" w:rsidTr="002C3793">
        <w:trPr>
          <w:trHeight w:val="300"/>
        </w:trPr>
        <w:tc>
          <w:tcPr>
            <w:tcW w:w="9965" w:type="dxa"/>
            <w:gridSpan w:val="2"/>
            <w:tcBorders>
              <w:top w:val="single" w:sz="4" w:space="0" w:color="auto"/>
            </w:tcBorders>
          </w:tcPr>
          <w:p w14:paraId="390BEE01" w14:textId="7FCF71A1" w:rsidR="00560CDA" w:rsidRDefault="00560CDA" w:rsidP="00BE7AB9">
            <w:pPr>
              <w:pStyle w:val="BodyText1"/>
              <w:tabs>
                <w:tab w:val="left" w:pos="7830"/>
              </w:tabs>
              <w:spacing w:before="0" w:after="120" w:line="240" w:lineRule="auto"/>
              <w:ind w:firstLine="3240"/>
              <w:jc w:val="both"/>
              <w:rPr>
                <w:b w:val="0"/>
                <w:sz w:val="24"/>
              </w:rPr>
            </w:pPr>
            <w:r w:rsidRPr="00AA66A1">
              <w:rPr>
                <w:b w:val="0"/>
                <w:sz w:val="24"/>
              </w:rPr>
              <w:t xml:space="preserve">First Column </w:t>
            </w:r>
            <w:r w:rsidR="002C3793">
              <w:rPr>
                <w:b w:val="0"/>
                <w:sz w:val="24"/>
              </w:rPr>
              <w:tab/>
            </w:r>
            <w:r w:rsidRPr="00AA66A1">
              <w:rPr>
                <w:b w:val="0"/>
                <w:sz w:val="24"/>
              </w:rPr>
              <w:t>Second Column</w:t>
            </w:r>
          </w:p>
        </w:tc>
      </w:tr>
      <w:tr w:rsidR="002C3793" w14:paraId="5323EE51" w14:textId="77777777" w:rsidTr="002C3793">
        <w:trPr>
          <w:trHeight w:val="495"/>
        </w:trPr>
        <w:tc>
          <w:tcPr>
            <w:tcW w:w="9965" w:type="dxa"/>
            <w:gridSpan w:val="2"/>
            <w:tcBorders>
              <w:bottom w:val="single" w:sz="4" w:space="0" w:color="auto"/>
            </w:tcBorders>
          </w:tcPr>
          <w:p w14:paraId="04BC9EC7" w14:textId="77777777" w:rsidR="002C3793" w:rsidRPr="00AA66A1" w:rsidRDefault="002C3793" w:rsidP="002C3793">
            <w:pPr>
              <w:pStyle w:val="BodyText1"/>
              <w:tabs>
                <w:tab w:val="left" w:pos="8100"/>
              </w:tabs>
              <w:spacing w:before="0" w:after="120" w:line="240" w:lineRule="auto"/>
              <w:ind w:firstLine="2070"/>
              <w:jc w:val="both"/>
              <w:rPr>
                <w:b w:val="0"/>
                <w:sz w:val="24"/>
              </w:rPr>
            </w:pPr>
            <w:r w:rsidRPr="00AA66A1">
              <w:rPr>
                <w:b w:val="0"/>
                <w:sz w:val="24"/>
              </w:rPr>
              <w:t xml:space="preserve">Date on and after which rate applies </w:t>
            </w:r>
            <w:r>
              <w:rPr>
                <w:b w:val="0"/>
                <w:sz w:val="24"/>
              </w:rPr>
              <w:tab/>
            </w:r>
            <w:r w:rsidRPr="00AA66A1">
              <w:rPr>
                <w:b w:val="0"/>
                <w:sz w:val="24"/>
              </w:rPr>
              <w:t>Rate of tax</w:t>
            </w:r>
          </w:p>
        </w:tc>
      </w:tr>
      <w:tr w:rsidR="002C3793" w14:paraId="05946559" w14:textId="77777777" w:rsidTr="00DE5A33">
        <w:tc>
          <w:tcPr>
            <w:tcW w:w="7668" w:type="dxa"/>
            <w:tcBorders>
              <w:top w:val="single" w:sz="4" w:space="0" w:color="auto"/>
            </w:tcBorders>
            <w:vAlign w:val="bottom"/>
          </w:tcPr>
          <w:p w14:paraId="247A71D8" w14:textId="77777777" w:rsid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29 January 1975</w:t>
            </w:r>
            <w:r>
              <w:rPr>
                <w:b w:val="0"/>
                <w:sz w:val="24"/>
              </w:rPr>
              <w:tab/>
            </w:r>
          </w:p>
        </w:tc>
        <w:tc>
          <w:tcPr>
            <w:tcW w:w="2297" w:type="dxa"/>
            <w:tcBorders>
              <w:top w:val="single" w:sz="4" w:space="0" w:color="auto"/>
            </w:tcBorders>
            <w:vAlign w:val="bottom"/>
          </w:tcPr>
          <w:p w14:paraId="086E2BD6" w14:textId="77777777" w:rsidR="002C3793" w:rsidRDefault="002C3793" w:rsidP="00BE7AB9">
            <w:pPr>
              <w:pStyle w:val="BodyText1"/>
              <w:shd w:val="clear" w:color="auto" w:fill="auto"/>
              <w:spacing w:before="0" w:after="120" w:line="240" w:lineRule="auto"/>
              <w:rPr>
                <w:b w:val="0"/>
                <w:sz w:val="24"/>
              </w:rPr>
            </w:pPr>
            <w:r w:rsidRPr="00AA66A1">
              <w:rPr>
                <w:b w:val="0"/>
                <w:sz w:val="24"/>
              </w:rPr>
              <w:t>5%</w:t>
            </w:r>
          </w:p>
        </w:tc>
      </w:tr>
      <w:tr w:rsidR="002C3793" w14:paraId="4BFFA3BC" w14:textId="77777777" w:rsidTr="00DE5A33">
        <w:tc>
          <w:tcPr>
            <w:tcW w:w="7668" w:type="dxa"/>
            <w:vAlign w:val="bottom"/>
          </w:tcPr>
          <w:p w14:paraId="2900A814" w14:textId="77777777" w:rsidR="002C3793" w:rsidRDefault="002C3793" w:rsidP="00DE5A33">
            <w:pPr>
              <w:pStyle w:val="BodyText1"/>
              <w:shd w:val="clear" w:color="auto" w:fill="auto"/>
              <w:tabs>
                <w:tab w:val="left" w:leader="dot" w:pos="7290"/>
              </w:tabs>
              <w:spacing w:before="0" w:after="120" w:line="240" w:lineRule="auto"/>
              <w:jc w:val="left"/>
              <w:rPr>
                <w:b w:val="0"/>
                <w:sz w:val="24"/>
              </w:rPr>
            </w:pPr>
            <w:r>
              <w:rPr>
                <w:b w:val="0"/>
                <w:sz w:val="24"/>
              </w:rPr>
              <w:t>1 May 1975</w:t>
            </w:r>
            <w:r>
              <w:rPr>
                <w:b w:val="0"/>
                <w:sz w:val="24"/>
              </w:rPr>
              <w:tab/>
            </w:r>
          </w:p>
        </w:tc>
        <w:tc>
          <w:tcPr>
            <w:tcW w:w="2297" w:type="dxa"/>
            <w:vAlign w:val="bottom"/>
          </w:tcPr>
          <w:p w14:paraId="193CC935" w14:textId="77777777" w:rsidR="002C3793" w:rsidRDefault="002C3793" w:rsidP="00BE7AB9">
            <w:pPr>
              <w:pStyle w:val="BodyText1"/>
              <w:shd w:val="clear" w:color="auto" w:fill="auto"/>
              <w:spacing w:before="0" w:after="120" w:line="240" w:lineRule="auto"/>
              <w:rPr>
                <w:b w:val="0"/>
                <w:sz w:val="24"/>
              </w:rPr>
            </w:pPr>
            <w:r w:rsidRPr="00AA66A1">
              <w:rPr>
                <w:b w:val="0"/>
                <w:sz w:val="24"/>
              </w:rPr>
              <w:t>7%</w:t>
            </w:r>
          </w:p>
        </w:tc>
      </w:tr>
      <w:tr w:rsidR="002C3793" w14:paraId="300D9408" w14:textId="77777777" w:rsidTr="00DE5A33">
        <w:tc>
          <w:tcPr>
            <w:tcW w:w="7668" w:type="dxa"/>
            <w:vAlign w:val="bottom"/>
          </w:tcPr>
          <w:p w14:paraId="293946F4" w14:textId="77777777" w:rsid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 xml:space="preserve">1 </w:t>
            </w:r>
            <w:r>
              <w:rPr>
                <w:b w:val="0"/>
                <w:sz w:val="24"/>
              </w:rPr>
              <w:t>June 1975</w:t>
            </w:r>
            <w:r>
              <w:rPr>
                <w:b w:val="0"/>
                <w:sz w:val="24"/>
              </w:rPr>
              <w:tab/>
            </w:r>
          </w:p>
        </w:tc>
        <w:tc>
          <w:tcPr>
            <w:tcW w:w="2297" w:type="dxa"/>
            <w:vAlign w:val="bottom"/>
          </w:tcPr>
          <w:p w14:paraId="1563C873" w14:textId="77777777" w:rsidR="002C3793" w:rsidRDefault="002C3793" w:rsidP="00BE7AB9">
            <w:pPr>
              <w:pStyle w:val="Tableofcontents0"/>
              <w:shd w:val="clear" w:color="auto" w:fill="auto"/>
              <w:tabs>
                <w:tab w:val="left" w:pos="1167"/>
                <w:tab w:val="left" w:leader="dot" w:pos="5514"/>
                <w:tab w:val="right" w:pos="6288"/>
              </w:tabs>
              <w:spacing w:line="240" w:lineRule="auto"/>
              <w:jc w:val="center"/>
              <w:rPr>
                <w:b/>
                <w:sz w:val="24"/>
              </w:rPr>
            </w:pPr>
            <w:r w:rsidRPr="00AA66A1">
              <w:rPr>
                <w:sz w:val="24"/>
              </w:rPr>
              <w:t>9%</w:t>
            </w:r>
          </w:p>
        </w:tc>
      </w:tr>
      <w:tr w:rsidR="002C3793" w14:paraId="0D5D7F27" w14:textId="77777777" w:rsidTr="00DE5A33">
        <w:tc>
          <w:tcPr>
            <w:tcW w:w="7668" w:type="dxa"/>
            <w:vAlign w:val="bottom"/>
          </w:tcPr>
          <w:p w14:paraId="13F4CFD9" w14:textId="77777777" w:rsid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1 July 1975</w:t>
            </w:r>
            <w:r>
              <w:rPr>
                <w:b w:val="0"/>
                <w:sz w:val="24"/>
              </w:rPr>
              <w:tab/>
            </w:r>
          </w:p>
        </w:tc>
        <w:tc>
          <w:tcPr>
            <w:tcW w:w="2297" w:type="dxa"/>
            <w:vAlign w:val="bottom"/>
          </w:tcPr>
          <w:p w14:paraId="31D6829D" w14:textId="77777777" w:rsidR="002C3793" w:rsidRDefault="002C3793" w:rsidP="00BE7AB9">
            <w:pPr>
              <w:pStyle w:val="BodyText1"/>
              <w:shd w:val="clear" w:color="auto" w:fill="auto"/>
              <w:spacing w:before="0" w:after="120" w:line="240" w:lineRule="auto"/>
              <w:rPr>
                <w:b w:val="0"/>
                <w:sz w:val="24"/>
              </w:rPr>
            </w:pPr>
            <w:r w:rsidRPr="00AA66A1">
              <w:rPr>
                <w:b w:val="0"/>
                <w:sz w:val="24"/>
              </w:rPr>
              <w:t>11%</w:t>
            </w:r>
          </w:p>
        </w:tc>
      </w:tr>
      <w:tr w:rsidR="002C3793" w14:paraId="1C5456F4" w14:textId="77777777" w:rsidTr="00DE5A33">
        <w:tc>
          <w:tcPr>
            <w:tcW w:w="7668" w:type="dxa"/>
            <w:vAlign w:val="bottom"/>
          </w:tcPr>
          <w:p w14:paraId="56E3C4E5" w14:textId="77777777" w:rsid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1 August 1975</w:t>
            </w:r>
            <w:r>
              <w:rPr>
                <w:b w:val="0"/>
                <w:sz w:val="24"/>
              </w:rPr>
              <w:tab/>
            </w:r>
          </w:p>
        </w:tc>
        <w:tc>
          <w:tcPr>
            <w:tcW w:w="2297" w:type="dxa"/>
            <w:vAlign w:val="bottom"/>
          </w:tcPr>
          <w:p w14:paraId="7B057B33" w14:textId="77777777" w:rsidR="002C3793" w:rsidRDefault="002C3793" w:rsidP="00BE7AB9">
            <w:pPr>
              <w:pStyle w:val="Tableofcontents0"/>
              <w:tabs>
                <w:tab w:val="left" w:pos="1167"/>
                <w:tab w:val="left" w:leader="dot" w:pos="5514"/>
                <w:tab w:val="right" w:pos="6288"/>
              </w:tabs>
              <w:spacing w:line="240" w:lineRule="auto"/>
              <w:jc w:val="center"/>
              <w:rPr>
                <w:b/>
                <w:sz w:val="24"/>
              </w:rPr>
            </w:pPr>
            <w:r w:rsidRPr="00AA66A1">
              <w:rPr>
                <w:sz w:val="24"/>
              </w:rPr>
              <w:t>13%</w:t>
            </w:r>
          </w:p>
        </w:tc>
      </w:tr>
      <w:tr w:rsidR="002C3793" w14:paraId="76BC42C0" w14:textId="77777777" w:rsidTr="00DE5A33">
        <w:trPr>
          <w:trHeight w:val="350"/>
        </w:trPr>
        <w:tc>
          <w:tcPr>
            <w:tcW w:w="7668" w:type="dxa"/>
            <w:tcBorders>
              <w:bottom w:val="single" w:sz="4" w:space="0" w:color="auto"/>
            </w:tcBorders>
            <w:vAlign w:val="bottom"/>
          </w:tcPr>
          <w:p w14:paraId="6A989931" w14:textId="77777777" w:rsid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1 September 1975</w:t>
            </w:r>
            <w:r>
              <w:rPr>
                <w:b w:val="0"/>
                <w:sz w:val="24"/>
              </w:rPr>
              <w:tab/>
            </w:r>
          </w:p>
        </w:tc>
        <w:tc>
          <w:tcPr>
            <w:tcW w:w="2297" w:type="dxa"/>
            <w:tcBorders>
              <w:bottom w:val="single" w:sz="4" w:space="0" w:color="auto"/>
            </w:tcBorders>
            <w:vAlign w:val="bottom"/>
          </w:tcPr>
          <w:p w14:paraId="7B39E2BC" w14:textId="3FDFAF81" w:rsidR="002C3793" w:rsidRPr="00AA66A1" w:rsidRDefault="002C3793" w:rsidP="00BE7AB9">
            <w:pPr>
              <w:pStyle w:val="BodyText1"/>
              <w:spacing w:before="0" w:after="120" w:line="240" w:lineRule="auto"/>
              <w:rPr>
                <w:sz w:val="24"/>
              </w:rPr>
            </w:pPr>
            <w:r w:rsidRPr="00AA66A1">
              <w:rPr>
                <w:b w:val="0"/>
                <w:sz w:val="24"/>
              </w:rPr>
              <w:t>15%</w:t>
            </w:r>
          </w:p>
        </w:tc>
      </w:tr>
    </w:tbl>
    <w:p w14:paraId="25DF1D82" w14:textId="77777777" w:rsidR="00BE7AB9" w:rsidRDefault="00BE7AB9" w:rsidP="00DE5A33">
      <w:pPr>
        <w:pStyle w:val="BodyText1"/>
        <w:shd w:val="clear" w:color="auto" w:fill="auto"/>
        <w:spacing w:before="160" w:after="160" w:line="240" w:lineRule="auto"/>
        <w:ind w:firstLine="270"/>
        <w:jc w:val="both"/>
        <w:rPr>
          <w:b w:val="0"/>
          <w:sz w:val="24"/>
        </w:rPr>
      </w:pPr>
    </w:p>
    <w:p w14:paraId="5531DB54" w14:textId="77777777" w:rsidR="00BE7AB9" w:rsidRDefault="00BE7AB9">
      <w:pPr>
        <w:rPr>
          <w:rFonts w:ascii="Times New Roman" w:eastAsia="Times New Roman" w:hAnsi="Times New Roman" w:cs="Times New Roman"/>
          <w:bCs/>
          <w:szCs w:val="20"/>
        </w:rPr>
      </w:pPr>
      <w:r>
        <w:rPr>
          <w:b/>
        </w:rPr>
        <w:br w:type="page"/>
      </w:r>
    </w:p>
    <w:p w14:paraId="2F59B4B7" w14:textId="7B7BBDEB" w:rsidR="00162E80" w:rsidRPr="00AA66A1" w:rsidRDefault="00A56AD2" w:rsidP="00DE5A33">
      <w:pPr>
        <w:pStyle w:val="BodyText1"/>
        <w:shd w:val="clear" w:color="auto" w:fill="auto"/>
        <w:spacing w:before="160" w:after="160" w:line="240" w:lineRule="auto"/>
        <w:ind w:firstLine="270"/>
        <w:jc w:val="both"/>
        <w:rPr>
          <w:b w:val="0"/>
          <w:sz w:val="24"/>
        </w:rPr>
      </w:pPr>
      <w:r w:rsidRPr="00AA66A1">
        <w:rPr>
          <w:b w:val="0"/>
          <w:sz w:val="24"/>
        </w:rPr>
        <w:lastRenderedPageBreak/>
        <w:t xml:space="preserve">“(4) The rate of the sales tax imposed by this Act in respect of goods covered by the Fifth Schedule to the </w:t>
      </w:r>
      <w:r w:rsidRPr="00AA66A1">
        <w:rPr>
          <w:rStyle w:val="BodytextItalic"/>
          <w:bCs/>
          <w:sz w:val="24"/>
        </w:rPr>
        <w:t>S</w:t>
      </w:r>
      <w:r w:rsidR="002C3793">
        <w:rPr>
          <w:rStyle w:val="BodytextItalic"/>
          <w:bCs/>
          <w:sz w:val="24"/>
        </w:rPr>
        <w:t>ales Tax (Exemptions and Classi</w:t>
      </w:r>
      <w:r w:rsidRPr="00AA66A1">
        <w:rPr>
          <w:rStyle w:val="BodytextItalic"/>
          <w:bCs/>
          <w:sz w:val="24"/>
        </w:rPr>
        <w:t>fications) Act</w:t>
      </w:r>
      <w:r w:rsidRPr="00AA66A1">
        <w:rPr>
          <w:rStyle w:val="BodytextSylfaen"/>
          <w:rFonts w:ascii="Times New Roman" w:hAnsi="Times New Roman"/>
          <w:sz w:val="24"/>
        </w:rPr>
        <w:t xml:space="preserve"> </w:t>
      </w:r>
      <w:r w:rsidRPr="00AA66A1">
        <w:rPr>
          <w:b w:val="0"/>
          <w:sz w:val="24"/>
        </w:rPr>
        <w:t>1935-1975 that, on or after a date specified in the first column of the following table and before the next later date (if any) specified in that column, become goods on which sales tax is imposed by section 3 of this Act, is the rate specified in the second column of that table opposite to the first-mentioned date in the first column of that table: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2297"/>
      </w:tblGrid>
      <w:tr w:rsidR="002C3793" w14:paraId="23D03BBA" w14:textId="77777777" w:rsidTr="00737A83">
        <w:trPr>
          <w:trHeight w:val="300"/>
        </w:trPr>
        <w:tc>
          <w:tcPr>
            <w:tcW w:w="9965" w:type="dxa"/>
            <w:gridSpan w:val="2"/>
            <w:tcBorders>
              <w:top w:val="single" w:sz="4" w:space="0" w:color="auto"/>
            </w:tcBorders>
          </w:tcPr>
          <w:p w14:paraId="1F7698CA" w14:textId="77777777" w:rsidR="002C3793" w:rsidRDefault="002C3793" w:rsidP="00737A83">
            <w:pPr>
              <w:pStyle w:val="BodyText1"/>
              <w:tabs>
                <w:tab w:val="left" w:pos="7830"/>
              </w:tabs>
              <w:spacing w:before="0" w:after="120" w:line="240" w:lineRule="auto"/>
              <w:ind w:firstLine="3240"/>
              <w:jc w:val="both"/>
              <w:rPr>
                <w:b w:val="0"/>
                <w:sz w:val="24"/>
              </w:rPr>
            </w:pPr>
            <w:r w:rsidRPr="00AA66A1">
              <w:rPr>
                <w:b w:val="0"/>
                <w:sz w:val="24"/>
              </w:rPr>
              <w:t xml:space="preserve">First Column </w:t>
            </w:r>
            <w:r>
              <w:rPr>
                <w:b w:val="0"/>
                <w:sz w:val="24"/>
              </w:rPr>
              <w:tab/>
            </w:r>
            <w:r w:rsidRPr="00AA66A1">
              <w:rPr>
                <w:b w:val="0"/>
                <w:sz w:val="24"/>
              </w:rPr>
              <w:t>Second Column</w:t>
            </w:r>
          </w:p>
        </w:tc>
      </w:tr>
      <w:tr w:rsidR="002C3793" w14:paraId="5E634FC1" w14:textId="77777777" w:rsidTr="00737A83">
        <w:trPr>
          <w:trHeight w:val="495"/>
        </w:trPr>
        <w:tc>
          <w:tcPr>
            <w:tcW w:w="9965" w:type="dxa"/>
            <w:gridSpan w:val="2"/>
            <w:tcBorders>
              <w:bottom w:val="single" w:sz="4" w:space="0" w:color="auto"/>
            </w:tcBorders>
          </w:tcPr>
          <w:p w14:paraId="069006D8" w14:textId="77777777" w:rsidR="002C3793" w:rsidRPr="00AA66A1" w:rsidRDefault="002C3793" w:rsidP="00737A83">
            <w:pPr>
              <w:pStyle w:val="BodyText1"/>
              <w:tabs>
                <w:tab w:val="left" w:pos="8100"/>
              </w:tabs>
              <w:spacing w:before="0" w:after="120" w:line="240" w:lineRule="auto"/>
              <w:ind w:firstLine="2070"/>
              <w:jc w:val="both"/>
              <w:rPr>
                <w:b w:val="0"/>
                <w:sz w:val="24"/>
              </w:rPr>
            </w:pPr>
            <w:r w:rsidRPr="00AA66A1">
              <w:rPr>
                <w:b w:val="0"/>
                <w:sz w:val="24"/>
              </w:rPr>
              <w:t xml:space="preserve">Date on and after which rate applies </w:t>
            </w:r>
            <w:r>
              <w:rPr>
                <w:b w:val="0"/>
                <w:sz w:val="24"/>
              </w:rPr>
              <w:tab/>
            </w:r>
            <w:r w:rsidRPr="00AA66A1">
              <w:rPr>
                <w:b w:val="0"/>
                <w:sz w:val="24"/>
              </w:rPr>
              <w:t>Rate of tax</w:t>
            </w:r>
          </w:p>
        </w:tc>
      </w:tr>
      <w:tr w:rsidR="002C3793" w14:paraId="7C6EA61B" w14:textId="77777777" w:rsidTr="00DE5A33">
        <w:tc>
          <w:tcPr>
            <w:tcW w:w="7668" w:type="dxa"/>
            <w:tcBorders>
              <w:top w:val="single" w:sz="4" w:space="0" w:color="auto"/>
            </w:tcBorders>
            <w:vAlign w:val="bottom"/>
          </w:tcPr>
          <w:p w14:paraId="22F77D4D" w14:textId="77777777" w:rsidR="002C3793" w:rsidRP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29 January 1975</w:t>
            </w:r>
            <w:r w:rsidRPr="002C3793">
              <w:rPr>
                <w:b w:val="0"/>
                <w:sz w:val="24"/>
              </w:rPr>
              <w:tab/>
            </w:r>
          </w:p>
        </w:tc>
        <w:tc>
          <w:tcPr>
            <w:tcW w:w="2297" w:type="dxa"/>
            <w:tcBorders>
              <w:top w:val="single" w:sz="4" w:space="0" w:color="auto"/>
            </w:tcBorders>
            <w:vAlign w:val="bottom"/>
          </w:tcPr>
          <w:p w14:paraId="0B8EB2D1" w14:textId="77777777" w:rsidR="002C3793" w:rsidRPr="002C3793" w:rsidRDefault="002C3793" w:rsidP="00DE5A33">
            <w:pPr>
              <w:pStyle w:val="BodyText1"/>
              <w:shd w:val="clear" w:color="auto" w:fill="auto"/>
              <w:spacing w:before="0" w:after="120" w:line="240" w:lineRule="auto"/>
              <w:rPr>
                <w:b w:val="0"/>
                <w:sz w:val="24"/>
              </w:rPr>
            </w:pPr>
            <w:r w:rsidRPr="002C3793">
              <w:rPr>
                <w:b w:val="0"/>
                <w:sz w:val="24"/>
              </w:rPr>
              <w:t>15%</w:t>
            </w:r>
          </w:p>
        </w:tc>
      </w:tr>
      <w:tr w:rsidR="002C3793" w14:paraId="0A530737" w14:textId="77777777" w:rsidTr="00DE5A33">
        <w:tc>
          <w:tcPr>
            <w:tcW w:w="7668" w:type="dxa"/>
            <w:vAlign w:val="bottom"/>
          </w:tcPr>
          <w:p w14:paraId="3BE76420" w14:textId="77777777" w:rsidR="002C3793" w:rsidRP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1 May 1975</w:t>
            </w:r>
            <w:r w:rsidRPr="002C3793">
              <w:rPr>
                <w:b w:val="0"/>
                <w:sz w:val="24"/>
              </w:rPr>
              <w:tab/>
            </w:r>
          </w:p>
        </w:tc>
        <w:tc>
          <w:tcPr>
            <w:tcW w:w="2297" w:type="dxa"/>
            <w:vAlign w:val="bottom"/>
          </w:tcPr>
          <w:p w14:paraId="36F90574" w14:textId="74B80233" w:rsidR="002C3793" w:rsidRPr="002C3793" w:rsidRDefault="002C3793" w:rsidP="00BE7AB9">
            <w:pPr>
              <w:pStyle w:val="BodyText1"/>
              <w:shd w:val="clear" w:color="auto" w:fill="auto"/>
              <w:spacing w:before="0" w:after="120" w:line="240" w:lineRule="auto"/>
              <w:rPr>
                <w:b w:val="0"/>
                <w:sz w:val="24"/>
              </w:rPr>
            </w:pPr>
            <w:r w:rsidRPr="002C3793">
              <w:rPr>
                <w:b w:val="0"/>
                <w:sz w:val="24"/>
              </w:rPr>
              <w:t>17½</w:t>
            </w:r>
          </w:p>
        </w:tc>
      </w:tr>
      <w:tr w:rsidR="002C3793" w14:paraId="64DD74E3" w14:textId="77777777" w:rsidTr="00DE5A33">
        <w:tc>
          <w:tcPr>
            <w:tcW w:w="7668" w:type="dxa"/>
            <w:vAlign w:val="bottom"/>
          </w:tcPr>
          <w:p w14:paraId="2E4874D1" w14:textId="77777777" w:rsidR="002C3793" w:rsidRP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1 June 1975</w:t>
            </w:r>
            <w:r w:rsidRPr="002C3793">
              <w:rPr>
                <w:b w:val="0"/>
                <w:sz w:val="24"/>
              </w:rPr>
              <w:tab/>
            </w:r>
          </w:p>
        </w:tc>
        <w:tc>
          <w:tcPr>
            <w:tcW w:w="2297" w:type="dxa"/>
            <w:vAlign w:val="bottom"/>
          </w:tcPr>
          <w:p w14:paraId="2CB6335E" w14:textId="77777777" w:rsidR="002C3793" w:rsidRPr="002C3793" w:rsidRDefault="002C3793" w:rsidP="00DE5A33">
            <w:pPr>
              <w:pStyle w:val="Tableofcontents0"/>
              <w:shd w:val="clear" w:color="auto" w:fill="auto"/>
              <w:tabs>
                <w:tab w:val="left" w:pos="1167"/>
                <w:tab w:val="left" w:leader="dot" w:pos="5514"/>
                <w:tab w:val="right" w:pos="6288"/>
              </w:tabs>
              <w:spacing w:line="240" w:lineRule="auto"/>
              <w:jc w:val="center"/>
              <w:rPr>
                <w:sz w:val="24"/>
              </w:rPr>
            </w:pPr>
            <w:r w:rsidRPr="002C3793">
              <w:rPr>
                <w:sz w:val="24"/>
              </w:rPr>
              <w:t>20%</w:t>
            </w:r>
          </w:p>
        </w:tc>
      </w:tr>
      <w:tr w:rsidR="002C3793" w14:paraId="65A470DD" w14:textId="77777777" w:rsidTr="00DE5A33">
        <w:tc>
          <w:tcPr>
            <w:tcW w:w="7668" w:type="dxa"/>
            <w:vAlign w:val="bottom"/>
          </w:tcPr>
          <w:p w14:paraId="1EDA1D35" w14:textId="77777777" w:rsidR="002C3793" w:rsidRP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1 July 1975</w:t>
            </w:r>
            <w:r w:rsidRPr="00AA66A1">
              <w:rPr>
                <w:b w:val="0"/>
                <w:sz w:val="24"/>
              </w:rPr>
              <w:tab/>
            </w:r>
          </w:p>
        </w:tc>
        <w:tc>
          <w:tcPr>
            <w:tcW w:w="2297" w:type="dxa"/>
            <w:vAlign w:val="bottom"/>
          </w:tcPr>
          <w:p w14:paraId="309F2D95" w14:textId="12A94C2C" w:rsidR="002C3793" w:rsidRPr="002C3793" w:rsidRDefault="002C3793" w:rsidP="00BE7AB9">
            <w:pPr>
              <w:pStyle w:val="BodyText1"/>
              <w:shd w:val="clear" w:color="auto" w:fill="auto"/>
              <w:spacing w:before="0" w:after="120" w:line="240" w:lineRule="auto"/>
              <w:rPr>
                <w:b w:val="0"/>
                <w:sz w:val="24"/>
              </w:rPr>
            </w:pPr>
            <w:r>
              <w:rPr>
                <w:b w:val="0"/>
                <w:sz w:val="24"/>
              </w:rPr>
              <w:t>22</w:t>
            </w:r>
            <w:r w:rsidRPr="002C3793">
              <w:rPr>
                <w:b w:val="0"/>
                <w:sz w:val="24"/>
              </w:rPr>
              <w:t>½</w:t>
            </w:r>
          </w:p>
        </w:tc>
      </w:tr>
      <w:tr w:rsidR="002C3793" w14:paraId="6D4D32C6" w14:textId="77777777" w:rsidTr="00DE5A33">
        <w:tc>
          <w:tcPr>
            <w:tcW w:w="7668" w:type="dxa"/>
            <w:vAlign w:val="bottom"/>
          </w:tcPr>
          <w:p w14:paraId="708AAFEA" w14:textId="77777777" w:rsidR="002C3793" w:rsidRPr="002C3793" w:rsidRDefault="002C3793" w:rsidP="00DE5A33">
            <w:pPr>
              <w:pStyle w:val="BodyText1"/>
              <w:shd w:val="clear" w:color="auto" w:fill="auto"/>
              <w:tabs>
                <w:tab w:val="left" w:leader="dot" w:pos="7290"/>
              </w:tabs>
              <w:spacing w:before="0" w:after="120" w:line="240" w:lineRule="auto"/>
              <w:jc w:val="left"/>
              <w:rPr>
                <w:b w:val="0"/>
                <w:sz w:val="24"/>
              </w:rPr>
            </w:pPr>
            <w:r w:rsidRPr="00AA66A1">
              <w:rPr>
                <w:b w:val="0"/>
                <w:sz w:val="24"/>
              </w:rPr>
              <w:t>1 August 1975</w:t>
            </w:r>
            <w:r w:rsidRPr="002C3793">
              <w:rPr>
                <w:b w:val="0"/>
                <w:sz w:val="24"/>
              </w:rPr>
              <w:tab/>
            </w:r>
          </w:p>
        </w:tc>
        <w:tc>
          <w:tcPr>
            <w:tcW w:w="2297" w:type="dxa"/>
            <w:vAlign w:val="bottom"/>
          </w:tcPr>
          <w:p w14:paraId="138B97DA" w14:textId="77777777" w:rsidR="002C3793" w:rsidRPr="002C3793" w:rsidRDefault="002C3793" w:rsidP="00DE5A33">
            <w:pPr>
              <w:pStyle w:val="Tableofcontents0"/>
              <w:tabs>
                <w:tab w:val="left" w:pos="1167"/>
                <w:tab w:val="left" w:leader="dot" w:pos="5514"/>
                <w:tab w:val="right" w:pos="6288"/>
              </w:tabs>
              <w:spacing w:line="240" w:lineRule="auto"/>
              <w:jc w:val="center"/>
              <w:rPr>
                <w:sz w:val="24"/>
              </w:rPr>
            </w:pPr>
            <w:r>
              <w:rPr>
                <w:sz w:val="24"/>
              </w:rPr>
              <w:t>25%</w:t>
            </w:r>
          </w:p>
        </w:tc>
      </w:tr>
      <w:tr w:rsidR="002C3793" w14:paraId="371AA90C" w14:textId="77777777" w:rsidTr="00DE5A33">
        <w:trPr>
          <w:trHeight w:val="350"/>
        </w:trPr>
        <w:tc>
          <w:tcPr>
            <w:tcW w:w="7668" w:type="dxa"/>
            <w:tcBorders>
              <w:bottom w:val="single" w:sz="4" w:space="0" w:color="auto"/>
            </w:tcBorders>
            <w:vAlign w:val="bottom"/>
          </w:tcPr>
          <w:p w14:paraId="45A1D90E" w14:textId="77777777" w:rsidR="002C3793" w:rsidRPr="002C3793" w:rsidRDefault="00DE5A33" w:rsidP="00DE5A33">
            <w:pPr>
              <w:pStyle w:val="BodyText1"/>
              <w:shd w:val="clear" w:color="auto" w:fill="auto"/>
              <w:tabs>
                <w:tab w:val="left" w:leader="dot" w:pos="7290"/>
              </w:tabs>
              <w:spacing w:before="0" w:after="120" w:line="240" w:lineRule="auto"/>
              <w:jc w:val="left"/>
              <w:rPr>
                <w:b w:val="0"/>
                <w:sz w:val="24"/>
              </w:rPr>
            </w:pPr>
            <w:r>
              <w:rPr>
                <w:b w:val="0"/>
                <w:sz w:val="24"/>
              </w:rPr>
              <w:t xml:space="preserve">1 </w:t>
            </w:r>
            <w:r w:rsidRPr="00AA66A1">
              <w:rPr>
                <w:b w:val="0"/>
                <w:sz w:val="24"/>
              </w:rPr>
              <w:t>September1975</w:t>
            </w:r>
            <w:r w:rsidR="002C3793" w:rsidRPr="002C3793">
              <w:rPr>
                <w:b w:val="0"/>
                <w:sz w:val="24"/>
              </w:rPr>
              <w:tab/>
            </w:r>
          </w:p>
        </w:tc>
        <w:tc>
          <w:tcPr>
            <w:tcW w:w="2297" w:type="dxa"/>
            <w:tcBorders>
              <w:bottom w:val="single" w:sz="4" w:space="0" w:color="auto"/>
            </w:tcBorders>
            <w:vAlign w:val="bottom"/>
          </w:tcPr>
          <w:p w14:paraId="6D10C321" w14:textId="3B576196" w:rsidR="002C3793" w:rsidRPr="002C3793" w:rsidRDefault="002C3793" w:rsidP="00BE7AB9">
            <w:pPr>
              <w:pStyle w:val="BodyText1"/>
              <w:spacing w:before="0" w:after="120" w:line="240" w:lineRule="auto"/>
              <w:rPr>
                <w:b w:val="0"/>
                <w:sz w:val="24"/>
              </w:rPr>
            </w:pPr>
            <w:r>
              <w:rPr>
                <w:b w:val="0"/>
                <w:sz w:val="24"/>
              </w:rPr>
              <w:t>27</w:t>
            </w:r>
            <w:r w:rsidRPr="002C3793">
              <w:rPr>
                <w:b w:val="0"/>
                <w:sz w:val="24"/>
              </w:rPr>
              <w:t>½</w:t>
            </w:r>
          </w:p>
        </w:tc>
      </w:tr>
    </w:tbl>
    <w:p w14:paraId="14D4061B" w14:textId="77777777" w:rsidR="00162E80" w:rsidRPr="00AA66A1" w:rsidRDefault="00A56AD2" w:rsidP="00DE5A33">
      <w:pPr>
        <w:pStyle w:val="BodyText1"/>
        <w:shd w:val="clear" w:color="auto" w:fill="auto"/>
        <w:spacing w:before="160" w:after="120" w:line="240" w:lineRule="auto"/>
        <w:ind w:firstLine="270"/>
        <w:jc w:val="both"/>
        <w:rPr>
          <w:b w:val="0"/>
          <w:sz w:val="24"/>
        </w:rPr>
      </w:pPr>
      <w:r w:rsidRPr="00AA66A1">
        <w:rPr>
          <w:b w:val="0"/>
          <w:sz w:val="24"/>
        </w:rPr>
        <w:t xml:space="preserve">“(5) The rate of the sales tax imposed by this Act in respect of goods not covered by the Second, Third, Fourth or Fifth Schedule to the </w:t>
      </w:r>
      <w:r w:rsidRPr="00AA66A1">
        <w:rPr>
          <w:rStyle w:val="BodytextItalic"/>
          <w:bCs/>
          <w:sz w:val="24"/>
        </w:rPr>
        <w:t>Sales Tax (Exemptions and Classifications) Act</w:t>
      </w:r>
      <w:r w:rsidRPr="00AA66A1">
        <w:rPr>
          <w:rStyle w:val="BodytextSylfaen"/>
          <w:rFonts w:ascii="Times New Roman" w:hAnsi="Times New Roman"/>
          <w:sz w:val="24"/>
        </w:rPr>
        <w:t xml:space="preserve"> </w:t>
      </w:r>
      <w:r w:rsidRPr="00AA66A1">
        <w:rPr>
          <w:b w:val="0"/>
          <w:sz w:val="24"/>
        </w:rPr>
        <w:t>1935-1975 and on the sale value of which it is not provided by that Act that the sales tax imposed by this Act shall not be payable is 15 per centum.</w:t>
      </w:r>
    </w:p>
    <w:p w14:paraId="24FAFDFF" w14:textId="77777777" w:rsidR="00DE5A33" w:rsidRPr="00DE5A33" w:rsidRDefault="00DE5A33" w:rsidP="00DE5A33">
      <w:pPr>
        <w:pStyle w:val="BodyText1"/>
        <w:shd w:val="clear" w:color="auto" w:fill="auto"/>
        <w:tabs>
          <w:tab w:val="left" w:pos="630"/>
        </w:tabs>
        <w:spacing w:before="120" w:after="60" w:line="240" w:lineRule="auto"/>
        <w:jc w:val="both"/>
      </w:pPr>
      <w:r w:rsidRPr="00DE5A33">
        <w:t>Saving.</w:t>
      </w:r>
    </w:p>
    <w:p w14:paraId="4BEEDE5A" w14:textId="65FB0225" w:rsidR="00DE5A33" w:rsidRDefault="00DE5A33" w:rsidP="00DE5A33">
      <w:pPr>
        <w:pStyle w:val="BodyText1"/>
        <w:shd w:val="clear" w:color="auto" w:fill="auto"/>
        <w:tabs>
          <w:tab w:val="left" w:pos="630"/>
        </w:tabs>
        <w:spacing w:before="0" w:after="0" w:line="240" w:lineRule="auto"/>
        <w:ind w:firstLine="270"/>
        <w:jc w:val="both"/>
        <w:rPr>
          <w:b w:val="0"/>
          <w:sz w:val="24"/>
        </w:rPr>
      </w:pPr>
      <w:r w:rsidRPr="00DE5A33">
        <w:rPr>
          <w:sz w:val="24"/>
        </w:rPr>
        <w:t>4.</w:t>
      </w:r>
      <w:r>
        <w:rPr>
          <w:b w:val="0"/>
          <w:sz w:val="24"/>
        </w:rPr>
        <w:tab/>
      </w:r>
      <w:r w:rsidR="00A56AD2" w:rsidRPr="00AA66A1">
        <w:rPr>
          <w:b w:val="0"/>
          <w:sz w:val="24"/>
        </w:rPr>
        <w:t>The sales tax imposed by the provisions repealed by this Act upon the sale value of goods manufactured in Australia by a taxpayer and, on or after 19 August 1970, and before the date of commencement of this Act, sold by him or treated by him as stock for sale by retail or applied to his own use continues to be imposed as if those provisions had not been repealed.</w:t>
      </w:r>
    </w:p>
    <w:p w14:paraId="25D4FDCF" w14:textId="77777777" w:rsidR="00DE5A33" w:rsidRDefault="00DE5A33" w:rsidP="00DE5A33">
      <w:pPr>
        <w:pStyle w:val="BodyText1"/>
        <w:pBdr>
          <w:bottom w:val="single" w:sz="12" w:space="1" w:color="auto"/>
        </w:pBdr>
        <w:shd w:val="clear" w:color="auto" w:fill="auto"/>
        <w:tabs>
          <w:tab w:val="left" w:pos="630"/>
        </w:tabs>
        <w:spacing w:before="0" w:after="160" w:line="240" w:lineRule="auto"/>
        <w:jc w:val="both"/>
        <w:rPr>
          <w:b w:val="0"/>
          <w:sz w:val="24"/>
        </w:rPr>
      </w:pPr>
    </w:p>
    <w:sectPr w:rsidR="00DE5A33" w:rsidSect="009205B7">
      <w:headerReference w:type="even" r:id="rId8"/>
      <w:headerReference w:type="default" r:id="rId9"/>
      <w:type w:val="continuous"/>
      <w:pgSz w:w="11909" w:h="18000" w:code="1"/>
      <w:pgMar w:top="1080" w:right="1080" w:bottom="1080" w:left="1080" w:header="72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7EB1D8" w15:done="0"/>
  <w15:commentEx w15:paraId="32970974" w15:done="0"/>
  <w15:commentEx w15:paraId="56BE9BC7" w15:done="0"/>
  <w15:commentEx w15:paraId="1105E286" w15:done="0"/>
  <w15:commentEx w15:paraId="1E501C59" w15:done="0"/>
  <w15:commentEx w15:paraId="70671ED5" w15:done="0"/>
  <w15:commentEx w15:paraId="462DDAA5" w15:done="0"/>
  <w15:commentEx w15:paraId="162678CA" w15:done="0"/>
  <w15:commentEx w15:paraId="76D808FD" w15:done="0"/>
  <w15:commentEx w15:paraId="3A4B2997" w15:done="0"/>
  <w15:commentEx w15:paraId="653DBD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7EB1D8" w16cid:durableId="1F50726F"/>
  <w16cid:commentId w16cid:paraId="32970974" w16cid:durableId="1F50727C"/>
  <w16cid:commentId w16cid:paraId="56BE9BC7" w16cid:durableId="1F507283"/>
  <w16cid:commentId w16cid:paraId="1105E286" w16cid:durableId="1F507293"/>
  <w16cid:commentId w16cid:paraId="1E501C59" w16cid:durableId="1F50729D"/>
  <w16cid:commentId w16cid:paraId="70671ED5" w16cid:durableId="1F507D72"/>
  <w16cid:commentId w16cid:paraId="462DDAA5" w16cid:durableId="1F5072CC"/>
  <w16cid:commentId w16cid:paraId="162678CA" w16cid:durableId="1F5072F5"/>
  <w16cid:commentId w16cid:paraId="76D808FD" w16cid:durableId="1F507316"/>
  <w16cid:commentId w16cid:paraId="3A4B2997" w16cid:durableId="1F507322"/>
  <w16cid:commentId w16cid:paraId="653DBDDC" w16cid:durableId="1F5073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F46B1" w14:textId="77777777" w:rsidR="008F46DE" w:rsidRDefault="008F46DE">
      <w:r>
        <w:separator/>
      </w:r>
    </w:p>
  </w:endnote>
  <w:endnote w:type="continuationSeparator" w:id="0">
    <w:p w14:paraId="6BF1BDD6" w14:textId="77777777" w:rsidR="008F46DE" w:rsidRDefault="008F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716A8" w14:textId="77777777" w:rsidR="008F46DE" w:rsidRDefault="008F46DE">
      <w:r>
        <w:separator/>
      </w:r>
    </w:p>
  </w:footnote>
  <w:footnote w:type="continuationSeparator" w:id="0">
    <w:p w14:paraId="4E6BADC9" w14:textId="77777777" w:rsidR="008F46DE" w:rsidRDefault="008F4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7B0E8" w14:textId="29B8B5F5" w:rsidR="009205B7" w:rsidRPr="009205B7" w:rsidRDefault="009205B7" w:rsidP="009205B7">
    <w:pPr>
      <w:pStyle w:val="Header"/>
      <w:tabs>
        <w:tab w:val="clear" w:pos="9360"/>
        <w:tab w:val="right" w:pos="9270"/>
      </w:tabs>
      <w:rPr>
        <w:rFonts w:ascii="Times New Roman" w:hAnsi="Times New Roman" w:cs="Times New Roman"/>
        <w:sz w:val="22"/>
        <w:szCs w:val="22"/>
        <w:lang w:val="en-IN"/>
      </w:rPr>
    </w:pPr>
    <w:r>
      <w:rPr>
        <w:rFonts w:ascii="Times New Roman" w:hAnsi="Times New Roman" w:cs="Times New Roman"/>
        <w:sz w:val="22"/>
        <w:szCs w:val="22"/>
        <w:lang w:val="en-IN"/>
      </w:rPr>
      <w:t>1975</w:t>
    </w:r>
    <w:r w:rsidRPr="009205B7">
      <w:rPr>
        <w:rFonts w:ascii="Times New Roman" w:hAnsi="Times New Roman" w:cs="Times New Roman"/>
        <w:sz w:val="22"/>
        <w:szCs w:val="22"/>
        <w:lang w:val="en-IN"/>
      </w:rPr>
      <w:tab/>
    </w:r>
    <w:r w:rsidRPr="009205B7">
      <w:rPr>
        <w:rFonts w:ascii="Times New Roman" w:hAnsi="Times New Roman" w:cs="Times New Roman"/>
        <w:i/>
        <w:sz w:val="22"/>
        <w:szCs w:val="22"/>
        <w:lang w:val="en-IN"/>
      </w:rPr>
      <w:t>Sales Tax (No</w:t>
    </w:r>
    <w:r w:rsidR="00BE7AB9">
      <w:rPr>
        <w:rFonts w:ascii="Times New Roman" w:hAnsi="Times New Roman" w:cs="Times New Roman"/>
        <w:i/>
        <w:sz w:val="22"/>
        <w:szCs w:val="22"/>
        <w:lang w:val="en-IN"/>
      </w:rPr>
      <w:t xml:space="preserve">. </w:t>
    </w:r>
    <w:r w:rsidRPr="00BE7AB9">
      <w:rPr>
        <w:rFonts w:ascii="Times New Roman" w:hAnsi="Times New Roman" w:cs="Times New Roman"/>
        <w:sz w:val="22"/>
        <w:szCs w:val="22"/>
        <w:lang w:val="en-IN"/>
      </w:rPr>
      <w:t>1</w:t>
    </w:r>
    <w:r w:rsidRPr="009205B7">
      <w:rPr>
        <w:rFonts w:ascii="Times New Roman" w:hAnsi="Times New Roman" w:cs="Times New Roman"/>
        <w:i/>
        <w:sz w:val="22"/>
        <w:szCs w:val="22"/>
        <w:lang w:val="en-IN"/>
      </w:rPr>
      <w:t>)</w:t>
    </w:r>
    <w:r w:rsidRPr="009205B7">
      <w:rPr>
        <w:rFonts w:ascii="Times New Roman" w:hAnsi="Times New Roman" w:cs="Times New Roman"/>
        <w:sz w:val="22"/>
        <w:szCs w:val="22"/>
        <w:lang w:val="en-IN"/>
      </w:rPr>
      <w:tab/>
    </w:r>
    <w:r>
      <w:rPr>
        <w:rFonts w:ascii="Times New Roman" w:hAnsi="Times New Roman" w:cs="Times New Roman"/>
        <w:sz w:val="22"/>
        <w:szCs w:val="22"/>
        <w:lang w:val="en-IN"/>
      </w:rPr>
      <w:t>No. 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4F1EB" w14:textId="77777777" w:rsidR="009205B7" w:rsidRPr="009205B7" w:rsidRDefault="009205B7" w:rsidP="009205B7">
    <w:pPr>
      <w:pStyle w:val="Header"/>
      <w:tabs>
        <w:tab w:val="clear" w:pos="9360"/>
        <w:tab w:val="right" w:pos="9270"/>
      </w:tabs>
      <w:rPr>
        <w:rFonts w:ascii="Times New Roman" w:hAnsi="Times New Roman" w:cs="Times New Roman"/>
        <w:sz w:val="22"/>
        <w:szCs w:val="22"/>
        <w:lang w:val="en-IN"/>
      </w:rPr>
    </w:pPr>
    <w:r w:rsidRPr="009205B7">
      <w:rPr>
        <w:rFonts w:ascii="Times New Roman" w:hAnsi="Times New Roman" w:cs="Times New Roman"/>
        <w:sz w:val="22"/>
        <w:szCs w:val="22"/>
        <w:lang w:val="en-IN"/>
      </w:rPr>
      <w:t>No.15</w:t>
    </w:r>
    <w:r w:rsidRPr="009205B7">
      <w:rPr>
        <w:rFonts w:ascii="Times New Roman" w:hAnsi="Times New Roman" w:cs="Times New Roman"/>
        <w:sz w:val="22"/>
        <w:szCs w:val="22"/>
        <w:lang w:val="en-IN"/>
      </w:rPr>
      <w:tab/>
    </w:r>
    <w:r w:rsidRPr="009205B7">
      <w:rPr>
        <w:rFonts w:ascii="Times New Roman" w:hAnsi="Times New Roman" w:cs="Times New Roman"/>
        <w:i/>
        <w:sz w:val="22"/>
        <w:szCs w:val="22"/>
        <w:lang w:val="en-IN"/>
      </w:rPr>
      <w:t>Sales Tax (No,1)</w:t>
    </w:r>
    <w:r w:rsidRPr="009205B7">
      <w:rPr>
        <w:rFonts w:ascii="Times New Roman" w:hAnsi="Times New Roman" w:cs="Times New Roman"/>
        <w:sz w:val="22"/>
        <w:szCs w:val="22"/>
        <w:lang w:val="en-IN"/>
      </w:rPr>
      <w:tab/>
      <w:t>1975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B6B61"/>
    <w:multiLevelType w:val="multilevel"/>
    <w:tmpl w:val="62E677F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80"/>
    <w:rsid w:val="0002208C"/>
    <w:rsid w:val="000B094D"/>
    <w:rsid w:val="000F617A"/>
    <w:rsid w:val="00162E80"/>
    <w:rsid w:val="00261D43"/>
    <w:rsid w:val="002C3793"/>
    <w:rsid w:val="00532E79"/>
    <w:rsid w:val="00560CDA"/>
    <w:rsid w:val="005E320B"/>
    <w:rsid w:val="008F46DE"/>
    <w:rsid w:val="009205B7"/>
    <w:rsid w:val="009E58AD"/>
    <w:rsid w:val="00A37CC6"/>
    <w:rsid w:val="00A56AD2"/>
    <w:rsid w:val="00A57E79"/>
    <w:rsid w:val="00AA66A1"/>
    <w:rsid w:val="00BE7AB9"/>
    <w:rsid w:val="00C739C5"/>
    <w:rsid w:val="00CD44E7"/>
    <w:rsid w:val="00DE5A33"/>
    <w:rsid w:val="00F8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3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bCs/>
      <w:i w:val="0"/>
      <w:iCs w:val="0"/>
      <w:smallCaps w:val="0"/>
      <w:strike w:val="0"/>
      <w:sz w:val="20"/>
      <w:szCs w:val="20"/>
      <w:u w:val="none"/>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z w:val="17"/>
      <w:szCs w:val="17"/>
      <w:u w:val="none"/>
    </w:rPr>
  </w:style>
  <w:style w:type="character" w:customStyle="1" w:styleId="Bodytext2Exact">
    <w:name w:val="Body text (2) Exact"/>
    <w:basedOn w:val="DefaultParagraphFont"/>
    <w:link w:val="Bodytext2"/>
    <w:rPr>
      <w:rFonts w:ascii="Times New Roman" w:eastAsia="Times New Roman" w:hAnsi="Times New Roman" w:cs="Times New Roman"/>
      <w:b/>
      <w:bCs/>
      <w:i w:val="0"/>
      <w:iCs w:val="0"/>
      <w:smallCaps w:val="0"/>
      <w:strike w:val="0"/>
      <w:spacing w:val="6"/>
      <w:sz w:val="16"/>
      <w:szCs w:val="16"/>
      <w:u w:val="none"/>
    </w:rPr>
  </w:style>
  <w:style w:type="character" w:customStyle="1" w:styleId="Heading1">
    <w:name w:val="Heading #1_"/>
    <w:basedOn w:val="DefaultParagraphFont"/>
    <w:link w:val="Heading10"/>
    <w:rPr>
      <w:rFonts w:ascii="CordiaUPC" w:eastAsia="CordiaUPC" w:hAnsi="CordiaUPC" w:cs="CordiaUPC"/>
      <w:b/>
      <w:bCs/>
      <w:i w:val="0"/>
      <w:iCs w:val="0"/>
      <w:smallCaps w:val="0"/>
      <w:strike w:val="0"/>
      <w:sz w:val="43"/>
      <w:szCs w:val="43"/>
      <w:u w:val="none"/>
    </w:rPr>
  </w:style>
  <w:style w:type="character" w:customStyle="1" w:styleId="Heading2">
    <w:name w:val="Heading #2_"/>
    <w:basedOn w:val="DefaultParagraphFont"/>
    <w:link w:val="Heading20"/>
    <w:rPr>
      <w:rFonts w:ascii="CordiaUPC" w:eastAsia="CordiaUPC" w:hAnsi="CordiaUPC" w:cs="CordiaUPC"/>
      <w:b/>
      <w:bCs/>
      <w:i w:val="0"/>
      <w:iCs w:val="0"/>
      <w:smallCaps w:val="0"/>
      <w:strike w:val="0"/>
      <w:sz w:val="38"/>
      <w:szCs w:val="38"/>
      <w:u w:val="none"/>
    </w:rPr>
  </w:style>
  <w:style w:type="character" w:customStyle="1" w:styleId="Bodytext">
    <w:name w:val="Body text_"/>
    <w:basedOn w:val="DefaultParagraphFont"/>
    <w:link w:val="BodyText1"/>
    <w:rPr>
      <w:rFonts w:ascii="Times New Roman" w:eastAsia="Times New Roman" w:hAnsi="Times New Roman" w:cs="Times New Roman"/>
      <w:b/>
      <w:bCs/>
      <w:i w:val="0"/>
      <w:iCs w:val="0"/>
      <w:smallCaps w:val="0"/>
      <w:strike w:val="0"/>
      <w:sz w:val="20"/>
      <w:szCs w:val="20"/>
      <w:u w:val="none"/>
    </w:rPr>
  </w:style>
  <w:style w:type="character" w:customStyle="1" w:styleId="BodytextItalic">
    <w:name w:val="Body text + 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Sylfaen">
    <w:name w:val="Body text + Sylfaen"/>
    <w:aliases w:val="8.5 pt,Not Bold"/>
    <w:basedOn w:val="Bodytext"/>
    <w:rPr>
      <w:rFonts w:ascii="Sylfaen" w:eastAsia="Sylfaen" w:hAnsi="Sylfaen" w:cs="Sylfaen"/>
      <w:b/>
      <w:bCs/>
      <w:i w:val="0"/>
      <w:iCs w:val="0"/>
      <w:smallCaps w:val="0"/>
      <w:strike w:val="0"/>
      <w:color w:val="000000"/>
      <w:spacing w:val="0"/>
      <w:w w:val="100"/>
      <w:position w:val="0"/>
      <w:sz w:val="17"/>
      <w:szCs w:val="17"/>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iCs/>
      <w:smallCaps w:val="0"/>
      <w:strike w:val="0"/>
      <w:sz w:val="20"/>
      <w:szCs w:val="20"/>
      <w:u w:val="none"/>
    </w:rPr>
  </w:style>
  <w:style w:type="character" w:customStyle="1" w:styleId="Headerorfooter95pt">
    <w:name w:val="Header or footer + 9.5 pt"/>
    <w:aliases w:val="Not Italic,Spacing 0 pt"/>
    <w:basedOn w:val="Headerorfooter"/>
    <w:rPr>
      <w:rFonts w:ascii="Times New Roman" w:eastAsia="Times New Roman" w:hAnsi="Times New Roman" w:cs="Times New Roman"/>
      <w:b/>
      <w:bCs/>
      <w:i/>
      <w:iCs/>
      <w:smallCaps w:val="0"/>
      <w:strike w:val="0"/>
      <w:color w:val="000000"/>
      <w:spacing w:val="10"/>
      <w:w w:val="100"/>
      <w:position w:val="0"/>
      <w:sz w:val="19"/>
      <w:szCs w:val="19"/>
      <w:u w:val="none"/>
      <w:lang w:val="en-US"/>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erorfooterSpacing1pt">
    <w:name w:val="Header or footer + Spacing 1 pt"/>
    <w:basedOn w:val="Headerorfooter"/>
    <w:rPr>
      <w:rFonts w:ascii="Times New Roman" w:eastAsia="Times New Roman" w:hAnsi="Times New Roman" w:cs="Times New Roman"/>
      <w:b/>
      <w:bCs/>
      <w:i/>
      <w:iCs/>
      <w:smallCaps w:val="0"/>
      <w:strike w:val="0"/>
      <w:color w:val="000000"/>
      <w:spacing w:val="20"/>
      <w:w w:val="100"/>
      <w:position w:val="0"/>
      <w:sz w:val="20"/>
      <w:szCs w:val="20"/>
      <w:u w:val="none"/>
      <w:lang w:val="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15"/>
      <w:szCs w:val="15"/>
      <w:u w:val="none"/>
    </w:rPr>
  </w:style>
  <w:style w:type="character" w:customStyle="1" w:styleId="TableofcontentsItalic">
    <w:name w:val="Table of contents + Italic"/>
    <w:basedOn w:val="Tableofcontents"/>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BodytextItalic0">
    <w:name w:val="Body text + Italic"/>
    <w:basedOn w:val="Bodytext"/>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BodytextArialNarrow">
    <w:name w:val="Body text + Arial Narrow"/>
    <w:aliases w:val="16.5 pt,Not Bold,Italic"/>
    <w:basedOn w:val="Bodytext"/>
    <w:rPr>
      <w:rFonts w:ascii="Arial Narrow" w:eastAsia="Arial Narrow" w:hAnsi="Arial Narrow" w:cs="Arial Narrow"/>
      <w:b/>
      <w:bCs/>
      <w:i/>
      <w:iCs/>
      <w:smallCaps w:val="0"/>
      <w:strike w:val="0"/>
      <w:color w:val="000000"/>
      <w:spacing w:val="0"/>
      <w:w w:val="100"/>
      <w:position w:val="0"/>
      <w:sz w:val="33"/>
      <w:szCs w:val="33"/>
      <w:u w:val="none"/>
      <w:lang w:val="en-US"/>
    </w:rPr>
  </w:style>
  <w:style w:type="character" w:customStyle="1" w:styleId="Bodytext75pt">
    <w:name w:val="Body text + 7.5 pt"/>
    <w:aliases w:val="Not Bold"/>
    <w:basedOn w:val="Bodytext"/>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paragraph" w:customStyle="1" w:styleId="Footnote20">
    <w:name w:val="Footnote (2)"/>
    <w:basedOn w:val="Normal"/>
    <w:link w:val="Footnote2"/>
    <w:pPr>
      <w:shd w:val="clear" w:color="auto" w:fill="FFFFFF"/>
      <w:spacing w:line="0" w:lineRule="atLeast"/>
    </w:pPr>
    <w:rPr>
      <w:rFonts w:ascii="Times New Roman" w:eastAsia="Times New Roman" w:hAnsi="Times New Roman" w:cs="Times New Roman"/>
      <w:b/>
      <w:bCs/>
      <w:sz w:val="20"/>
      <w:szCs w:val="20"/>
    </w:rPr>
  </w:style>
  <w:style w:type="paragraph" w:customStyle="1" w:styleId="Footnote0">
    <w:name w:val="Footnote"/>
    <w:basedOn w:val="Normal"/>
    <w:link w:val="Footnote"/>
    <w:pPr>
      <w:shd w:val="clear" w:color="auto" w:fill="FFFFFF"/>
      <w:spacing w:line="0" w:lineRule="atLeast"/>
      <w:ind w:hanging="300"/>
    </w:pPr>
    <w:rPr>
      <w:rFonts w:ascii="Times New Roman" w:eastAsia="Times New Roman" w:hAnsi="Times New Roman" w:cs="Times New Roman"/>
      <w:b/>
      <w:bCs/>
      <w:sz w:val="17"/>
      <w:szCs w:val="17"/>
    </w:rPr>
  </w:style>
  <w:style w:type="paragraph" w:customStyle="1" w:styleId="Bodytext2">
    <w:name w:val="Body text (2)"/>
    <w:basedOn w:val="Normal"/>
    <w:link w:val="Bodytext2Exact"/>
    <w:pPr>
      <w:shd w:val="clear" w:color="auto" w:fill="FFFFFF"/>
      <w:spacing w:after="1140" w:line="182" w:lineRule="exact"/>
      <w:jc w:val="both"/>
    </w:pPr>
    <w:rPr>
      <w:rFonts w:ascii="Times New Roman" w:eastAsia="Times New Roman" w:hAnsi="Times New Roman" w:cs="Times New Roman"/>
      <w:b/>
      <w:bCs/>
      <w:spacing w:val="6"/>
      <w:sz w:val="16"/>
      <w:szCs w:val="16"/>
    </w:rPr>
  </w:style>
  <w:style w:type="paragraph" w:customStyle="1" w:styleId="Heading10">
    <w:name w:val="Heading #1"/>
    <w:basedOn w:val="Normal"/>
    <w:link w:val="Heading1"/>
    <w:pPr>
      <w:shd w:val="clear" w:color="auto" w:fill="FFFFFF"/>
      <w:spacing w:after="300" w:line="0" w:lineRule="atLeast"/>
      <w:jc w:val="center"/>
      <w:outlineLvl w:val="0"/>
    </w:pPr>
    <w:rPr>
      <w:rFonts w:ascii="CordiaUPC" w:eastAsia="CordiaUPC" w:hAnsi="CordiaUPC" w:cs="CordiaUPC"/>
      <w:b/>
      <w:bCs/>
      <w:sz w:val="43"/>
      <w:szCs w:val="43"/>
    </w:rPr>
  </w:style>
  <w:style w:type="paragraph" w:customStyle="1" w:styleId="Heading20">
    <w:name w:val="Heading #2"/>
    <w:basedOn w:val="Normal"/>
    <w:link w:val="Heading2"/>
    <w:pPr>
      <w:shd w:val="clear" w:color="auto" w:fill="FFFFFF"/>
      <w:spacing w:before="300" w:after="480" w:line="0" w:lineRule="atLeast"/>
      <w:jc w:val="center"/>
      <w:outlineLvl w:val="1"/>
    </w:pPr>
    <w:rPr>
      <w:rFonts w:ascii="CordiaUPC" w:eastAsia="CordiaUPC" w:hAnsi="CordiaUPC" w:cs="CordiaUPC"/>
      <w:b/>
      <w:bCs/>
      <w:sz w:val="38"/>
      <w:szCs w:val="38"/>
    </w:rPr>
  </w:style>
  <w:style w:type="paragraph" w:customStyle="1" w:styleId="BodyText1">
    <w:name w:val="Body Text1"/>
    <w:basedOn w:val="Normal"/>
    <w:link w:val="Bodytext"/>
    <w:pPr>
      <w:shd w:val="clear" w:color="auto" w:fill="FFFFFF"/>
      <w:spacing w:before="480" w:after="480" w:line="0" w:lineRule="atLeast"/>
      <w:jc w:val="center"/>
    </w:pPr>
    <w:rPr>
      <w:rFonts w:ascii="Times New Roman" w:eastAsia="Times New Roman" w:hAnsi="Times New Roman" w:cs="Times New Roman"/>
      <w:b/>
      <w:bCs/>
      <w:sz w:val="20"/>
      <w:szCs w:val="20"/>
    </w:rPr>
  </w:style>
  <w:style w:type="paragraph" w:customStyle="1" w:styleId="Bodytext30">
    <w:name w:val="Body text (3)"/>
    <w:basedOn w:val="Normal"/>
    <w:link w:val="Bodytext3"/>
    <w:pPr>
      <w:shd w:val="clear" w:color="auto" w:fill="FFFFFF"/>
      <w:spacing w:line="288" w:lineRule="exact"/>
      <w:jc w:val="both"/>
    </w:pPr>
    <w:rPr>
      <w:rFonts w:ascii="Times New Roman" w:eastAsia="Times New Roman" w:hAnsi="Times New Roman" w:cs="Times New Roman"/>
      <w:sz w:val="15"/>
      <w:szCs w:val="15"/>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i/>
      <w:iCs/>
      <w:sz w:val="20"/>
      <w:szCs w:val="20"/>
    </w:rPr>
  </w:style>
  <w:style w:type="paragraph" w:customStyle="1" w:styleId="Tableofcontents0">
    <w:name w:val="Table of contents"/>
    <w:basedOn w:val="Normal"/>
    <w:link w:val="Tableofcontents"/>
    <w:pPr>
      <w:shd w:val="clear" w:color="auto" w:fill="FFFFFF"/>
      <w:spacing w:line="168" w:lineRule="exact"/>
      <w:jc w:val="both"/>
    </w:pPr>
    <w:rPr>
      <w:rFonts w:ascii="Times New Roman" w:eastAsia="Times New Roman" w:hAnsi="Times New Roman" w:cs="Times New Roman"/>
      <w:sz w:val="15"/>
      <w:szCs w:val="15"/>
    </w:rPr>
  </w:style>
  <w:style w:type="paragraph" w:styleId="Header">
    <w:name w:val="header"/>
    <w:basedOn w:val="Normal"/>
    <w:link w:val="HeaderChar"/>
    <w:uiPriority w:val="99"/>
    <w:unhideWhenUsed/>
    <w:rsid w:val="00560CDA"/>
    <w:pPr>
      <w:tabs>
        <w:tab w:val="center" w:pos="4680"/>
        <w:tab w:val="right" w:pos="9360"/>
      </w:tabs>
    </w:pPr>
  </w:style>
  <w:style w:type="character" w:customStyle="1" w:styleId="HeaderChar">
    <w:name w:val="Header Char"/>
    <w:basedOn w:val="DefaultParagraphFont"/>
    <w:link w:val="Header"/>
    <w:uiPriority w:val="99"/>
    <w:rsid w:val="00560CDA"/>
    <w:rPr>
      <w:color w:val="000000"/>
    </w:rPr>
  </w:style>
  <w:style w:type="paragraph" w:styleId="Footer">
    <w:name w:val="footer"/>
    <w:basedOn w:val="Normal"/>
    <w:link w:val="FooterChar"/>
    <w:uiPriority w:val="99"/>
    <w:unhideWhenUsed/>
    <w:rsid w:val="00560CDA"/>
    <w:pPr>
      <w:tabs>
        <w:tab w:val="center" w:pos="4680"/>
        <w:tab w:val="right" w:pos="9360"/>
      </w:tabs>
    </w:pPr>
  </w:style>
  <w:style w:type="character" w:customStyle="1" w:styleId="FooterChar">
    <w:name w:val="Footer Char"/>
    <w:basedOn w:val="DefaultParagraphFont"/>
    <w:link w:val="Footer"/>
    <w:uiPriority w:val="99"/>
    <w:rsid w:val="00560CDA"/>
    <w:rPr>
      <w:color w:val="000000"/>
    </w:rPr>
  </w:style>
  <w:style w:type="table" w:styleId="TableGrid">
    <w:name w:val="Table Grid"/>
    <w:basedOn w:val="TableNormal"/>
    <w:uiPriority w:val="59"/>
    <w:rsid w:val="0056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D43"/>
    <w:rPr>
      <w:sz w:val="16"/>
      <w:szCs w:val="16"/>
    </w:rPr>
  </w:style>
  <w:style w:type="paragraph" w:styleId="CommentText">
    <w:name w:val="annotation text"/>
    <w:basedOn w:val="Normal"/>
    <w:link w:val="CommentTextChar"/>
    <w:uiPriority w:val="99"/>
    <w:semiHidden/>
    <w:unhideWhenUsed/>
    <w:rsid w:val="00261D43"/>
    <w:rPr>
      <w:sz w:val="20"/>
      <w:szCs w:val="20"/>
    </w:rPr>
  </w:style>
  <w:style w:type="character" w:customStyle="1" w:styleId="CommentTextChar">
    <w:name w:val="Comment Text Char"/>
    <w:basedOn w:val="DefaultParagraphFont"/>
    <w:link w:val="CommentText"/>
    <w:uiPriority w:val="99"/>
    <w:semiHidden/>
    <w:rsid w:val="00261D43"/>
    <w:rPr>
      <w:color w:val="000000"/>
      <w:sz w:val="20"/>
      <w:szCs w:val="20"/>
    </w:rPr>
  </w:style>
  <w:style w:type="paragraph" w:styleId="CommentSubject">
    <w:name w:val="annotation subject"/>
    <w:basedOn w:val="CommentText"/>
    <w:next w:val="CommentText"/>
    <w:link w:val="CommentSubjectChar"/>
    <w:uiPriority w:val="99"/>
    <w:semiHidden/>
    <w:unhideWhenUsed/>
    <w:rsid w:val="00261D43"/>
    <w:rPr>
      <w:b/>
      <w:bCs/>
    </w:rPr>
  </w:style>
  <w:style w:type="character" w:customStyle="1" w:styleId="CommentSubjectChar">
    <w:name w:val="Comment Subject Char"/>
    <w:basedOn w:val="CommentTextChar"/>
    <w:link w:val="CommentSubject"/>
    <w:uiPriority w:val="99"/>
    <w:semiHidden/>
    <w:rsid w:val="00261D43"/>
    <w:rPr>
      <w:b/>
      <w:bCs/>
      <w:color w:val="000000"/>
      <w:sz w:val="20"/>
      <w:szCs w:val="20"/>
    </w:rPr>
  </w:style>
  <w:style w:type="paragraph" w:styleId="BalloonText">
    <w:name w:val="Balloon Text"/>
    <w:basedOn w:val="Normal"/>
    <w:link w:val="BalloonTextChar"/>
    <w:uiPriority w:val="99"/>
    <w:semiHidden/>
    <w:unhideWhenUsed/>
    <w:rsid w:val="00261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D43"/>
    <w:rPr>
      <w:rFonts w:ascii="Segoe UI" w:hAnsi="Segoe UI" w:cs="Segoe UI"/>
      <w:color w:val="000000"/>
      <w:sz w:val="18"/>
      <w:szCs w:val="18"/>
    </w:rPr>
  </w:style>
  <w:style w:type="paragraph" w:styleId="Revision">
    <w:name w:val="Revision"/>
    <w:hidden/>
    <w:uiPriority w:val="99"/>
    <w:semiHidden/>
    <w:rsid w:val="00BE7AB9"/>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bCs/>
      <w:i w:val="0"/>
      <w:iCs w:val="0"/>
      <w:smallCaps w:val="0"/>
      <w:strike w:val="0"/>
      <w:sz w:val="20"/>
      <w:szCs w:val="20"/>
      <w:u w:val="none"/>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z w:val="17"/>
      <w:szCs w:val="17"/>
      <w:u w:val="none"/>
    </w:rPr>
  </w:style>
  <w:style w:type="character" w:customStyle="1" w:styleId="Bodytext2Exact">
    <w:name w:val="Body text (2) Exact"/>
    <w:basedOn w:val="DefaultParagraphFont"/>
    <w:link w:val="Bodytext2"/>
    <w:rPr>
      <w:rFonts w:ascii="Times New Roman" w:eastAsia="Times New Roman" w:hAnsi="Times New Roman" w:cs="Times New Roman"/>
      <w:b/>
      <w:bCs/>
      <w:i w:val="0"/>
      <w:iCs w:val="0"/>
      <w:smallCaps w:val="0"/>
      <w:strike w:val="0"/>
      <w:spacing w:val="6"/>
      <w:sz w:val="16"/>
      <w:szCs w:val="16"/>
      <w:u w:val="none"/>
    </w:rPr>
  </w:style>
  <w:style w:type="character" w:customStyle="1" w:styleId="Heading1">
    <w:name w:val="Heading #1_"/>
    <w:basedOn w:val="DefaultParagraphFont"/>
    <w:link w:val="Heading10"/>
    <w:rPr>
      <w:rFonts w:ascii="CordiaUPC" w:eastAsia="CordiaUPC" w:hAnsi="CordiaUPC" w:cs="CordiaUPC"/>
      <w:b/>
      <w:bCs/>
      <w:i w:val="0"/>
      <w:iCs w:val="0"/>
      <w:smallCaps w:val="0"/>
      <w:strike w:val="0"/>
      <w:sz w:val="43"/>
      <w:szCs w:val="43"/>
      <w:u w:val="none"/>
    </w:rPr>
  </w:style>
  <w:style w:type="character" w:customStyle="1" w:styleId="Heading2">
    <w:name w:val="Heading #2_"/>
    <w:basedOn w:val="DefaultParagraphFont"/>
    <w:link w:val="Heading20"/>
    <w:rPr>
      <w:rFonts w:ascii="CordiaUPC" w:eastAsia="CordiaUPC" w:hAnsi="CordiaUPC" w:cs="CordiaUPC"/>
      <w:b/>
      <w:bCs/>
      <w:i w:val="0"/>
      <w:iCs w:val="0"/>
      <w:smallCaps w:val="0"/>
      <w:strike w:val="0"/>
      <w:sz w:val="38"/>
      <w:szCs w:val="38"/>
      <w:u w:val="none"/>
    </w:rPr>
  </w:style>
  <w:style w:type="character" w:customStyle="1" w:styleId="Bodytext">
    <w:name w:val="Body text_"/>
    <w:basedOn w:val="DefaultParagraphFont"/>
    <w:link w:val="BodyText1"/>
    <w:rPr>
      <w:rFonts w:ascii="Times New Roman" w:eastAsia="Times New Roman" w:hAnsi="Times New Roman" w:cs="Times New Roman"/>
      <w:b/>
      <w:bCs/>
      <w:i w:val="0"/>
      <w:iCs w:val="0"/>
      <w:smallCaps w:val="0"/>
      <w:strike w:val="0"/>
      <w:sz w:val="20"/>
      <w:szCs w:val="20"/>
      <w:u w:val="none"/>
    </w:rPr>
  </w:style>
  <w:style w:type="character" w:customStyle="1" w:styleId="BodytextItalic">
    <w:name w:val="Body text + 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Sylfaen">
    <w:name w:val="Body text + Sylfaen"/>
    <w:aliases w:val="8.5 pt,Not Bold"/>
    <w:basedOn w:val="Bodytext"/>
    <w:rPr>
      <w:rFonts w:ascii="Sylfaen" w:eastAsia="Sylfaen" w:hAnsi="Sylfaen" w:cs="Sylfaen"/>
      <w:b/>
      <w:bCs/>
      <w:i w:val="0"/>
      <w:iCs w:val="0"/>
      <w:smallCaps w:val="0"/>
      <w:strike w:val="0"/>
      <w:color w:val="000000"/>
      <w:spacing w:val="0"/>
      <w:w w:val="100"/>
      <w:position w:val="0"/>
      <w:sz w:val="17"/>
      <w:szCs w:val="17"/>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iCs/>
      <w:smallCaps w:val="0"/>
      <w:strike w:val="0"/>
      <w:sz w:val="20"/>
      <w:szCs w:val="20"/>
      <w:u w:val="none"/>
    </w:rPr>
  </w:style>
  <w:style w:type="character" w:customStyle="1" w:styleId="Headerorfooter95pt">
    <w:name w:val="Header or footer + 9.5 pt"/>
    <w:aliases w:val="Not Italic,Spacing 0 pt"/>
    <w:basedOn w:val="Headerorfooter"/>
    <w:rPr>
      <w:rFonts w:ascii="Times New Roman" w:eastAsia="Times New Roman" w:hAnsi="Times New Roman" w:cs="Times New Roman"/>
      <w:b/>
      <w:bCs/>
      <w:i/>
      <w:iCs/>
      <w:smallCaps w:val="0"/>
      <w:strike w:val="0"/>
      <w:color w:val="000000"/>
      <w:spacing w:val="10"/>
      <w:w w:val="100"/>
      <w:position w:val="0"/>
      <w:sz w:val="19"/>
      <w:szCs w:val="19"/>
      <w:u w:val="none"/>
      <w:lang w:val="en-US"/>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erorfooterSpacing1pt">
    <w:name w:val="Header or footer + Spacing 1 pt"/>
    <w:basedOn w:val="Headerorfooter"/>
    <w:rPr>
      <w:rFonts w:ascii="Times New Roman" w:eastAsia="Times New Roman" w:hAnsi="Times New Roman" w:cs="Times New Roman"/>
      <w:b/>
      <w:bCs/>
      <w:i/>
      <w:iCs/>
      <w:smallCaps w:val="0"/>
      <w:strike w:val="0"/>
      <w:color w:val="000000"/>
      <w:spacing w:val="20"/>
      <w:w w:val="100"/>
      <w:position w:val="0"/>
      <w:sz w:val="20"/>
      <w:szCs w:val="20"/>
      <w:u w:val="none"/>
      <w:lang w:val="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15"/>
      <w:szCs w:val="15"/>
      <w:u w:val="none"/>
    </w:rPr>
  </w:style>
  <w:style w:type="character" w:customStyle="1" w:styleId="TableofcontentsItalic">
    <w:name w:val="Table of contents + Italic"/>
    <w:basedOn w:val="Tableofcontents"/>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BodytextItalic0">
    <w:name w:val="Body text + Italic"/>
    <w:basedOn w:val="Bodytext"/>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BodytextArialNarrow">
    <w:name w:val="Body text + Arial Narrow"/>
    <w:aliases w:val="16.5 pt,Not Bold,Italic"/>
    <w:basedOn w:val="Bodytext"/>
    <w:rPr>
      <w:rFonts w:ascii="Arial Narrow" w:eastAsia="Arial Narrow" w:hAnsi="Arial Narrow" w:cs="Arial Narrow"/>
      <w:b/>
      <w:bCs/>
      <w:i/>
      <w:iCs/>
      <w:smallCaps w:val="0"/>
      <w:strike w:val="0"/>
      <w:color w:val="000000"/>
      <w:spacing w:val="0"/>
      <w:w w:val="100"/>
      <w:position w:val="0"/>
      <w:sz w:val="33"/>
      <w:szCs w:val="33"/>
      <w:u w:val="none"/>
      <w:lang w:val="en-US"/>
    </w:rPr>
  </w:style>
  <w:style w:type="character" w:customStyle="1" w:styleId="Bodytext75pt">
    <w:name w:val="Body text + 7.5 pt"/>
    <w:aliases w:val="Not Bold"/>
    <w:basedOn w:val="Bodytext"/>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paragraph" w:customStyle="1" w:styleId="Footnote20">
    <w:name w:val="Footnote (2)"/>
    <w:basedOn w:val="Normal"/>
    <w:link w:val="Footnote2"/>
    <w:pPr>
      <w:shd w:val="clear" w:color="auto" w:fill="FFFFFF"/>
      <w:spacing w:line="0" w:lineRule="atLeast"/>
    </w:pPr>
    <w:rPr>
      <w:rFonts w:ascii="Times New Roman" w:eastAsia="Times New Roman" w:hAnsi="Times New Roman" w:cs="Times New Roman"/>
      <w:b/>
      <w:bCs/>
      <w:sz w:val="20"/>
      <w:szCs w:val="20"/>
    </w:rPr>
  </w:style>
  <w:style w:type="paragraph" w:customStyle="1" w:styleId="Footnote0">
    <w:name w:val="Footnote"/>
    <w:basedOn w:val="Normal"/>
    <w:link w:val="Footnote"/>
    <w:pPr>
      <w:shd w:val="clear" w:color="auto" w:fill="FFFFFF"/>
      <w:spacing w:line="0" w:lineRule="atLeast"/>
      <w:ind w:hanging="300"/>
    </w:pPr>
    <w:rPr>
      <w:rFonts w:ascii="Times New Roman" w:eastAsia="Times New Roman" w:hAnsi="Times New Roman" w:cs="Times New Roman"/>
      <w:b/>
      <w:bCs/>
      <w:sz w:val="17"/>
      <w:szCs w:val="17"/>
    </w:rPr>
  </w:style>
  <w:style w:type="paragraph" w:customStyle="1" w:styleId="Bodytext2">
    <w:name w:val="Body text (2)"/>
    <w:basedOn w:val="Normal"/>
    <w:link w:val="Bodytext2Exact"/>
    <w:pPr>
      <w:shd w:val="clear" w:color="auto" w:fill="FFFFFF"/>
      <w:spacing w:after="1140" w:line="182" w:lineRule="exact"/>
      <w:jc w:val="both"/>
    </w:pPr>
    <w:rPr>
      <w:rFonts w:ascii="Times New Roman" w:eastAsia="Times New Roman" w:hAnsi="Times New Roman" w:cs="Times New Roman"/>
      <w:b/>
      <w:bCs/>
      <w:spacing w:val="6"/>
      <w:sz w:val="16"/>
      <w:szCs w:val="16"/>
    </w:rPr>
  </w:style>
  <w:style w:type="paragraph" w:customStyle="1" w:styleId="Heading10">
    <w:name w:val="Heading #1"/>
    <w:basedOn w:val="Normal"/>
    <w:link w:val="Heading1"/>
    <w:pPr>
      <w:shd w:val="clear" w:color="auto" w:fill="FFFFFF"/>
      <w:spacing w:after="300" w:line="0" w:lineRule="atLeast"/>
      <w:jc w:val="center"/>
      <w:outlineLvl w:val="0"/>
    </w:pPr>
    <w:rPr>
      <w:rFonts w:ascii="CordiaUPC" w:eastAsia="CordiaUPC" w:hAnsi="CordiaUPC" w:cs="CordiaUPC"/>
      <w:b/>
      <w:bCs/>
      <w:sz w:val="43"/>
      <w:szCs w:val="43"/>
    </w:rPr>
  </w:style>
  <w:style w:type="paragraph" w:customStyle="1" w:styleId="Heading20">
    <w:name w:val="Heading #2"/>
    <w:basedOn w:val="Normal"/>
    <w:link w:val="Heading2"/>
    <w:pPr>
      <w:shd w:val="clear" w:color="auto" w:fill="FFFFFF"/>
      <w:spacing w:before="300" w:after="480" w:line="0" w:lineRule="atLeast"/>
      <w:jc w:val="center"/>
      <w:outlineLvl w:val="1"/>
    </w:pPr>
    <w:rPr>
      <w:rFonts w:ascii="CordiaUPC" w:eastAsia="CordiaUPC" w:hAnsi="CordiaUPC" w:cs="CordiaUPC"/>
      <w:b/>
      <w:bCs/>
      <w:sz w:val="38"/>
      <w:szCs w:val="38"/>
    </w:rPr>
  </w:style>
  <w:style w:type="paragraph" w:customStyle="1" w:styleId="BodyText1">
    <w:name w:val="Body Text1"/>
    <w:basedOn w:val="Normal"/>
    <w:link w:val="Bodytext"/>
    <w:pPr>
      <w:shd w:val="clear" w:color="auto" w:fill="FFFFFF"/>
      <w:spacing w:before="480" w:after="480" w:line="0" w:lineRule="atLeast"/>
      <w:jc w:val="center"/>
    </w:pPr>
    <w:rPr>
      <w:rFonts w:ascii="Times New Roman" w:eastAsia="Times New Roman" w:hAnsi="Times New Roman" w:cs="Times New Roman"/>
      <w:b/>
      <w:bCs/>
      <w:sz w:val="20"/>
      <w:szCs w:val="20"/>
    </w:rPr>
  </w:style>
  <w:style w:type="paragraph" w:customStyle="1" w:styleId="Bodytext30">
    <w:name w:val="Body text (3)"/>
    <w:basedOn w:val="Normal"/>
    <w:link w:val="Bodytext3"/>
    <w:pPr>
      <w:shd w:val="clear" w:color="auto" w:fill="FFFFFF"/>
      <w:spacing w:line="288" w:lineRule="exact"/>
      <w:jc w:val="both"/>
    </w:pPr>
    <w:rPr>
      <w:rFonts w:ascii="Times New Roman" w:eastAsia="Times New Roman" w:hAnsi="Times New Roman" w:cs="Times New Roman"/>
      <w:sz w:val="15"/>
      <w:szCs w:val="15"/>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i/>
      <w:iCs/>
      <w:sz w:val="20"/>
      <w:szCs w:val="20"/>
    </w:rPr>
  </w:style>
  <w:style w:type="paragraph" w:customStyle="1" w:styleId="Tableofcontents0">
    <w:name w:val="Table of contents"/>
    <w:basedOn w:val="Normal"/>
    <w:link w:val="Tableofcontents"/>
    <w:pPr>
      <w:shd w:val="clear" w:color="auto" w:fill="FFFFFF"/>
      <w:spacing w:line="168" w:lineRule="exact"/>
      <w:jc w:val="both"/>
    </w:pPr>
    <w:rPr>
      <w:rFonts w:ascii="Times New Roman" w:eastAsia="Times New Roman" w:hAnsi="Times New Roman" w:cs="Times New Roman"/>
      <w:sz w:val="15"/>
      <w:szCs w:val="15"/>
    </w:rPr>
  </w:style>
  <w:style w:type="paragraph" w:styleId="Header">
    <w:name w:val="header"/>
    <w:basedOn w:val="Normal"/>
    <w:link w:val="HeaderChar"/>
    <w:uiPriority w:val="99"/>
    <w:unhideWhenUsed/>
    <w:rsid w:val="00560CDA"/>
    <w:pPr>
      <w:tabs>
        <w:tab w:val="center" w:pos="4680"/>
        <w:tab w:val="right" w:pos="9360"/>
      </w:tabs>
    </w:pPr>
  </w:style>
  <w:style w:type="character" w:customStyle="1" w:styleId="HeaderChar">
    <w:name w:val="Header Char"/>
    <w:basedOn w:val="DefaultParagraphFont"/>
    <w:link w:val="Header"/>
    <w:uiPriority w:val="99"/>
    <w:rsid w:val="00560CDA"/>
    <w:rPr>
      <w:color w:val="000000"/>
    </w:rPr>
  </w:style>
  <w:style w:type="paragraph" w:styleId="Footer">
    <w:name w:val="footer"/>
    <w:basedOn w:val="Normal"/>
    <w:link w:val="FooterChar"/>
    <w:uiPriority w:val="99"/>
    <w:unhideWhenUsed/>
    <w:rsid w:val="00560CDA"/>
    <w:pPr>
      <w:tabs>
        <w:tab w:val="center" w:pos="4680"/>
        <w:tab w:val="right" w:pos="9360"/>
      </w:tabs>
    </w:pPr>
  </w:style>
  <w:style w:type="character" w:customStyle="1" w:styleId="FooterChar">
    <w:name w:val="Footer Char"/>
    <w:basedOn w:val="DefaultParagraphFont"/>
    <w:link w:val="Footer"/>
    <w:uiPriority w:val="99"/>
    <w:rsid w:val="00560CDA"/>
    <w:rPr>
      <w:color w:val="000000"/>
    </w:rPr>
  </w:style>
  <w:style w:type="table" w:styleId="TableGrid">
    <w:name w:val="Table Grid"/>
    <w:basedOn w:val="TableNormal"/>
    <w:uiPriority w:val="59"/>
    <w:rsid w:val="0056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D43"/>
    <w:rPr>
      <w:sz w:val="16"/>
      <w:szCs w:val="16"/>
    </w:rPr>
  </w:style>
  <w:style w:type="paragraph" w:styleId="CommentText">
    <w:name w:val="annotation text"/>
    <w:basedOn w:val="Normal"/>
    <w:link w:val="CommentTextChar"/>
    <w:uiPriority w:val="99"/>
    <w:semiHidden/>
    <w:unhideWhenUsed/>
    <w:rsid w:val="00261D43"/>
    <w:rPr>
      <w:sz w:val="20"/>
      <w:szCs w:val="20"/>
    </w:rPr>
  </w:style>
  <w:style w:type="character" w:customStyle="1" w:styleId="CommentTextChar">
    <w:name w:val="Comment Text Char"/>
    <w:basedOn w:val="DefaultParagraphFont"/>
    <w:link w:val="CommentText"/>
    <w:uiPriority w:val="99"/>
    <w:semiHidden/>
    <w:rsid w:val="00261D43"/>
    <w:rPr>
      <w:color w:val="000000"/>
      <w:sz w:val="20"/>
      <w:szCs w:val="20"/>
    </w:rPr>
  </w:style>
  <w:style w:type="paragraph" w:styleId="CommentSubject">
    <w:name w:val="annotation subject"/>
    <w:basedOn w:val="CommentText"/>
    <w:next w:val="CommentText"/>
    <w:link w:val="CommentSubjectChar"/>
    <w:uiPriority w:val="99"/>
    <w:semiHidden/>
    <w:unhideWhenUsed/>
    <w:rsid w:val="00261D43"/>
    <w:rPr>
      <w:b/>
      <w:bCs/>
    </w:rPr>
  </w:style>
  <w:style w:type="character" w:customStyle="1" w:styleId="CommentSubjectChar">
    <w:name w:val="Comment Subject Char"/>
    <w:basedOn w:val="CommentTextChar"/>
    <w:link w:val="CommentSubject"/>
    <w:uiPriority w:val="99"/>
    <w:semiHidden/>
    <w:rsid w:val="00261D43"/>
    <w:rPr>
      <w:b/>
      <w:bCs/>
      <w:color w:val="000000"/>
      <w:sz w:val="20"/>
      <w:szCs w:val="20"/>
    </w:rPr>
  </w:style>
  <w:style w:type="paragraph" w:styleId="BalloonText">
    <w:name w:val="Balloon Text"/>
    <w:basedOn w:val="Normal"/>
    <w:link w:val="BalloonTextChar"/>
    <w:uiPriority w:val="99"/>
    <w:semiHidden/>
    <w:unhideWhenUsed/>
    <w:rsid w:val="00261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D43"/>
    <w:rPr>
      <w:rFonts w:ascii="Segoe UI" w:hAnsi="Segoe UI" w:cs="Segoe UI"/>
      <w:color w:val="000000"/>
      <w:sz w:val="18"/>
      <w:szCs w:val="18"/>
    </w:rPr>
  </w:style>
  <w:style w:type="paragraph" w:styleId="Revision">
    <w:name w:val="Revision"/>
    <w:hidden/>
    <w:uiPriority w:val="99"/>
    <w:semiHidden/>
    <w:rsid w:val="00BE7AB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Harper, Michael</cp:lastModifiedBy>
  <cp:revision>4</cp:revision>
  <dcterms:created xsi:type="dcterms:W3CDTF">2018-09-21T21:53:00Z</dcterms:created>
  <dcterms:modified xsi:type="dcterms:W3CDTF">2019-07-10T06:07:00Z</dcterms:modified>
</cp:coreProperties>
</file>