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6718A" w14:textId="77777777" w:rsidR="001B18D3" w:rsidRPr="003552A4" w:rsidRDefault="00D96854" w:rsidP="00C04E67">
      <w:pPr>
        <w:spacing w:after="160"/>
        <w:jc w:val="center"/>
        <w:rPr>
          <w:rFonts w:ascii="Times New Roman" w:hAnsi="Times New Roman" w:cs="Times New Roman"/>
          <w:b/>
          <w:sz w:val="32"/>
          <w:szCs w:val="32"/>
        </w:rPr>
      </w:pPr>
      <w:bookmarkStart w:id="0" w:name="bookmark0"/>
      <w:bookmarkStart w:id="1" w:name="_GoBack"/>
      <w:bookmarkEnd w:id="1"/>
      <w:r w:rsidRPr="003552A4">
        <w:rPr>
          <w:rFonts w:ascii="Times New Roman" w:hAnsi="Times New Roman" w:cs="Times New Roman"/>
          <w:b/>
          <w:sz w:val="32"/>
          <w:szCs w:val="32"/>
        </w:rPr>
        <w:t>BANKS (HOUSING LOANS) ACT 1974</w:t>
      </w:r>
    </w:p>
    <w:p w14:paraId="69CE6B16" w14:textId="77777777" w:rsidR="00FC5048" w:rsidRPr="003552A4" w:rsidRDefault="00D96854" w:rsidP="00C04E67">
      <w:pPr>
        <w:spacing w:after="240"/>
        <w:jc w:val="center"/>
        <w:rPr>
          <w:rFonts w:ascii="Times New Roman" w:hAnsi="Times New Roman" w:cs="Times New Roman"/>
          <w:sz w:val="32"/>
          <w:szCs w:val="32"/>
        </w:rPr>
      </w:pPr>
      <w:r w:rsidRPr="003552A4">
        <w:rPr>
          <w:rStyle w:val="Heading1115pt"/>
          <w:rFonts w:ascii="Times New Roman" w:hAnsi="Times New Roman" w:cs="Times New Roman"/>
          <w:sz w:val="32"/>
          <w:szCs w:val="32"/>
        </w:rPr>
        <w:t>No. 143 of 1974</w:t>
      </w:r>
      <w:bookmarkEnd w:id="0"/>
    </w:p>
    <w:p w14:paraId="2EEF0E6C" w14:textId="77777777" w:rsidR="00FC5048" w:rsidRPr="001B18D3" w:rsidRDefault="00D96854" w:rsidP="00C04E67">
      <w:pPr>
        <w:pStyle w:val="BodyText1"/>
        <w:spacing w:after="240" w:line="240" w:lineRule="auto"/>
        <w:ind w:firstLine="0"/>
        <w:rPr>
          <w:sz w:val="24"/>
          <w:szCs w:val="24"/>
        </w:rPr>
      </w:pPr>
      <w:r w:rsidRPr="001B18D3">
        <w:rPr>
          <w:sz w:val="24"/>
          <w:szCs w:val="24"/>
        </w:rPr>
        <w:t>An Act to Provide Funds to enable Banks to make additional Loans for Housing, and for purposes connected therewith.</w:t>
      </w:r>
    </w:p>
    <w:p w14:paraId="24092080" w14:textId="77777777" w:rsidR="00FC5048" w:rsidRPr="001B18D3" w:rsidRDefault="00D96854" w:rsidP="00C04E67">
      <w:pPr>
        <w:pStyle w:val="BodyText1"/>
        <w:spacing w:after="160" w:line="240" w:lineRule="auto"/>
        <w:ind w:firstLine="270"/>
        <w:rPr>
          <w:sz w:val="24"/>
          <w:szCs w:val="24"/>
        </w:rPr>
      </w:pPr>
      <w:r w:rsidRPr="001B18D3">
        <w:rPr>
          <w:sz w:val="24"/>
          <w:szCs w:val="24"/>
        </w:rPr>
        <w:t>BE IT ENACTED by the Queen, the Senate and the House of Representatives of Australia, as follows:—</w:t>
      </w:r>
    </w:p>
    <w:p w14:paraId="0D308B1F" w14:textId="77777777" w:rsidR="00FC5048" w:rsidRPr="001B18D3" w:rsidRDefault="00D96854" w:rsidP="00C04E67">
      <w:pPr>
        <w:pStyle w:val="Bodytext60"/>
        <w:spacing w:before="120" w:after="60" w:line="240" w:lineRule="auto"/>
        <w:rPr>
          <w:b/>
          <w:sz w:val="20"/>
          <w:szCs w:val="20"/>
        </w:rPr>
      </w:pPr>
      <w:r w:rsidRPr="001B18D3">
        <w:rPr>
          <w:b/>
          <w:sz w:val="20"/>
          <w:szCs w:val="20"/>
        </w:rPr>
        <w:t>Short title.</w:t>
      </w:r>
    </w:p>
    <w:p w14:paraId="1A55D5B8" w14:textId="270A8A9C" w:rsidR="00FC5048" w:rsidRPr="001B18D3" w:rsidRDefault="001B18D3" w:rsidP="00C04E67">
      <w:pPr>
        <w:pStyle w:val="BodyText1"/>
        <w:tabs>
          <w:tab w:val="left" w:pos="630"/>
        </w:tabs>
        <w:spacing w:line="240" w:lineRule="auto"/>
        <w:ind w:firstLine="270"/>
        <w:rPr>
          <w:sz w:val="24"/>
          <w:szCs w:val="24"/>
        </w:rPr>
      </w:pPr>
      <w:r w:rsidRPr="001B18D3">
        <w:rPr>
          <w:b/>
          <w:sz w:val="24"/>
          <w:szCs w:val="24"/>
        </w:rPr>
        <w:t>1.</w:t>
      </w:r>
      <w:r>
        <w:rPr>
          <w:b/>
          <w:sz w:val="24"/>
          <w:szCs w:val="24"/>
        </w:rPr>
        <w:tab/>
      </w:r>
      <w:r w:rsidR="00D96854" w:rsidRPr="001B18D3">
        <w:rPr>
          <w:sz w:val="24"/>
          <w:szCs w:val="24"/>
        </w:rPr>
        <w:t xml:space="preserve">This Act may be cited as the </w:t>
      </w:r>
      <w:r w:rsidR="00D96854" w:rsidRPr="001B18D3">
        <w:rPr>
          <w:rStyle w:val="BodytextItalic"/>
          <w:sz w:val="24"/>
          <w:szCs w:val="24"/>
        </w:rPr>
        <w:t xml:space="preserve">Banks (Housing Loans) Act </w:t>
      </w:r>
      <w:r w:rsidR="00D96854" w:rsidRPr="003552A4">
        <w:rPr>
          <w:rStyle w:val="BodytextItalic"/>
          <w:i w:val="0"/>
          <w:sz w:val="24"/>
          <w:szCs w:val="24"/>
        </w:rPr>
        <w:t>1</w:t>
      </w:r>
      <w:r w:rsidR="00D96854" w:rsidRPr="001B18D3">
        <w:rPr>
          <w:sz w:val="24"/>
          <w:szCs w:val="24"/>
        </w:rPr>
        <w:t>974.</w:t>
      </w:r>
    </w:p>
    <w:p w14:paraId="69F4A2D2" w14:textId="77777777" w:rsidR="001B18D3" w:rsidRPr="001B18D3" w:rsidRDefault="001B18D3" w:rsidP="00C04E67">
      <w:pPr>
        <w:pStyle w:val="Bodytext60"/>
        <w:spacing w:before="120" w:after="60" w:line="240" w:lineRule="auto"/>
        <w:rPr>
          <w:b/>
          <w:sz w:val="20"/>
          <w:szCs w:val="20"/>
        </w:rPr>
      </w:pPr>
      <w:r w:rsidRPr="001B18D3">
        <w:rPr>
          <w:b/>
          <w:sz w:val="20"/>
          <w:szCs w:val="20"/>
        </w:rPr>
        <w:t>Commencement.</w:t>
      </w:r>
    </w:p>
    <w:p w14:paraId="69174E38" w14:textId="5A74565E" w:rsidR="00FC5048" w:rsidRPr="001B18D3" w:rsidRDefault="001B18D3" w:rsidP="00C04E67">
      <w:pPr>
        <w:pStyle w:val="BodyText1"/>
        <w:tabs>
          <w:tab w:val="left" w:pos="630"/>
        </w:tabs>
        <w:spacing w:line="240" w:lineRule="auto"/>
        <w:ind w:firstLine="270"/>
        <w:rPr>
          <w:sz w:val="24"/>
          <w:szCs w:val="24"/>
        </w:rPr>
      </w:pPr>
      <w:r w:rsidRPr="001B18D3">
        <w:rPr>
          <w:b/>
          <w:sz w:val="24"/>
          <w:szCs w:val="24"/>
        </w:rPr>
        <w:t>2.</w:t>
      </w:r>
      <w:r>
        <w:rPr>
          <w:b/>
          <w:sz w:val="24"/>
          <w:szCs w:val="24"/>
        </w:rPr>
        <w:tab/>
      </w:r>
      <w:r w:rsidR="00D96854" w:rsidRPr="001B18D3">
        <w:rPr>
          <w:sz w:val="24"/>
          <w:szCs w:val="24"/>
        </w:rPr>
        <w:t>This Act shall come into operation on the day on which it receives the Royal Assent.</w:t>
      </w:r>
    </w:p>
    <w:p w14:paraId="3E20A4D1" w14:textId="77777777" w:rsidR="001B18D3" w:rsidRPr="001B18D3" w:rsidRDefault="001B18D3" w:rsidP="00C04E67">
      <w:pPr>
        <w:pStyle w:val="Bodytext60"/>
        <w:spacing w:before="120" w:after="60" w:line="240" w:lineRule="auto"/>
        <w:rPr>
          <w:b/>
          <w:sz w:val="20"/>
          <w:szCs w:val="20"/>
        </w:rPr>
      </w:pPr>
      <w:r w:rsidRPr="001B18D3">
        <w:rPr>
          <w:b/>
          <w:sz w:val="20"/>
          <w:szCs w:val="20"/>
        </w:rPr>
        <w:t>Loans to banks for purpose of housing.</w:t>
      </w:r>
    </w:p>
    <w:p w14:paraId="055FC40A" w14:textId="77777777" w:rsidR="00FC5048" w:rsidRPr="001B18D3" w:rsidRDefault="001B18D3" w:rsidP="00C04E67">
      <w:pPr>
        <w:pStyle w:val="BodyText1"/>
        <w:spacing w:after="120" w:line="240" w:lineRule="auto"/>
        <w:ind w:firstLine="274"/>
        <w:rPr>
          <w:sz w:val="24"/>
          <w:szCs w:val="24"/>
        </w:rPr>
      </w:pPr>
      <w:r w:rsidRPr="001B18D3">
        <w:rPr>
          <w:b/>
          <w:sz w:val="24"/>
          <w:szCs w:val="24"/>
        </w:rPr>
        <w:t>3.</w:t>
      </w:r>
      <w:r>
        <w:rPr>
          <w:b/>
          <w:sz w:val="24"/>
          <w:szCs w:val="24"/>
        </w:rPr>
        <w:t xml:space="preserve"> </w:t>
      </w:r>
      <w:r w:rsidR="00D96854" w:rsidRPr="001B18D3">
        <w:rPr>
          <w:sz w:val="24"/>
          <w:szCs w:val="24"/>
        </w:rPr>
        <w:t>(1) The Treasurer may, on behalf of Australia, make advances, by way of loan, to a bank named in the Schedule for the purpose of enabling the bank to make finance availab</w:t>
      </w:r>
      <w:r>
        <w:rPr>
          <w:sz w:val="24"/>
          <w:szCs w:val="24"/>
        </w:rPr>
        <w:t>le, by way of loan, for the pur</w:t>
      </w:r>
      <w:r w:rsidR="00D96854" w:rsidRPr="001B18D3">
        <w:rPr>
          <w:sz w:val="24"/>
          <w:szCs w:val="24"/>
        </w:rPr>
        <w:t>pose of assisting men and women to purchase,</w:t>
      </w:r>
      <w:r w:rsidRPr="001B18D3">
        <w:rPr>
          <w:sz w:val="24"/>
          <w:szCs w:val="24"/>
        </w:rPr>
        <w:t xml:space="preserve"> </w:t>
      </w:r>
      <w:r w:rsidR="00D96854" w:rsidRPr="001B18D3">
        <w:rPr>
          <w:sz w:val="24"/>
          <w:szCs w:val="24"/>
        </w:rPr>
        <w:t>erect or extend houses, being loans that the bank would not make but for the advances available to it under this Act.</w:t>
      </w:r>
    </w:p>
    <w:p w14:paraId="45F06C81" w14:textId="77777777" w:rsidR="00FC5048" w:rsidRPr="001B18D3" w:rsidRDefault="001B18D3" w:rsidP="00C04E67">
      <w:pPr>
        <w:pStyle w:val="BodyText1"/>
        <w:spacing w:after="60" w:line="240" w:lineRule="auto"/>
        <w:ind w:firstLine="274"/>
        <w:rPr>
          <w:sz w:val="24"/>
          <w:szCs w:val="24"/>
        </w:rPr>
      </w:pPr>
      <w:r>
        <w:rPr>
          <w:sz w:val="24"/>
          <w:szCs w:val="24"/>
        </w:rPr>
        <w:t xml:space="preserve">(2) </w:t>
      </w:r>
      <w:r w:rsidR="00D96854" w:rsidRPr="001B18D3">
        <w:rPr>
          <w:sz w:val="24"/>
          <w:szCs w:val="24"/>
        </w:rPr>
        <w:t>Advances shall be made to a bank under sub-section (1)—</w:t>
      </w:r>
    </w:p>
    <w:p w14:paraId="337F6589" w14:textId="77777777" w:rsidR="00FC5048" w:rsidRPr="001B18D3" w:rsidRDefault="001B18D3" w:rsidP="00C04E67">
      <w:pPr>
        <w:pStyle w:val="BodyText1"/>
        <w:spacing w:after="60" w:line="240" w:lineRule="auto"/>
        <w:ind w:left="634" w:hanging="360"/>
        <w:rPr>
          <w:sz w:val="24"/>
          <w:szCs w:val="24"/>
        </w:rPr>
      </w:pPr>
      <w:r>
        <w:rPr>
          <w:sz w:val="24"/>
          <w:szCs w:val="24"/>
        </w:rPr>
        <w:t xml:space="preserve">(a) </w:t>
      </w:r>
      <w:r w:rsidR="00D96854" w:rsidRPr="001B18D3">
        <w:rPr>
          <w:sz w:val="24"/>
          <w:szCs w:val="24"/>
        </w:rPr>
        <w:t>in such amounts, and at such times, as the Treasurer, or an officer authorized by the Treasurer, approves; and</w:t>
      </w:r>
    </w:p>
    <w:p w14:paraId="3966F5FD" w14:textId="77777777" w:rsidR="00FC5048" w:rsidRPr="001B18D3" w:rsidRDefault="001B18D3" w:rsidP="00C04E67">
      <w:pPr>
        <w:pStyle w:val="BodyText1"/>
        <w:spacing w:after="60" w:line="240" w:lineRule="auto"/>
        <w:ind w:left="634" w:hanging="360"/>
        <w:rPr>
          <w:sz w:val="24"/>
          <w:szCs w:val="24"/>
        </w:rPr>
      </w:pPr>
      <w:r>
        <w:rPr>
          <w:sz w:val="24"/>
          <w:szCs w:val="24"/>
        </w:rPr>
        <w:t xml:space="preserve">(b) </w:t>
      </w:r>
      <w:r w:rsidR="00D96854" w:rsidRPr="001B18D3">
        <w:rPr>
          <w:sz w:val="24"/>
          <w:szCs w:val="24"/>
        </w:rPr>
        <w:t>upon such terms and conditions as are agreed on by the Treasurer and the bank.</w:t>
      </w:r>
    </w:p>
    <w:p w14:paraId="3DF7ADBF" w14:textId="77777777" w:rsidR="00FC5048" w:rsidRPr="001B18D3" w:rsidRDefault="001B18D3" w:rsidP="00C04E67">
      <w:pPr>
        <w:pStyle w:val="BodyText1"/>
        <w:spacing w:after="60" w:line="240" w:lineRule="auto"/>
        <w:ind w:firstLine="274"/>
        <w:rPr>
          <w:sz w:val="24"/>
          <w:szCs w:val="24"/>
        </w:rPr>
      </w:pPr>
      <w:r>
        <w:rPr>
          <w:sz w:val="24"/>
          <w:szCs w:val="24"/>
        </w:rPr>
        <w:t xml:space="preserve">(3) </w:t>
      </w:r>
      <w:r w:rsidR="00D96854" w:rsidRPr="001B18D3">
        <w:rPr>
          <w:sz w:val="24"/>
          <w:szCs w:val="24"/>
        </w:rPr>
        <w:t>The Treasurer shall not make an advance to a bank under sub</w:t>
      </w:r>
      <w:r w:rsidR="00C04E67">
        <w:rPr>
          <w:sz w:val="24"/>
          <w:szCs w:val="24"/>
        </w:rPr>
        <w:t>-</w:t>
      </w:r>
      <w:r w:rsidR="00D96854" w:rsidRPr="001B18D3">
        <w:rPr>
          <w:sz w:val="24"/>
          <w:szCs w:val="24"/>
        </w:rPr>
        <w:t>section (1) of such an amount that the total of the advances made to the bank will exceed the amount specified for the time being in the Schedule opposite to the name of the bank.</w:t>
      </w:r>
    </w:p>
    <w:p w14:paraId="61D15320" w14:textId="05ACFBB3" w:rsidR="00FC5048" w:rsidRPr="001B18D3" w:rsidRDefault="001B18D3" w:rsidP="00C04E67">
      <w:pPr>
        <w:pStyle w:val="BodyText1"/>
        <w:spacing w:after="120" w:line="240" w:lineRule="auto"/>
        <w:ind w:firstLine="274"/>
        <w:rPr>
          <w:sz w:val="24"/>
          <w:szCs w:val="24"/>
        </w:rPr>
      </w:pPr>
      <w:r>
        <w:rPr>
          <w:sz w:val="24"/>
          <w:szCs w:val="24"/>
        </w:rPr>
        <w:t xml:space="preserve">(4) </w:t>
      </w:r>
      <w:r w:rsidR="00D96854" w:rsidRPr="001B18D3">
        <w:rPr>
          <w:sz w:val="24"/>
          <w:szCs w:val="24"/>
        </w:rPr>
        <w:t>The sum of the advances made to banks under this section shall not exceed $150,000,000.</w:t>
      </w:r>
    </w:p>
    <w:p w14:paraId="366ECB31" w14:textId="77777777" w:rsidR="00FC5048" w:rsidRPr="00C04E67" w:rsidRDefault="00D96854" w:rsidP="00C04E67">
      <w:pPr>
        <w:pStyle w:val="Bodytext60"/>
        <w:spacing w:before="120" w:after="60" w:line="240" w:lineRule="auto"/>
        <w:rPr>
          <w:b/>
          <w:sz w:val="20"/>
          <w:szCs w:val="20"/>
        </w:rPr>
      </w:pPr>
      <w:r w:rsidRPr="00C04E67">
        <w:rPr>
          <w:b/>
          <w:sz w:val="20"/>
          <w:szCs w:val="20"/>
        </w:rPr>
        <w:t>Variation of Schedule.</w:t>
      </w:r>
    </w:p>
    <w:p w14:paraId="5375E51A" w14:textId="77777777" w:rsidR="00C04E67" w:rsidRDefault="001B18D3" w:rsidP="00C04E67">
      <w:pPr>
        <w:pStyle w:val="BodyText1"/>
        <w:spacing w:line="240" w:lineRule="auto"/>
        <w:ind w:firstLine="270"/>
        <w:rPr>
          <w:sz w:val="24"/>
          <w:szCs w:val="24"/>
        </w:rPr>
      </w:pPr>
      <w:r w:rsidRPr="001B18D3">
        <w:rPr>
          <w:b/>
          <w:sz w:val="24"/>
          <w:szCs w:val="24"/>
        </w:rPr>
        <w:t>4.</w:t>
      </w:r>
      <w:r w:rsidR="00C04E67">
        <w:rPr>
          <w:b/>
          <w:sz w:val="24"/>
          <w:szCs w:val="24"/>
        </w:rPr>
        <w:t xml:space="preserve"> </w:t>
      </w:r>
      <w:r w:rsidR="00D96854" w:rsidRPr="001B18D3">
        <w:rPr>
          <w:sz w:val="24"/>
          <w:szCs w:val="24"/>
        </w:rPr>
        <w:t>(1) Where the Treasurer is satisfied that the amount specified in the Schedule opposite to the name of a bank exceeds the sum of any amounts that the bank has lent, or agreed to lend, and any amounts that the bank is likely to lend, or agree to lend, before 31 March 1975 or such later date as the Treasurer approves in respect of that bank, to assist men and women to purchase, erect or extend houses, being amounts that the Treasurer is satisfied that the bank would not have lent, or agreed to lend, but for the advances available to the bank under this Act, the Treasurer may direct that the amount specified in the Schedule opposite to the name of the bank shall be deemed to be reduced by such amount, not exceeding the amount of excess, as is specified in the direction.</w:t>
      </w:r>
    </w:p>
    <w:p w14:paraId="6CE2E92A" w14:textId="13C3F460" w:rsidR="00FC5048" w:rsidRPr="00C04E67" w:rsidRDefault="00C04E67" w:rsidP="00C04E67">
      <w:pPr>
        <w:spacing w:after="60"/>
        <w:ind w:firstLine="274"/>
        <w:rPr>
          <w:rFonts w:ascii="Times New Roman" w:eastAsia="Times New Roman" w:hAnsi="Times New Roman" w:cs="Times New Roman"/>
        </w:rPr>
      </w:pPr>
      <w:r w:rsidRPr="00C04E67">
        <w:rPr>
          <w:rFonts w:ascii="Times New Roman" w:hAnsi="Times New Roman" w:cs="Times New Roman"/>
        </w:rPr>
        <w:t xml:space="preserve">(2) </w:t>
      </w:r>
      <w:r w:rsidR="00D96854" w:rsidRPr="001B18D3">
        <w:rPr>
          <w:rFonts w:ascii="Times New Roman" w:hAnsi="Times New Roman" w:cs="Times New Roman"/>
        </w:rPr>
        <w:t>Where the Treasurer gives a direction under sub-section (1) with respect to a bank, the Treasurer, having regard to the proportions in which the sum of the amounts specified in the Schedule is allocated among the banks named in the Schedule, may also direct that the amounts specified in the Schedule opposite to the names of some or all of the other banks shall be deemed to be increased by such specified amounts as the Treasurer thinks fit in consequence of that first- mentioned direction and having regard to sub-section 3(4).</w:t>
      </w:r>
    </w:p>
    <w:p w14:paraId="5817DE7A" w14:textId="77777777" w:rsidR="00FC5048" w:rsidRPr="001B18D3" w:rsidRDefault="00C04E67" w:rsidP="00C04E67">
      <w:pPr>
        <w:pStyle w:val="BodyText1"/>
        <w:spacing w:after="60" w:line="240" w:lineRule="auto"/>
        <w:ind w:firstLine="274"/>
        <w:rPr>
          <w:sz w:val="24"/>
          <w:szCs w:val="24"/>
        </w:rPr>
      </w:pPr>
      <w:r>
        <w:rPr>
          <w:sz w:val="24"/>
          <w:szCs w:val="24"/>
        </w:rPr>
        <w:t xml:space="preserve">(3) </w:t>
      </w:r>
      <w:r w:rsidR="00D96854" w:rsidRPr="001B18D3">
        <w:rPr>
          <w:sz w:val="24"/>
          <w:szCs w:val="24"/>
        </w:rPr>
        <w:t>Where the Treasurer has given a direction under this section with respect to a bank, this Act applies as if references in this Act to the amount specified in the Schedule opposite to the name of the bank were references to the amount so specified reduced or increased, as the case may be, as provided in the direction.</w:t>
      </w:r>
    </w:p>
    <w:p w14:paraId="26BECFA7" w14:textId="77777777" w:rsidR="00FC5048" w:rsidRPr="00C04E67" w:rsidRDefault="00C04E67" w:rsidP="00C04E67">
      <w:pPr>
        <w:pStyle w:val="Bodytext60"/>
        <w:spacing w:before="120" w:after="60" w:line="240" w:lineRule="auto"/>
        <w:rPr>
          <w:b/>
          <w:sz w:val="20"/>
          <w:szCs w:val="20"/>
        </w:rPr>
      </w:pPr>
      <w:r w:rsidRPr="00C04E67">
        <w:rPr>
          <w:b/>
          <w:sz w:val="20"/>
          <w:szCs w:val="20"/>
        </w:rPr>
        <w:t>Appropri</w:t>
      </w:r>
      <w:r w:rsidR="00D96854" w:rsidRPr="00C04E67">
        <w:rPr>
          <w:b/>
          <w:sz w:val="20"/>
          <w:szCs w:val="20"/>
        </w:rPr>
        <w:t>ation.</w:t>
      </w:r>
    </w:p>
    <w:p w14:paraId="013111A3" w14:textId="77777777" w:rsidR="00FC5048" w:rsidRPr="001B18D3" w:rsidRDefault="00C04E67" w:rsidP="00C04E67">
      <w:pPr>
        <w:pStyle w:val="BodyText1"/>
        <w:tabs>
          <w:tab w:val="left" w:pos="630"/>
        </w:tabs>
        <w:spacing w:line="240" w:lineRule="auto"/>
        <w:ind w:firstLine="270"/>
        <w:rPr>
          <w:sz w:val="24"/>
          <w:szCs w:val="24"/>
        </w:rPr>
      </w:pPr>
      <w:r w:rsidRPr="00C04E67">
        <w:rPr>
          <w:b/>
          <w:sz w:val="24"/>
          <w:szCs w:val="24"/>
        </w:rPr>
        <w:t>5.</w:t>
      </w:r>
      <w:r>
        <w:rPr>
          <w:b/>
          <w:sz w:val="24"/>
          <w:szCs w:val="24"/>
        </w:rPr>
        <w:tab/>
      </w:r>
      <w:r w:rsidR="00D96854" w:rsidRPr="001B18D3">
        <w:rPr>
          <w:sz w:val="24"/>
          <w:szCs w:val="24"/>
        </w:rPr>
        <w:t>Advances to banks under secti</w:t>
      </w:r>
      <w:r>
        <w:rPr>
          <w:sz w:val="24"/>
          <w:szCs w:val="24"/>
        </w:rPr>
        <w:t>on 3 may be made out of the Con</w:t>
      </w:r>
      <w:r w:rsidR="00D96854" w:rsidRPr="001B18D3">
        <w:rPr>
          <w:sz w:val="24"/>
          <w:szCs w:val="24"/>
        </w:rPr>
        <w:t>solidated Revenue Fund or the Loan Fund.</w:t>
      </w:r>
    </w:p>
    <w:p w14:paraId="527E5721" w14:textId="77777777" w:rsidR="00C04E67" w:rsidRPr="0049056A" w:rsidRDefault="00C04E67" w:rsidP="0049056A">
      <w:pPr>
        <w:pStyle w:val="Bodytext60"/>
        <w:spacing w:before="120" w:after="60" w:line="240" w:lineRule="auto"/>
        <w:rPr>
          <w:b/>
          <w:sz w:val="20"/>
          <w:szCs w:val="20"/>
        </w:rPr>
      </w:pPr>
      <w:r w:rsidRPr="0049056A">
        <w:rPr>
          <w:b/>
          <w:sz w:val="20"/>
          <w:szCs w:val="20"/>
        </w:rPr>
        <w:t>Authority to borrow.</w:t>
      </w:r>
    </w:p>
    <w:p w14:paraId="53E180AE" w14:textId="024E5FF5" w:rsidR="00FC5048" w:rsidRPr="001B18D3" w:rsidRDefault="00C04E67" w:rsidP="00C04E67">
      <w:pPr>
        <w:pStyle w:val="BodyText1"/>
        <w:tabs>
          <w:tab w:val="left" w:pos="630"/>
        </w:tabs>
        <w:spacing w:line="240" w:lineRule="auto"/>
        <w:ind w:firstLine="270"/>
        <w:rPr>
          <w:sz w:val="24"/>
          <w:szCs w:val="24"/>
        </w:rPr>
      </w:pPr>
      <w:r w:rsidRPr="00C04E67">
        <w:rPr>
          <w:b/>
          <w:sz w:val="24"/>
          <w:szCs w:val="24"/>
        </w:rPr>
        <w:t>6.</w:t>
      </w:r>
      <w:r>
        <w:rPr>
          <w:b/>
          <w:sz w:val="24"/>
          <w:szCs w:val="24"/>
        </w:rPr>
        <w:tab/>
      </w:r>
      <w:r w:rsidR="00D96854" w:rsidRPr="001B18D3">
        <w:rPr>
          <w:sz w:val="24"/>
          <w:szCs w:val="24"/>
        </w:rPr>
        <w:t xml:space="preserve">The Treasurer may, in accordance with the provisions of the </w:t>
      </w:r>
      <w:r>
        <w:rPr>
          <w:rStyle w:val="BodytextItalic"/>
          <w:sz w:val="24"/>
          <w:szCs w:val="24"/>
        </w:rPr>
        <w:t>Com</w:t>
      </w:r>
      <w:r w:rsidR="00D96854" w:rsidRPr="001B18D3">
        <w:rPr>
          <w:rStyle w:val="BodytextItalic"/>
          <w:sz w:val="24"/>
          <w:szCs w:val="24"/>
        </w:rPr>
        <w:t>monwealth Inscribed Stock Act</w:t>
      </w:r>
      <w:r w:rsidR="00D96854" w:rsidRPr="001B18D3">
        <w:rPr>
          <w:sz w:val="24"/>
          <w:szCs w:val="24"/>
        </w:rPr>
        <w:t xml:space="preserve"> 1911-1973, or in accordance with the provisions of an Act authorizing the issue of Treasury Bills, borrow moneys not exceeding in the aggregate $150,000,000.</w:t>
      </w:r>
    </w:p>
    <w:p w14:paraId="0D12638A" w14:textId="77777777" w:rsidR="00C04E67" w:rsidRPr="0049056A" w:rsidRDefault="00C04E67" w:rsidP="0049056A">
      <w:pPr>
        <w:pStyle w:val="Bodytext60"/>
        <w:spacing w:before="120" w:after="60" w:line="240" w:lineRule="auto"/>
        <w:rPr>
          <w:b/>
          <w:sz w:val="20"/>
          <w:szCs w:val="20"/>
        </w:rPr>
      </w:pPr>
      <w:r w:rsidRPr="0049056A">
        <w:rPr>
          <w:b/>
          <w:sz w:val="20"/>
          <w:szCs w:val="20"/>
        </w:rPr>
        <w:lastRenderedPageBreak/>
        <w:t>Application of moneys borrowed.</w:t>
      </w:r>
    </w:p>
    <w:p w14:paraId="15814DD2" w14:textId="77777777" w:rsidR="00FC5048" w:rsidRPr="001B18D3" w:rsidRDefault="00C04E67" w:rsidP="00C04E67">
      <w:pPr>
        <w:pStyle w:val="BodyText1"/>
        <w:tabs>
          <w:tab w:val="left" w:pos="630"/>
        </w:tabs>
        <w:spacing w:line="240" w:lineRule="auto"/>
        <w:ind w:firstLine="270"/>
        <w:rPr>
          <w:sz w:val="24"/>
          <w:szCs w:val="24"/>
        </w:rPr>
      </w:pPr>
      <w:r w:rsidRPr="00C04E67">
        <w:rPr>
          <w:b/>
          <w:sz w:val="24"/>
          <w:szCs w:val="24"/>
        </w:rPr>
        <w:t>7.</w:t>
      </w:r>
      <w:r>
        <w:rPr>
          <w:b/>
          <w:sz w:val="24"/>
          <w:szCs w:val="24"/>
        </w:rPr>
        <w:tab/>
      </w:r>
      <w:r w:rsidR="00D96854" w:rsidRPr="001B18D3">
        <w:rPr>
          <w:sz w:val="24"/>
          <w:szCs w:val="24"/>
        </w:rPr>
        <w:t>Moneys borrowed under section 6 shall be issued and applied only for the expenses of borrowing, for the purpose of making advances to banks under this Act and for the purpose of making payments to the Consolidated Revenue Fund in accordance with section 8.</w:t>
      </w:r>
    </w:p>
    <w:p w14:paraId="1C933CF8" w14:textId="77777777" w:rsidR="00C04E67" w:rsidRPr="0049056A" w:rsidRDefault="00C04E67" w:rsidP="0049056A">
      <w:pPr>
        <w:pStyle w:val="Bodytext60"/>
        <w:spacing w:before="120" w:after="60" w:line="240" w:lineRule="auto"/>
        <w:rPr>
          <w:b/>
          <w:sz w:val="20"/>
          <w:szCs w:val="20"/>
        </w:rPr>
      </w:pPr>
      <w:r w:rsidRPr="0049056A">
        <w:rPr>
          <w:b/>
          <w:sz w:val="20"/>
          <w:szCs w:val="20"/>
        </w:rPr>
        <w:t>Reimbursement of Consolidated Revenue Fund from Loan Fund.</w:t>
      </w:r>
    </w:p>
    <w:p w14:paraId="5796BB1A" w14:textId="77777777" w:rsidR="00FC5048" w:rsidRPr="001B18D3" w:rsidRDefault="00C04E67" w:rsidP="0049056A">
      <w:pPr>
        <w:pStyle w:val="BodyText1"/>
        <w:spacing w:after="60" w:line="240" w:lineRule="auto"/>
        <w:ind w:firstLine="274"/>
        <w:rPr>
          <w:sz w:val="24"/>
          <w:szCs w:val="24"/>
        </w:rPr>
      </w:pPr>
      <w:r w:rsidRPr="00C04E67">
        <w:rPr>
          <w:b/>
          <w:sz w:val="24"/>
          <w:szCs w:val="24"/>
        </w:rPr>
        <w:t>8.</w:t>
      </w:r>
      <w:r>
        <w:rPr>
          <w:b/>
          <w:sz w:val="24"/>
          <w:szCs w:val="24"/>
        </w:rPr>
        <w:t xml:space="preserve"> </w:t>
      </w:r>
      <w:r w:rsidR="00D96854" w:rsidRPr="001B18D3">
        <w:rPr>
          <w:sz w:val="24"/>
          <w:szCs w:val="24"/>
        </w:rPr>
        <w:t>(1) Where an amount has been paid out of the Consolidated Revenue Fund under this Act, the Treasurer may authorize the payment to that Fund, out of the Loan Fund, of an amount not exceeding the amount so paid.</w:t>
      </w:r>
    </w:p>
    <w:p w14:paraId="4C94B973" w14:textId="77777777" w:rsidR="00FC5048" w:rsidRPr="001B18D3" w:rsidRDefault="00C04E67" w:rsidP="0049056A">
      <w:pPr>
        <w:pStyle w:val="BodyText1"/>
        <w:spacing w:after="60" w:line="240" w:lineRule="auto"/>
        <w:ind w:firstLine="274"/>
        <w:rPr>
          <w:sz w:val="24"/>
          <w:szCs w:val="24"/>
        </w:rPr>
      </w:pPr>
      <w:r>
        <w:rPr>
          <w:sz w:val="24"/>
          <w:szCs w:val="24"/>
        </w:rPr>
        <w:t xml:space="preserve">(2) </w:t>
      </w:r>
      <w:r w:rsidR="00D96854" w:rsidRPr="001B18D3">
        <w:rPr>
          <w:sz w:val="24"/>
          <w:szCs w:val="24"/>
        </w:rPr>
        <w:t xml:space="preserve">In any statement of the receipts and expenditure, or of the expenditure, of the Consolidated Revenue Fund prepared by the Treasurer under section 49 or 50 of the </w:t>
      </w:r>
      <w:r w:rsidR="00D96854" w:rsidRPr="001B18D3">
        <w:rPr>
          <w:rStyle w:val="BodytextItalic"/>
          <w:sz w:val="24"/>
          <w:szCs w:val="24"/>
        </w:rPr>
        <w:t>Audit Act</w:t>
      </w:r>
      <w:r w:rsidR="00D96854" w:rsidRPr="001B18D3">
        <w:rPr>
          <w:sz w:val="24"/>
          <w:szCs w:val="24"/>
        </w:rPr>
        <w:t xml:space="preserve"> 1901-1973, amounts paid to the Consolidated Revenue Fund under sub-section (1) of this section shall not be shown as receipts of that Fund but shall be shown as having reduced the total of the amounts expended from that Fund under this Act.</w:t>
      </w:r>
    </w:p>
    <w:p w14:paraId="009B44ED" w14:textId="77777777" w:rsidR="00FC5048" w:rsidRPr="001B18D3" w:rsidRDefault="00C04E67" w:rsidP="0049056A">
      <w:pPr>
        <w:pStyle w:val="BodyText1"/>
        <w:spacing w:after="60" w:line="240" w:lineRule="auto"/>
        <w:ind w:firstLine="274"/>
        <w:rPr>
          <w:sz w:val="24"/>
          <w:szCs w:val="24"/>
        </w:rPr>
      </w:pPr>
      <w:r>
        <w:rPr>
          <w:sz w:val="24"/>
          <w:szCs w:val="24"/>
        </w:rPr>
        <w:t xml:space="preserve">(3) </w:t>
      </w:r>
      <w:r w:rsidR="00D96854" w:rsidRPr="001B18D3">
        <w:rPr>
          <w:sz w:val="24"/>
          <w:szCs w:val="24"/>
        </w:rPr>
        <w:t xml:space="preserve">Where there has been a payment from the Loan Fund to the Consolidated Revenue Fund under sub-section (1) in respect of an amount paid out of the Consolidated Revenue Fund under this Act, the amount so paid out of the Consolidated Revenue Fund, shall, for the purposes of sections 9 and 10 of the </w:t>
      </w:r>
      <w:r w:rsidR="00D96854" w:rsidRPr="001B18D3">
        <w:rPr>
          <w:rStyle w:val="BodytextItalic"/>
          <w:sz w:val="24"/>
          <w:szCs w:val="24"/>
        </w:rPr>
        <w:t xml:space="preserve">National Debt Sinking Fund Act </w:t>
      </w:r>
      <w:r w:rsidR="00D96854" w:rsidRPr="001B18D3">
        <w:rPr>
          <w:sz w:val="24"/>
          <w:szCs w:val="24"/>
        </w:rPr>
        <w:t>1966-1967 be deemed to have been paid out of the Loan Fund.</w:t>
      </w:r>
    </w:p>
    <w:p w14:paraId="5FAFEAE6" w14:textId="77777777" w:rsidR="00FC5048" w:rsidRPr="0049056A" w:rsidRDefault="00C04E67" w:rsidP="0049056A">
      <w:pPr>
        <w:pStyle w:val="Bodytext60"/>
        <w:spacing w:before="120" w:after="60" w:line="240" w:lineRule="auto"/>
        <w:rPr>
          <w:b/>
          <w:sz w:val="20"/>
          <w:szCs w:val="20"/>
        </w:rPr>
      </w:pPr>
      <w:r w:rsidRPr="0049056A">
        <w:rPr>
          <w:b/>
          <w:sz w:val="20"/>
          <w:szCs w:val="20"/>
        </w:rPr>
        <w:t>Appropri</w:t>
      </w:r>
      <w:r w:rsidR="00D96854" w:rsidRPr="0049056A">
        <w:rPr>
          <w:b/>
          <w:sz w:val="20"/>
          <w:szCs w:val="20"/>
        </w:rPr>
        <w:t>ation.</w:t>
      </w:r>
    </w:p>
    <w:p w14:paraId="7AD3593C" w14:textId="77777777" w:rsidR="0049056A" w:rsidRDefault="00C04E67" w:rsidP="0049056A">
      <w:pPr>
        <w:pStyle w:val="BodyText1"/>
        <w:tabs>
          <w:tab w:val="left" w:pos="630"/>
        </w:tabs>
        <w:spacing w:line="240" w:lineRule="auto"/>
        <w:ind w:firstLine="270"/>
        <w:rPr>
          <w:sz w:val="24"/>
          <w:szCs w:val="24"/>
        </w:rPr>
      </w:pPr>
      <w:r w:rsidRPr="00C04E67">
        <w:rPr>
          <w:b/>
          <w:sz w:val="24"/>
          <w:szCs w:val="24"/>
        </w:rPr>
        <w:t>9.</w:t>
      </w:r>
      <w:r w:rsidR="0049056A">
        <w:rPr>
          <w:b/>
          <w:sz w:val="24"/>
          <w:szCs w:val="24"/>
        </w:rPr>
        <w:tab/>
      </w:r>
      <w:r w:rsidR="00D96854" w:rsidRPr="001B18D3">
        <w:rPr>
          <w:sz w:val="24"/>
          <w:szCs w:val="24"/>
        </w:rPr>
        <w:t>The Consolidated Revenue F</w:t>
      </w:r>
      <w:r w:rsidR="0049056A">
        <w:rPr>
          <w:sz w:val="24"/>
          <w:szCs w:val="24"/>
        </w:rPr>
        <w:t>und and the Loan Fund are appro</w:t>
      </w:r>
      <w:r w:rsidR="00D96854" w:rsidRPr="001B18D3">
        <w:rPr>
          <w:sz w:val="24"/>
          <w:szCs w:val="24"/>
        </w:rPr>
        <w:t>priated as necessary for the purposes of this Act.</w:t>
      </w:r>
    </w:p>
    <w:p w14:paraId="19135CBE" w14:textId="5F82CD75" w:rsidR="0049056A" w:rsidRDefault="0049056A">
      <w:pPr>
        <w:rPr>
          <w:rFonts w:ascii="Times New Roman" w:eastAsia="Times New Roman" w:hAnsi="Times New Roman" w:cs="Times New Roman"/>
        </w:rPr>
      </w:pPr>
    </w:p>
    <w:p w14:paraId="16D9A7F0" w14:textId="77777777" w:rsidR="00FC5048" w:rsidRPr="001B18D3" w:rsidRDefault="0062358A" w:rsidP="00EC0C70">
      <w:pPr>
        <w:pStyle w:val="BodyText1"/>
        <w:tabs>
          <w:tab w:val="left" w:pos="630"/>
          <w:tab w:val="left" w:pos="8460"/>
        </w:tabs>
        <w:spacing w:after="60" w:line="240" w:lineRule="auto"/>
        <w:ind w:firstLine="4147"/>
        <w:jc w:val="center"/>
        <w:rPr>
          <w:sz w:val="24"/>
          <w:szCs w:val="24"/>
        </w:rPr>
      </w:pPr>
      <w:r w:rsidRPr="003552A4">
        <w:rPr>
          <w:sz w:val="28"/>
          <w:szCs w:val="28"/>
        </w:rPr>
        <w:t>SCHEDULE</w:t>
      </w:r>
      <w:r w:rsidRPr="00EC0C70">
        <w:rPr>
          <w:b/>
          <w:sz w:val="28"/>
          <w:szCs w:val="28"/>
        </w:rPr>
        <w:t xml:space="preserve"> </w:t>
      </w:r>
      <w:r w:rsidR="00EC0C70">
        <w:rPr>
          <w:sz w:val="24"/>
          <w:szCs w:val="24"/>
        </w:rPr>
        <w:tab/>
      </w:r>
      <w:r>
        <w:rPr>
          <w:sz w:val="24"/>
          <w:szCs w:val="24"/>
        </w:rPr>
        <w:t>Section</w:t>
      </w:r>
      <w:r w:rsidR="00EC0C70">
        <w:rPr>
          <w:sz w:val="24"/>
          <w:szCs w:val="24"/>
        </w:rPr>
        <w:t xml:space="preserve"> 3</w:t>
      </w:r>
    </w:p>
    <w:tbl>
      <w:tblPr>
        <w:tblOverlap w:val="never"/>
        <w:tblW w:w="9820" w:type="dxa"/>
        <w:tblLayout w:type="fixed"/>
        <w:tblCellMar>
          <w:left w:w="10" w:type="dxa"/>
          <w:right w:w="10" w:type="dxa"/>
        </w:tblCellMar>
        <w:tblLook w:val="0000" w:firstRow="0" w:lastRow="0" w:firstColumn="0" w:lastColumn="0" w:noHBand="0" w:noVBand="0"/>
      </w:tblPr>
      <w:tblGrid>
        <w:gridCol w:w="8380"/>
        <w:gridCol w:w="1440"/>
      </w:tblGrid>
      <w:tr w:rsidR="00EC0C70" w:rsidRPr="001B18D3" w14:paraId="79C29D5C" w14:textId="77777777" w:rsidTr="00EC0C70">
        <w:trPr>
          <w:trHeight w:val="413"/>
        </w:trPr>
        <w:tc>
          <w:tcPr>
            <w:tcW w:w="8380" w:type="dxa"/>
            <w:tcBorders>
              <w:top w:val="single" w:sz="4" w:space="0" w:color="auto"/>
            </w:tcBorders>
            <w:vAlign w:val="bottom"/>
          </w:tcPr>
          <w:p w14:paraId="370C5D88" w14:textId="77777777" w:rsidR="00EC0C70" w:rsidRPr="001B18D3" w:rsidRDefault="00EC0C70" w:rsidP="00EC0C70">
            <w:pPr>
              <w:pStyle w:val="BodyText1"/>
              <w:spacing w:line="240" w:lineRule="auto"/>
              <w:ind w:firstLine="0"/>
              <w:jc w:val="left"/>
              <w:rPr>
                <w:sz w:val="24"/>
                <w:szCs w:val="24"/>
              </w:rPr>
            </w:pPr>
            <w:r w:rsidRPr="001B18D3">
              <w:rPr>
                <w:rStyle w:val="Bodytext7pt"/>
                <w:sz w:val="24"/>
                <w:szCs w:val="24"/>
              </w:rPr>
              <w:t>Name of Bank</w:t>
            </w:r>
          </w:p>
        </w:tc>
        <w:tc>
          <w:tcPr>
            <w:tcW w:w="1440" w:type="dxa"/>
            <w:tcBorders>
              <w:top w:val="single" w:sz="4" w:space="0" w:color="auto"/>
              <w:left w:val="nil"/>
            </w:tcBorders>
            <w:vAlign w:val="bottom"/>
          </w:tcPr>
          <w:p w14:paraId="706CFED9" w14:textId="77777777" w:rsidR="00EC0C70" w:rsidRPr="001B18D3" w:rsidRDefault="00EC0C70" w:rsidP="00EC0C70">
            <w:pPr>
              <w:pStyle w:val="BodyText1"/>
              <w:spacing w:line="240" w:lineRule="auto"/>
              <w:ind w:firstLine="0"/>
              <w:jc w:val="right"/>
              <w:rPr>
                <w:rStyle w:val="Bodytext7pt"/>
                <w:sz w:val="24"/>
                <w:szCs w:val="24"/>
              </w:rPr>
            </w:pPr>
            <w:r w:rsidRPr="001B18D3">
              <w:rPr>
                <w:rStyle w:val="Bodytext7pt"/>
                <w:sz w:val="24"/>
                <w:szCs w:val="24"/>
              </w:rPr>
              <w:t>Amount of</w:t>
            </w:r>
          </w:p>
          <w:p w14:paraId="2079BFDF" w14:textId="77777777" w:rsidR="00EC0C70" w:rsidRPr="001B18D3" w:rsidRDefault="00EC0C70" w:rsidP="00EC0C70">
            <w:pPr>
              <w:pStyle w:val="BodyText1"/>
              <w:spacing w:line="240" w:lineRule="auto"/>
              <w:jc w:val="right"/>
              <w:rPr>
                <w:rStyle w:val="Bodytext7pt"/>
                <w:sz w:val="24"/>
                <w:szCs w:val="24"/>
              </w:rPr>
            </w:pPr>
            <w:r w:rsidRPr="001B18D3">
              <w:rPr>
                <w:rStyle w:val="Bodytext7pt"/>
                <w:sz w:val="24"/>
                <w:szCs w:val="24"/>
              </w:rPr>
              <w:t>Loan</w:t>
            </w:r>
          </w:p>
        </w:tc>
      </w:tr>
      <w:tr w:rsidR="00C34956" w:rsidRPr="001B18D3" w14:paraId="0D14B637" w14:textId="77777777" w:rsidTr="0062358A">
        <w:trPr>
          <w:trHeight w:val="235"/>
        </w:trPr>
        <w:tc>
          <w:tcPr>
            <w:tcW w:w="8380" w:type="dxa"/>
            <w:tcBorders>
              <w:top w:val="single" w:sz="4" w:space="0" w:color="auto"/>
            </w:tcBorders>
          </w:tcPr>
          <w:p w14:paraId="3A1BB9F9" w14:textId="77777777" w:rsidR="00C34956" w:rsidRPr="001B18D3" w:rsidRDefault="00C34956" w:rsidP="00C04E67">
            <w:pPr>
              <w:pStyle w:val="BodyText1"/>
              <w:spacing w:line="240" w:lineRule="auto"/>
              <w:ind w:firstLine="0"/>
              <w:rPr>
                <w:sz w:val="24"/>
                <w:szCs w:val="24"/>
              </w:rPr>
            </w:pPr>
          </w:p>
        </w:tc>
        <w:tc>
          <w:tcPr>
            <w:tcW w:w="1440" w:type="dxa"/>
            <w:tcBorders>
              <w:top w:val="single" w:sz="4" w:space="0" w:color="auto"/>
              <w:left w:val="nil"/>
            </w:tcBorders>
            <w:vAlign w:val="bottom"/>
          </w:tcPr>
          <w:p w14:paraId="54BA607E" w14:textId="77777777" w:rsidR="00C34956" w:rsidRPr="001B18D3" w:rsidRDefault="00C34956" w:rsidP="00C34956">
            <w:pPr>
              <w:pStyle w:val="BodyText1"/>
              <w:spacing w:line="240" w:lineRule="auto"/>
              <w:ind w:firstLine="0"/>
              <w:jc w:val="center"/>
              <w:rPr>
                <w:sz w:val="24"/>
                <w:szCs w:val="24"/>
              </w:rPr>
            </w:pPr>
            <w:r w:rsidRPr="001B18D3">
              <w:rPr>
                <w:rStyle w:val="Bodytext7pt"/>
                <w:sz w:val="24"/>
                <w:szCs w:val="24"/>
              </w:rPr>
              <w:t>$</w:t>
            </w:r>
          </w:p>
        </w:tc>
      </w:tr>
      <w:tr w:rsidR="00C34956" w:rsidRPr="001B18D3" w14:paraId="626125A6" w14:textId="77777777" w:rsidTr="0062358A">
        <w:trPr>
          <w:trHeight w:val="182"/>
        </w:trPr>
        <w:tc>
          <w:tcPr>
            <w:tcW w:w="8380" w:type="dxa"/>
            <w:vAlign w:val="bottom"/>
          </w:tcPr>
          <w:p w14:paraId="6E9F19CB"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Australia and N</w:t>
            </w:r>
            <w:r w:rsidR="0062358A">
              <w:rPr>
                <w:rStyle w:val="Bodytext7pt"/>
                <w:sz w:val="24"/>
                <w:szCs w:val="24"/>
              </w:rPr>
              <w:t>ew Zealand Savings Bank Limited</w:t>
            </w:r>
            <w:r w:rsidR="0062358A">
              <w:rPr>
                <w:rStyle w:val="Bodytext7pt"/>
                <w:sz w:val="24"/>
                <w:szCs w:val="24"/>
              </w:rPr>
              <w:tab/>
            </w:r>
          </w:p>
        </w:tc>
        <w:tc>
          <w:tcPr>
            <w:tcW w:w="1440" w:type="dxa"/>
            <w:tcBorders>
              <w:left w:val="nil"/>
            </w:tcBorders>
            <w:vAlign w:val="bottom"/>
          </w:tcPr>
          <w:p w14:paraId="68AD7B54" w14:textId="77777777" w:rsidR="00C34956" w:rsidRPr="0049056A" w:rsidRDefault="00C34956" w:rsidP="00C34956">
            <w:pPr>
              <w:pStyle w:val="BodyText1"/>
              <w:spacing w:line="240" w:lineRule="auto"/>
              <w:ind w:right="144" w:firstLine="0"/>
              <w:jc w:val="right"/>
              <w:rPr>
                <w:b/>
                <w:sz w:val="24"/>
                <w:szCs w:val="24"/>
              </w:rPr>
            </w:pPr>
            <w:r w:rsidRPr="001B18D3">
              <w:rPr>
                <w:rStyle w:val="Bodytext7pt"/>
                <w:sz w:val="24"/>
                <w:szCs w:val="24"/>
              </w:rPr>
              <w:t>13,700,000</w:t>
            </w:r>
          </w:p>
        </w:tc>
      </w:tr>
      <w:tr w:rsidR="00C34956" w:rsidRPr="001B18D3" w14:paraId="539D4169" w14:textId="77777777" w:rsidTr="0062358A">
        <w:trPr>
          <w:trHeight w:val="178"/>
        </w:trPr>
        <w:tc>
          <w:tcPr>
            <w:tcW w:w="8380" w:type="dxa"/>
            <w:vAlign w:val="bottom"/>
          </w:tcPr>
          <w:p w14:paraId="43EE2CDE"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Bank of</w:t>
            </w:r>
            <w:r w:rsidR="0062358A">
              <w:rPr>
                <w:rStyle w:val="Bodytext7pt"/>
                <w:sz w:val="24"/>
                <w:szCs w:val="24"/>
              </w:rPr>
              <w:t xml:space="preserve"> Adelaide Savings Bank Limited</w:t>
            </w:r>
            <w:r w:rsidR="0062358A">
              <w:rPr>
                <w:rStyle w:val="Bodytext7pt"/>
                <w:sz w:val="24"/>
                <w:szCs w:val="24"/>
              </w:rPr>
              <w:tab/>
            </w:r>
          </w:p>
        </w:tc>
        <w:tc>
          <w:tcPr>
            <w:tcW w:w="1440" w:type="dxa"/>
            <w:tcBorders>
              <w:left w:val="nil"/>
            </w:tcBorders>
            <w:vAlign w:val="bottom"/>
          </w:tcPr>
          <w:p w14:paraId="233C1924"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1,000,000</w:t>
            </w:r>
          </w:p>
        </w:tc>
      </w:tr>
      <w:tr w:rsidR="00C34956" w:rsidRPr="001B18D3" w14:paraId="61DF151B" w14:textId="77777777" w:rsidTr="0062358A">
        <w:trPr>
          <w:trHeight w:val="144"/>
        </w:trPr>
        <w:tc>
          <w:tcPr>
            <w:tcW w:w="8380" w:type="dxa"/>
            <w:vAlign w:val="bottom"/>
          </w:tcPr>
          <w:p w14:paraId="52E32FFC"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Bank of New S</w:t>
            </w:r>
            <w:r>
              <w:rPr>
                <w:rStyle w:val="Bodytext7pt"/>
                <w:sz w:val="24"/>
                <w:szCs w:val="24"/>
              </w:rPr>
              <w:t>outh Wales Savings Bank Limited</w:t>
            </w:r>
            <w:r w:rsidR="0062358A">
              <w:rPr>
                <w:rStyle w:val="Bodytext7pt"/>
                <w:sz w:val="24"/>
                <w:szCs w:val="24"/>
              </w:rPr>
              <w:tab/>
            </w:r>
          </w:p>
        </w:tc>
        <w:tc>
          <w:tcPr>
            <w:tcW w:w="1440" w:type="dxa"/>
            <w:tcBorders>
              <w:left w:val="nil"/>
            </w:tcBorders>
            <w:vAlign w:val="bottom"/>
          </w:tcPr>
          <w:p w14:paraId="70B4C464"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18,800,000</w:t>
            </w:r>
          </w:p>
        </w:tc>
      </w:tr>
      <w:tr w:rsidR="00C34956" w:rsidRPr="001B18D3" w14:paraId="34B72DF0" w14:textId="77777777" w:rsidTr="0062358A">
        <w:trPr>
          <w:trHeight w:val="154"/>
        </w:trPr>
        <w:tc>
          <w:tcPr>
            <w:tcW w:w="8380" w:type="dxa"/>
            <w:vAlign w:val="bottom"/>
          </w:tcPr>
          <w:p w14:paraId="4639927C"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Bank of Ne</w:t>
            </w:r>
            <w:r w:rsidR="0062358A">
              <w:rPr>
                <w:rStyle w:val="Bodytext7pt"/>
                <w:sz w:val="24"/>
                <w:szCs w:val="24"/>
              </w:rPr>
              <w:t>w Zealand Savings Bank Limited</w:t>
            </w:r>
            <w:r w:rsidR="0062358A">
              <w:rPr>
                <w:rStyle w:val="Bodytext7pt"/>
                <w:sz w:val="24"/>
                <w:szCs w:val="24"/>
              </w:rPr>
              <w:tab/>
            </w:r>
          </w:p>
        </w:tc>
        <w:tc>
          <w:tcPr>
            <w:tcW w:w="1440" w:type="dxa"/>
            <w:tcBorders>
              <w:left w:val="nil"/>
            </w:tcBorders>
            <w:vAlign w:val="bottom"/>
          </w:tcPr>
          <w:p w14:paraId="29B58B8B"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100,000</w:t>
            </w:r>
          </w:p>
        </w:tc>
      </w:tr>
      <w:tr w:rsidR="00C34956" w:rsidRPr="001B18D3" w14:paraId="7970CFF9" w14:textId="77777777" w:rsidTr="0062358A">
        <w:trPr>
          <w:trHeight w:val="158"/>
        </w:trPr>
        <w:tc>
          <w:tcPr>
            <w:tcW w:w="8380" w:type="dxa"/>
            <w:vAlign w:val="bottom"/>
          </w:tcPr>
          <w:p w14:paraId="726A0CE0" w14:textId="77777777" w:rsidR="00C34956" w:rsidRPr="001B18D3" w:rsidRDefault="0062358A" w:rsidP="0062358A">
            <w:pPr>
              <w:pStyle w:val="BodyText1"/>
              <w:tabs>
                <w:tab w:val="left" w:leader="dot" w:pos="8280"/>
              </w:tabs>
              <w:spacing w:line="240" w:lineRule="auto"/>
              <w:ind w:firstLine="0"/>
              <w:jc w:val="left"/>
              <w:rPr>
                <w:sz w:val="24"/>
                <w:szCs w:val="24"/>
              </w:rPr>
            </w:pPr>
            <w:r>
              <w:rPr>
                <w:rStyle w:val="Bodytext7pt"/>
                <w:sz w:val="24"/>
                <w:szCs w:val="24"/>
              </w:rPr>
              <w:t>Bank of Queensland Limited</w:t>
            </w:r>
            <w:r>
              <w:rPr>
                <w:rStyle w:val="Bodytext7pt"/>
                <w:sz w:val="24"/>
                <w:szCs w:val="24"/>
              </w:rPr>
              <w:tab/>
            </w:r>
          </w:p>
        </w:tc>
        <w:tc>
          <w:tcPr>
            <w:tcW w:w="1440" w:type="dxa"/>
            <w:tcBorders>
              <w:left w:val="nil"/>
            </w:tcBorders>
            <w:vAlign w:val="bottom"/>
          </w:tcPr>
          <w:p w14:paraId="697CF285"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200,000</w:t>
            </w:r>
          </w:p>
        </w:tc>
      </w:tr>
      <w:tr w:rsidR="00C34956" w:rsidRPr="001B18D3" w14:paraId="182CA729" w14:textId="77777777" w:rsidTr="0062358A">
        <w:trPr>
          <w:trHeight w:val="163"/>
        </w:trPr>
        <w:tc>
          <w:tcPr>
            <w:tcW w:w="8380" w:type="dxa"/>
            <w:vAlign w:val="bottom"/>
          </w:tcPr>
          <w:p w14:paraId="77E786BA" w14:textId="77777777" w:rsidR="00C34956" w:rsidRPr="001B18D3" w:rsidRDefault="0062358A" w:rsidP="0062358A">
            <w:pPr>
              <w:pStyle w:val="BodyText1"/>
              <w:tabs>
                <w:tab w:val="left" w:leader="dot" w:pos="8280"/>
              </w:tabs>
              <w:spacing w:line="240" w:lineRule="auto"/>
              <w:ind w:firstLine="0"/>
              <w:jc w:val="left"/>
              <w:rPr>
                <w:sz w:val="24"/>
                <w:szCs w:val="24"/>
              </w:rPr>
            </w:pPr>
            <w:r>
              <w:rPr>
                <w:rStyle w:val="Bodytext7pt"/>
                <w:sz w:val="24"/>
                <w:szCs w:val="24"/>
              </w:rPr>
              <w:t>C.B.C. Savings Bank Limited</w:t>
            </w:r>
            <w:r>
              <w:rPr>
                <w:rStyle w:val="Bodytext7pt"/>
                <w:sz w:val="24"/>
                <w:szCs w:val="24"/>
              </w:rPr>
              <w:tab/>
            </w:r>
          </w:p>
        </w:tc>
        <w:tc>
          <w:tcPr>
            <w:tcW w:w="1440" w:type="dxa"/>
            <w:tcBorders>
              <w:left w:val="nil"/>
            </w:tcBorders>
            <w:vAlign w:val="bottom"/>
          </w:tcPr>
          <w:p w14:paraId="082896C5"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6,100,000</w:t>
            </w:r>
          </w:p>
        </w:tc>
      </w:tr>
      <w:tr w:rsidR="00C34956" w:rsidRPr="001B18D3" w14:paraId="64EBFBD4" w14:textId="77777777" w:rsidTr="0062358A">
        <w:trPr>
          <w:trHeight w:val="154"/>
        </w:trPr>
        <w:tc>
          <w:tcPr>
            <w:tcW w:w="8380" w:type="dxa"/>
            <w:vAlign w:val="bottom"/>
          </w:tcPr>
          <w:p w14:paraId="04158E17"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Commercial Savings Bank of Australia Limited</w:t>
            </w:r>
            <w:r w:rsidR="0062358A">
              <w:rPr>
                <w:rStyle w:val="Bodytext7pt"/>
                <w:sz w:val="24"/>
                <w:szCs w:val="24"/>
              </w:rPr>
              <w:tab/>
            </w:r>
          </w:p>
        </w:tc>
        <w:tc>
          <w:tcPr>
            <w:tcW w:w="1440" w:type="dxa"/>
            <w:tcBorders>
              <w:left w:val="nil"/>
            </w:tcBorders>
            <w:vAlign w:val="bottom"/>
          </w:tcPr>
          <w:p w14:paraId="49F8B2B1"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5,100,000</w:t>
            </w:r>
          </w:p>
        </w:tc>
      </w:tr>
      <w:tr w:rsidR="00C34956" w:rsidRPr="001B18D3" w14:paraId="4C71B793" w14:textId="77777777" w:rsidTr="0062358A">
        <w:trPr>
          <w:trHeight w:val="192"/>
        </w:trPr>
        <w:tc>
          <w:tcPr>
            <w:tcW w:w="8380" w:type="dxa"/>
            <w:vAlign w:val="bottom"/>
          </w:tcPr>
          <w:p w14:paraId="4C28D173"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Commonw</w:t>
            </w:r>
            <w:r>
              <w:rPr>
                <w:rStyle w:val="Bodytext7pt"/>
                <w:sz w:val="24"/>
                <w:szCs w:val="24"/>
              </w:rPr>
              <w:t>ealth Savings Bank of Australia</w:t>
            </w:r>
            <w:r w:rsidR="0062358A">
              <w:rPr>
                <w:rStyle w:val="Bodytext7pt"/>
                <w:sz w:val="24"/>
                <w:szCs w:val="24"/>
              </w:rPr>
              <w:tab/>
            </w:r>
          </w:p>
        </w:tc>
        <w:tc>
          <w:tcPr>
            <w:tcW w:w="1440" w:type="dxa"/>
            <w:tcBorders>
              <w:left w:val="nil"/>
            </w:tcBorders>
            <w:vAlign w:val="bottom"/>
          </w:tcPr>
          <w:p w14:paraId="54F81606"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56,200,000</w:t>
            </w:r>
          </w:p>
        </w:tc>
      </w:tr>
      <w:tr w:rsidR="00C34956" w:rsidRPr="001B18D3" w14:paraId="6F55E842" w14:textId="77777777" w:rsidTr="0062358A">
        <w:trPr>
          <w:trHeight w:val="134"/>
        </w:trPr>
        <w:tc>
          <w:tcPr>
            <w:tcW w:w="8380" w:type="dxa"/>
            <w:vAlign w:val="bottom"/>
          </w:tcPr>
          <w:p w14:paraId="419C629C" w14:textId="77777777" w:rsidR="00C34956" w:rsidRPr="001B18D3" w:rsidRDefault="0062358A" w:rsidP="0062358A">
            <w:pPr>
              <w:pStyle w:val="BodyText1"/>
              <w:tabs>
                <w:tab w:val="left" w:leader="dot" w:pos="8280"/>
              </w:tabs>
              <w:spacing w:line="240" w:lineRule="auto"/>
              <w:ind w:firstLine="0"/>
              <w:jc w:val="left"/>
              <w:rPr>
                <w:sz w:val="24"/>
                <w:szCs w:val="24"/>
              </w:rPr>
            </w:pPr>
            <w:r>
              <w:rPr>
                <w:rStyle w:val="Bodytext7pt"/>
                <w:sz w:val="24"/>
                <w:szCs w:val="24"/>
              </w:rPr>
              <w:t>Launceston Bank for Savings</w:t>
            </w:r>
            <w:r>
              <w:rPr>
                <w:rStyle w:val="Bodytext7pt"/>
                <w:sz w:val="24"/>
                <w:szCs w:val="24"/>
              </w:rPr>
              <w:tab/>
            </w:r>
          </w:p>
        </w:tc>
        <w:tc>
          <w:tcPr>
            <w:tcW w:w="1440" w:type="dxa"/>
            <w:tcBorders>
              <w:left w:val="nil"/>
            </w:tcBorders>
            <w:vAlign w:val="bottom"/>
          </w:tcPr>
          <w:p w14:paraId="277FDD34"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1,100,000</w:t>
            </w:r>
          </w:p>
        </w:tc>
      </w:tr>
      <w:tr w:rsidR="00C34956" w:rsidRPr="001B18D3" w14:paraId="68F5F952" w14:textId="77777777" w:rsidTr="0062358A">
        <w:trPr>
          <w:trHeight w:val="144"/>
        </w:trPr>
        <w:tc>
          <w:tcPr>
            <w:tcW w:w="8380" w:type="dxa"/>
            <w:vAlign w:val="bottom"/>
          </w:tcPr>
          <w:p w14:paraId="4DBC1A0C"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Nati</w:t>
            </w:r>
            <w:r w:rsidR="0062358A">
              <w:rPr>
                <w:rStyle w:val="Bodytext7pt"/>
                <w:sz w:val="24"/>
                <w:szCs w:val="24"/>
              </w:rPr>
              <w:t>onal Bank Savings Bank Limited</w:t>
            </w:r>
            <w:r w:rsidR="0062358A">
              <w:rPr>
                <w:rStyle w:val="Bodytext7pt"/>
                <w:sz w:val="24"/>
                <w:szCs w:val="24"/>
              </w:rPr>
              <w:tab/>
            </w:r>
          </w:p>
        </w:tc>
        <w:tc>
          <w:tcPr>
            <w:tcW w:w="1440" w:type="dxa"/>
            <w:tcBorders>
              <w:left w:val="nil"/>
            </w:tcBorders>
            <w:vAlign w:val="bottom"/>
          </w:tcPr>
          <w:p w14:paraId="444011C1"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7,900,000</w:t>
            </w:r>
          </w:p>
        </w:tc>
      </w:tr>
      <w:tr w:rsidR="00C34956" w:rsidRPr="001B18D3" w14:paraId="503C3B9A" w14:textId="77777777" w:rsidTr="0062358A">
        <w:trPr>
          <w:trHeight w:val="163"/>
        </w:trPr>
        <w:tc>
          <w:tcPr>
            <w:tcW w:w="8380" w:type="dxa"/>
            <w:vAlign w:val="bottom"/>
          </w:tcPr>
          <w:p w14:paraId="3F6AA152" w14:textId="77777777" w:rsidR="00C34956" w:rsidRPr="001B18D3" w:rsidRDefault="0062358A" w:rsidP="0062358A">
            <w:pPr>
              <w:pStyle w:val="BodyText1"/>
              <w:tabs>
                <w:tab w:val="left" w:leader="dot" w:pos="8280"/>
              </w:tabs>
              <w:spacing w:line="240" w:lineRule="auto"/>
              <w:ind w:firstLine="0"/>
              <w:jc w:val="left"/>
              <w:rPr>
                <w:sz w:val="24"/>
                <w:szCs w:val="24"/>
              </w:rPr>
            </w:pPr>
            <w:r>
              <w:rPr>
                <w:rStyle w:val="Bodytext7pt"/>
                <w:sz w:val="24"/>
                <w:szCs w:val="24"/>
              </w:rPr>
              <w:t>Rural Bank of New South Wales</w:t>
            </w:r>
            <w:r>
              <w:rPr>
                <w:rStyle w:val="Bodytext7pt"/>
                <w:sz w:val="24"/>
                <w:szCs w:val="24"/>
              </w:rPr>
              <w:tab/>
            </w:r>
          </w:p>
        </w:tc>
        <w:tc>
          <w:tcPr>
            <w:tcW w:w="1440" w:type="dxa"/>
            <w:tcBorders>
              <w:left w:val="nil"/>
            </w:tcBorders>
            <w:vAlign w:val="bottom"/>
          </w:tcPr>
          <w:p w14:paraId="78BB9B28"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4,300,000</w:t>
            </w:r>
          </w:p>
        </w:tc>
      </w:tr>
      <w:tr w:rsidR="00C34956" w:rsidRPr="001B18D3" w14:paraId="362C3918" w14:textId="77777777" w:rsidTr="0062358A">
        <w:trPr>
          <w:trHeight w:val="144"/>
        </w:trPr>
        <w:tc>
          <w:tcPr>
            <w:tcW w:w="8380" w:type="dxa"/>
            <w:vAlign w:val="bottom"/>
          </w:tcPr>
          <w:p w14:paraId="31C75657"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Rural and Indust</w:t>
            </w:r>
            <w:r>
              <w:rPr>
                <w:rStyle w:val="Bodytext7pt"/>
                <w:sz w:val="24"/>
                <w:szCs w:val="24"/>
              </w:rPr>
              <w:t>ries Bank of Western Australia</w:t>
            </w:r>
            <w:r>
              <w:rPr>
                <w:rStyle w:val="Bodytext7pt"/>
                <w:sz w:val="24"/>
                <w:szCs w:val="24"/>
              </w:rPr>
              <w:tab/>
            </w:r>
          </w:p>
        </w:tc>
        <w:tc>
          <w:tcPr>
            <w:tcW w:w="1440" w:type="dxa"/>
            <w:tcBorders>
              <w:left w:val="nil"/>
            </w:tcBorders>
            <w:vAlign w:val="bottom"/>
          </w:tcPr>
          <w:p w14:paraId="474827D0"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1,900,000</w:t>
            </w:r>
          </w:p>
        </w:tc>
      </w:tr>
      <w:tr w:rsidR="00C34956" w:rsidRPr="001B18D3" w14:paraId="2253FD23" w14:textId="77777777" w:rsidTr="0062358A">
        <w:trPr>
          <w:trHeight w:val="173"/>
        </w:trPr>
        <w:tc>
          <w:tcPr>
            <w:tcW w:w="8380" w:type="dxa"/>
            <w:vAlign w:val="bottom"/>
          </w:tcPr>
          <w:p w14:paraId="59972216"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Savings Bank of South Australia</w:t>
            </w:r>
            <w:r w:rsidRPr="001B18D3">
              <w:rPr>
                <w:rStyle w:val="Bodytext7pt"/>
                <w:sz w:val="24"/>
                <w:szCs w:val="24"/>
              </w:rPr>
              <w:tab/>
              <w:t xml:space="preserve"> </w:t>
            </w:r>
          </w:p>
        </w:tc>
        <w:tc>
          <w:tcPr>
            <w:tcW w:w="1440" w:type="dxa"/>
            <w:tcBorders>
              <w:left w:val="nil"/>
            </w:tcBorders>
            <w:vAlign w:val="bottom"/>
          </w:tcPr>
          <w:p w14:paraId="16039411"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7,700,000</w:t>
            </w:r>
          </w:p>
        </w:tc>
      </w:tr>
      <w:tr w:rsidR="00C34956" w:rsidRPr="001B18D3" w14:paraId="5C618438" w14:textId="77777777" w:rsidTr="0062358A">
        <w:trPr>
          <w:trHeight w:val="331"/>
        </w:trPr>
        <w:tc>
          <w:tcPr>
            <w:tcW w:w="8380" w:type="dxa"/>
            <w:vAlign w:val="bottom"/>
          </w:tcPr>
          <w:p w14:paraId="0B22DA98" w14:textId="77777777" w:rsidR="00C34956" w:rsidRPr="001B18D3" w:rsidRDefault="00C34956" w:rsidP="0062358A">
            <w:pPr>
              <w:pStyle w:val="BodyText1"/>
              <w:tabs>
                <w:tab w:val="left" w:leader="dot" w:pos="8280"/>
              </w:tabs>
              <w:spacing w:line="240" w:lineRule="auto"/>
              <w:ind w:firstLine="0"/>
              <w:jc w:val="left"/>
              <w:rPr>
                <w:sz w:val="24"/>
                <w:szCs w:val="24"/>
              </w:rPr>
            </w:pPr>
            <w:r w:rsidRPr="001B18D3">
              <w:rPr>
                <w:rStyle w:val="Bodytext7pt"/>
                <w:sz w:val="24"/>
                <w:szCs w:val="24"/>
              </w:rPr>
              <w:t>The Hobart Savings Bank (carrying on business under the name “</w:t>
            </w:r>
            <w:r w:rsidR="0062358A">
              <w:rPr>
                <w:rStyle w:val="Bodytext7pt"/>
                <w:sz w:val="24"/>
                <w:szCs w:val="24"/>
              </w:rPr>
              <w:t>The Savings Bank of Tasmania”)</w:t>
            </w:r>
            <w:r w:rsidR="0062358A">
              <w:rPr>
                <w:rStyle w:val="Bodytext7pt"/>
                <w:sz w:val="24"/>
                <w:szCs w:val="24"/>
              </w:rPr>
              <w:tab/>
            </w:r>
          </w:p>
        </w:tc>
        <w:tc>
          <w:tcPr>
            <w:tcW w:w="1440" w:type="dxa"/>
            <w:tcBorders>
              <w:left w:val="nil"/>
            </w:tcBorders>
            <w:vAlign w:val="bottom"/>
          </w:tcPr>
          <w:p w14:paraId="5328B982"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1,100,000</w:t>
            </w:r>
          </w:p>
        </w:tc>
      </w:tr>
      <w:tr w:rsidR="00C34956" w:rsidRPr="001B18D3" w14:paraId="6EB4C61D" w14:textId="77777777" w:rsidTr="0062358A">
        <w:trPr>
          <w:trHeight w:val="216"/>
        </w:trPr>
        <w:tc>
          <w:tcPr>
            <w:tcW w:w="8380" w:type="dxa"/>
            <w:vAlign w:val="bottom"/>
          </w:tcPr>
          <w:p w14:paraId="241A49F0" w14:textId="77777777" w:rsidR="00C34956" w:rsidRPr="0062358A" w:rsidRDefault="00C34956" w:rsidP="0062358A">
            <w:pPr>
              <w:pStyle w:val="BodyText1"/>
              <w:tabs>
                <w:tab w:val="left" w:leader="dot" w:pos="8280"/>
              </w:tabs>
              <w:spacing w:line="240" w:lineRule="auto"/>
              <w:ind w:firstLine="0"/>
              <w:jc w:val="left"/>
              <w:rPr>
                <w:b/>
                <w:sz w:val="24"/>
                <w:szCs w:val="24"/>
              </w:rPr>
            </w:pPr>
            <w:r w:rsidRPr="001B18D3">
              <w:rPr>
                <w:rStyle w:val="Bodytext7pt"/>
                <w:sz w:val="24"/>
                <w:szCs w:val="24"/>
              </w:rPr>
              <w:t>The</w:t>
            </w:r>
            <w:r>
              <w:rPr>
                <w:rStyle w:val="Bodytext7pt"/>
                <w:sz w:val="24"/>
                <w:szCs w:val="24"/>
              </w:rPr>
              <w:t xml:space="preserve"> State Savings Bank of Victoria</w:t>
            </w:r>
            <w:r w:rsidR="0062358A">
              <w:rPr>
                <w:rStyle w:val="Bodytext7pt"/>
                <w:sz w:val="24"/>
                <w:szCs w:val="24"/>
              </w:rPr>
              <w:tab/>
            </w:r>
          </w:p>
        </w:tc>
        <w:tc>
          <w:tcPr>
            <w:tcW w:w="1440" w:type="dxa"/>
            <w:tcBorders>
              <w:left w:val="nil"/>
              <w:bottom w:val="single" w:sz="4" w:space="0" w:color="auto"/>
            </w:tcBorders>
            <w:vAlign w:val="bottom"/>
          </w:tcPr>
          <w:p w14:paraId="1F933DC1"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24,800,000</w:t>
            </w:r>
          </w:p>
        </w:tc>
      </w:tr>
      <w:tr w:rsidR="00C34956" w:rsidRPr="001B18D3" w14:paraId="380CA7BB" w14:textId="77777777" w:rsidTr="0062358A">
        <w:trPr>
          <w:trHeight w:val="89"/>
        </w:trPr>
        <w:tc>
          <w:tcPr>
            <w:tcW w:w="8380" w:type="dxa"/>
            <w:tcBorders>
              <w:bottom w:val="single" w:sz="4" w:space="0" w:color="auto"/>
            </w:tcBorders>
            <w:vAlign w:val="bottom"/>
          </w:tcPr>
          <w:p w14:paraId="28213ECC" w14:textId="77777777" w:rsidR="00C34956" w:rsidRPr="001B18D3" w:rsidRDefault="00C34956" w:rsidP="00C34956">
            <w:pPr>
              <w:pStyle w:val="BodyText1"/>
              <w:spacing w:line="240" w:lineRule="auto"/>
              <w:ind w:firstLine="0"/>
              <w:jc w:val="left"/>
              <w:rPr>
                <w:sz w:val="24"/>
                <w:szCs w:val="24"/>
              </w:rPr>
            </w:pPr>
          </w:p>
        </w:tc>
        <w:tc>
          <w:tcPr>
            <w:tcW w:w="1440" w:type="dxa"/>
            <w:tcBorders>
              <w:top w:val="single" w:sz="4" w:space="0" w:color="auto"/>
              <w:left w:val="nil"/>
              <w:bottom w:val="single" w:sz="4" w:space="0" w:color="auto"/>
            </w:tcBorders>
            <w:vAlign w:val="bottom"/>
          </w:tcPr>
          <w:p w14:paraId="1E72E01E" w14:textId="77777777" w:rsidR="00C34956" w:rsidRPr="001B18D3" w:rsidRDefault="00C34956" w:rsidP="00C34956">
            <w:pPr>
              <w:pStyle w:val="BodyText1"/>
              <w:spacing w:line="240" w:lineRule="auto"/>
              <w:ind w:right="144" w:firstLine="0"/>
              <w:jc w:val="right"/>
              <w:rPr>
                <w:sz w:val="24"/>
                <w:szCs w:val="24"/>
              </w:rPr>
            </w:pPr>
            <w:r w:rsidRPr="001B18D3">
              <w:rPr>
                <w:rStyle w:val="Bodytext7pt"/>
                <w:sz w:val="24"/>
                <w:szCs w:val="24"/>
              </w:rPr>
              <w:t>150,000,000</w:t>
            </w:r>
          </w:p>
        </w:tc>
      </w:tr>
    </w:tbl>
    <w:p w14:paraId="588B79B0" w14:textId="77777777" w:rsidR="0062358A" w:rsidRDefault="0062358A" w:rsidP="0062358A">
      <w:pPr>
        <w:pStyle w:val="Bodytext50"/>
        <w:pBdr>
          <w:bottom w:val="single" w:sz="12" w:space="1" w:color="auto"/>
        </w:pBdr>
        <w:spacing w:line="240" w:lineRule="auto"/>
        <w:jc w:val="both"/>
        <w:rPr>
          <w:sz w:val="24"/>
          <w:szCs w:val="24"/>
        </w:rPr>
      </w:pPr>
    </w:p>
    <w:sectPr w:rsidR="0062358A" w:rsidSect="00206406">
      <w:headerReference w:type="even" r:id="rId7"/>
      <w:headerReference w:type="default" r:id="rId8"/>
      <w:pgSz w:w="11909" w:h="18000"/>
      <w:pgMar w:top="1080" w:right="1080" w:bottom="1080" w:left="108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95EF8" w14:textId="77777777" w:rsidR="007D6A05" w:rsidRDefault="007D6A05">
      <w:r>
        <w:separator/>
      </w:r>
    </w:p>
  </w:endnote>
  <w:endnote w:type="continuationSeparator" w:id="0">
    <w:p w14:paraId="1B50329F" w14:textId="77777777" w:rsidR="007D6A05" w:rsidRDefault="007D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CB1BC" w14:textId="77777777" w:rsidR="007D6A05" w:rsidRDefault="007D6A05"/>
  </w:footnote>
  <w:footnote w:type="continuationSeparator" w:id="0">
    <w:p w14:paraId="504B98C1" w14:textId="77777777" w:rsidR="007D6A05" w:rsidRDefault="007D6A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A206" w14:textId="77777777" w:rsidR="00206406" w:rsidRPr="00206406" w:rsidRDefault="00206406" w:rsidP="00206406">
    <w:pPr>
      <w:pStyle w:val="Header"/>
      <w:tabs>
        <w:tab w:val="clear" w:pos="4680"/>
        <w:tab w:val="clear" w:pos="9360"/>
        <w:tab w:val="center" w:pos="5040"/>
        <w:tab w:val="right" w:pos="9720"/>
      </w:tabs>
      <w:rPr>
        <w:rFonts w:ascii="Times New Roman" w:hAnsi="Times New Roman" w:cs="Times New Roman"/>
        <w:sz w:val="22"/>
        <w:szCs w:val="22"/>
        <w:lang w:val="en-IN"/>
      </w:rPr>
    </w:pPr>
    <w:r w:rsidRPr="00206406">
      <w:rPr>
        <w:rFonts w:ascii="Times New Roman" w:hAnsi="Times New Roman" w:cs="Times New Roman"/>
        <w:sz w:val="22"/>
        <w:szCs w:val="22"/>
        <w:lang w:val="en-IN"/>
      </w:rPr>
      <w:t>No. 143</w:t>
    </w:r>
    <w:r>
      <w:rPr>
        <w:rFonts w:ascii="Times New Roman" w:hAnsi="Times New Roman" w:cs="Times New Roman"/>
        <w:sz w:val="22"/>
        <w:szCs w:val="22"/>
        <w:lang w:val="en-IN"/>
      </w:rPr>
      <w:tab/>
    </w:r>
    <w:r w:rsidRPr="00206406">
      <w:rPr>
        <w:rFonts w:ascii="Times New Roman" w:hAnsi="Times New Roman" w:cs="Times New Roman"/>
        <w:i/>
        <w:sz w:val="22"/>
        <w:szCs w:val="22"/>
        <w:lang w:val="en-IN"/>
      </w:rPr>
      <w:t>Banks (Housing Loans)</w:t>
    </w:r>
    <w:r>
      <w:rPr>
        <w:rFonts w:ascii="Times New Roman" w:hAnsi="Times New Roman" w:cs="Times New Roman"/>
        <w:sz w:val="22"/>
        <w:szCs w:val="22"/>
        <w:lang w:val="en-IN"/>
      </w:rPr>
      <w:tab/>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90F1" w14:textId="77777777" w:rsidR="00206406" w:rsidRPr="00206406" w:rsidRDefault="00206406" w:rsidP="00206406">
    <w:pPr>
      <w:pStyle w:val="Header"/>
      <w:tabs>
        <w:tab w:val="clear" w:pos="4680"/>
        <w:tab w:val="clear" w:pos="9360"/>
        <w:tab w:val="center" w:pos="5040"/>
        <w:tab w:val="right" w:pos="9720"/>
      </w:tabs>
      <w:rPr>
        <w:rFonts w:ascii="Times New Roman" w:hAnsi="Times New Roman" w:cs="Times New Roman"/>
        <w:sz w:val="22"/>
        <w:szCs w:val="22"/>
        <w:lang w:val="en-IN"/>
      </w:rPr>
    </w:pPr>
    <w:r w:rsidRPr="00206406">
      <w:rPr>
        <w:rFonts w:ascii="Times New Roman" w:hAnsi="Times New Roman" w:cs="Times New Roman"/>
        <w:sz w:val="22"/>
        <w:szCs w:val="22"/>
        <w:lang w:val="en-IN"/>
      </w:rPr>
      <w:t>1974</w:t>
    </w:r>
    <w:r>
      <w:rPr>
        <w:rFonts w:ascii="Times New Roman" w:hAnsi="Times New Roman" w:cs="Times New Roman"/>
        <w:sz w:val="22"/>
        <w:szCs w:val="22"/>
        <w:lang w:val="en-IN"/>
      </w:rPr>
      <w:tab/>
    </w:r>
    <w:r w:rsidRPr="00206406">
      <w:rPr>
        <w:rFonts w:ascii="Times New Roman" w:hAnsi="Times New Roman" w:cs="Times New Roman"/>
        <w:i/>
        <w:sz w:val="22"/>
        <w:szCs w:val="22"/>
        <w:lang w:val="en-IN"/>
      </w:rPr>
      <w:t>Banks (Housing Loans)</w:t>
    </w:r>
    <w:r>
      <w:rPr>
        <w:rFonts w:ascii="Times New Roman" w:hAnsi="Times New Roman" w:cs="Times New Roman"/>
        <w:sz w:val="22"/>
        <w:szCs w:val="22"/>
        <w:lang w:val="en-IN"/>
      </w:rPr>
      <w:tab/>
    </w:r>
    <w:r w:rsidRPr="00206406">
      <w:rPr>
        <w:rFonts w:ascii="Times New Roman" w:hAnsi="Times New Roman" w:cs="Times New Roman"/>
        <w:sz w:val="22"/>
        <w:szCs w:val="22"/>
        <w:lang w:val="en-IN"/>
      </w:rPr>
      <w:t>No. 143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5AAC"/>
    <w:multiLevelType w:val="multilevel"/>
    <w:tmpl w:val="88163D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950907"/>
    <w:multiLevelType w:val="multilevel"/>
    <w:tmpl w:val="F6F4B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4B29CA"/>
    <w:multiLevelType w:val="multilevel"/>
    <w:tmpl w:val="E9D67D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4C7208"/>
    <w:multiLevelType w:val="multilevel"/>
    <w:tmpl w:val="BDAA9B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C27B2F"/>
    <w:multiLevelType w:val="multilevel"/>
    <w:tmpl w:val="3DE61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2"/>
  </w:compat>
  <w:rsids>
    <w:rsidRoot w:val="00FC5048"/>
    <w:rsid w:val="001B18D3"/>
    <w:rsid w:val="00206406"/>
    <w:rsid w:val="003552A4"/>
    <w:rsid w:val="003D5C34"/>
    <w:rsid w:val="0049056A"/>
    <w:rsid w:val="0062358A"/>
    <w:rsid w:val="007D6A05"/>
    <w:rsid w:val="00C04E67"/>
    <w:rsid w:val="00C34956"/>
    <w:rsid w:val="00D96854"/>
    <w:rsid w:val="00DA4B7C"/>
    <w:rsid w:val="00EC0C70"/>
    <w:rsid w:val="00EF10BA"/>
    <w:rsid w:val="00FC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C12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1115pt">
    <w:name w:val="Heading #1 + 11.5 pt"/>
    <w:basedOn w:val="Heading1"/>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11pt">
    <w:name w:val="Header or footer + 11 pt"/>
    <w:aliases w:val="Not 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erorfooter8pt">
    <w:name w:val="Header or footer + 8 pt"/>
    <w:aliases w:val="Not Bold,Not Italic1"/>
    <w:basedOn w:val="Headerorfooter"/>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9"/>
      <w:szCs w:val="19"/>
      <w:u w:val="none"/>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BodyText1">
    <w:name w:val="Body Text1"/>
    <w:basedOn w:val="Normal"/>
    <w:link w:val="Bodytext"/>
    <w:pPr>
      <w:spacing w:line="240" w:lineRule="exact"/>
      <w:ind w:hanging="380"/>
      <w:jc w:val="both"/>
    </w:pPr>
    <w:rPr>
      <w:rFonts w:ascii="Times New Roman" w:eastAsia="Times New Roman" w:hAnsi="Times New Roman" w:cs="Times New Roman"/>
      <w:sz w:val="21"/>
      <w:szCs w:val="21"/>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b/>
      <w:bCs/>
      <w:i/>
      <w:iCs/>
      <w:sz w:val="20"/>
      <w:szCs w:val="20"/>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sz w:val="19"/>
      <w:szCs w:val="19"/>
    </w:rPr>
  </w:style>
  <w:style w:type="paragraph" w:styleId="Footer">
    <w:name w:val="footer"/>
    <w:basedOn w:val="Normal"/>
    <w:link w:val="FooterChar"/>
    <w:uiPriority w:val="99"/>
    <w:unhideWhenUsed/>
    <w:rsid w:val="00C04E67"/>
    <w:pPr>
      <w:tabs>
        <w:tab w:val="center" w:pos="4680"/>
        <w:tab w:val="right" w:pos="9360"/>
      </w:tabs>
    </w:pPr>
  </w:style>
  <w:style w:type="character" w:customStyle="1" w:styleId="FooterChar">
    <w:name w:val="Footer Char"/>
    <w:basedOn w:val="DefaultParagraphFont"/>
    <w:link w:val="Footer"/>
    <w:uiPriority w:val="99"/>
    <w:rsid w:val="00C04E67"/>
    <w:rPr>
      <w:color w:val="000000"/>
    </w:rPr>
  </w:style>
  <w:style w:type="paragraph" w:styleId="Header">
    <w:name w:val="header"/>
    <w:basedOn w:val="Normal"/>
    <w:link w:val="HeaderChar"/>
    <w:uiPriority w:val="99"/>
    <w:unhideWhenUsed/>
    <w:rsid w:val="00C04E67"/>
    <w:pPr>
      <w:tabs>
        <w:tab w:val="center" w:pos="4680"/>
        <w:tab w:val="right" w:pos="9360"/>
      </w:tabs>
    </w:pPr>
  </w:style>
  <w:style w:type="character" w:customStyle="1" w:styleId="HeaderChar">
    <w:name w:val="Header Char"/>
    <w:basedOn w:val="DefaultParagraphFont"/>
    <w:link w:val="Header"/>
    <w:uiPriority w:val="99"/>
    <w:rsid w:val="00C04E67"/>
    <w:rPr>
      <w:color w:val="000000"/>
    </w:rPr>
  </w:style>
  <w:style w:type="character" w:styleId="CommentReference">
    <w:name w:val="annotation reference"/>
    <w:basedOn w:val="DefaultParagraphFont"/>
    <w:uiPriority w:val="99"/>
    <w:semiHidden/>
    <w:unhideWhenUsed/>
    <w:rsid w:val="00DA4B7C"/>
    <w:rPr>
      <w:sz w:val="16"/>
      <w:szCs w:val="16"/>
    </w:rPr>
  </w:style>
  <w:style w:type="paragraph" w:styleId="CommentText">
    <w:name w:val="annotation text"/>
    <w:basedOn w:val="Normal"/>
    <w:link w:val="CommentTextChar"/>
    <w:uiPriority w:val="99"/>
    <w:semiHidden/>
    <w:unhideWhenUsed/>
    <w:rsid w:val="00DA4B7C"/>
    <w:rPr>
      <w:sz w:val="20"/>
      <w:szCs w:val="20"/>
    </w:rPr>
  </w:style>
  <w:style w:type="character" w:customStyle="1" w:styleId="CommentTextChar">
    <w:name w:val="Comment Text Char"/>
    <w:basedOn w:val="DefaultParagraphFont"/>
    <w:link w:val="CommentText"/>
    <w:uiPriority w:val="99"/>
    <w:semiHidden/>
    <w:rsid w:val="00DA4B7C"/>
    <w:rPr>
      <w:color w:val="000000"/>
      <w:sz w:val="20"/>
      <w:szCs w:val="20"/>
    </w:rPr>
  </w:style>
  <w:style w:type="paragraph" w:styleId="CommentSubject">
    <w:name w:val="annotation subject"/>
    <w:basedOn w:val="CommentText"/>
    <w:next w:val="CommentText"/>
    <w:link w:val="CommentSubjectChar"/>
    <w:uiPriority w:val="99"/>
    <w:semiHidden/>
    <w:unhideWhenUsed/>
    <w:rsid w:val="00DA4B7C"/>
    <w:rPr>
      <w:b/>
      <w:bCs/>
    </w:rPr>
  </w:style>
  <w:style w:type="character" w:customStyle="1" w:styleId="CommentSubjectChar">
    <w:name w:val="Comment Subject Char"/>
    <w:basedOn w:val="CommentTextChar"/>
    <w:link w:val="CommentSubject"/>
    <w:uiPriority w:val="99"/>
    <w:semiHidden/>
    <w:rsid w:val="00DA4B7C"/>
    <w:rPr>
      <w:b/>
      <w:bCs/>
      <w:color w:val="000000"/>
      <w:sz w:val="20"/>
      <w:szCs w:val="20"/>
    </w:rPr>
  </w:style>
  <w:style w:type="paragraph" w:styleId="BalloonText">
    <w:name w:val="Balloon Text"/>
    <w:basedOn w:val="Normal"/>
    <w:link w:val="BalloonTextChar"/>
    <w:uiPriority w:val="99"/>
    <w:semiHidden/>
    <w:unhideWhenUsed/>
    <w:rsid w:val="00DA4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B7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2018-09-19T21:18:00Z</dcterms:created>
  <dcterms:modified xsi:type="dcterms:W3CDTF">2019-07-04T21:31:00Z</dcterms:modified>
</cp:coreProperties>
</file>