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BC16D" w14:textId="77777777" w:rsidR="004225DB" w:rsidRPr="004225DB" w:rsidRDefault="00EC76EB" w:rsidP="004225DB">
      <w:pPr>
        <w:spacing w:after="160"/>
        <w:jc w:val="center"/>
        <w:rPr>
          <w:rFonts w:ascii="Times New Roman" w:hAnsi="Times New Roman" w:cs="Times New Roman"/>
          <w:b/>
          <w:sz w:val="32"/>
        </w:rPr>
      </w:pPr>
      <w:bookmarkStart w:id="0" w:name="bookmark0"/>
      <w:r w:rsidRPr="004225DB">
        <w:rPr>
          <w:rFonts w:ascii="Times New Roman" w:hAnsi="Times New Roman" w:cs="Times New Roman"/>
          <w:b/>
          <w:sz w:val="32"/>
        </w:rPr>
        <w:t>AI</w:t>
      </w:r>
      <w:r w:rsidR="004225DB" w:rsidRPr="004225DB">
        <w:rPr>
          <w:rFonts w:ascii="Times New Roman" w:hAnsi="Times New Roman" w:cs="Times New Roman"/>
          <w:b/>
          <w:sz w:val="32"/>
        </w:rPr>
        <w:t>R NAVIGATION (CHARGES) ACT 1974</w:t>
      </w:r>
    </w:p>
    <w:p w14:paraId="19D8453F" w14:textId="77777777" w:rsidR="00922A2D" w:rsidRDefault="00EC76EB" w:rsidP="004225DB">
      <w:pPr>
        <w:spacing w:after="160"/>
        <w:jc w:val="center"/>
        <w:rPr>
          <w:rFonts w:ascii="Times New Roman" w:hAnsi="Times New Roman" w:cs="Times New Roman"/>
          <w:b/>
          <w:sz w:val="28"/>
        </w:rPr>
      </w:pPr>
      <w:r w:rsidRPr="004225DB">
        <w:rPr>
          <w:rFonts w:ascii="Times New Roman" w:hAnsi="Times New Roman" w:cs="Times New Roman"/>
          <w:b/>
          <w:sz w:val="28"/>
        </w:rPr>
        <w:t>No. 114</w:t>
      </w:r>
      <w:r w:rsidR="00387285">
        <w:rPr>
          <w:rFonts w:ascii="Times New Roman" w:hAnsi="Times New Roman" w:cs="Times New Roman"/>
          <w:b/>
          <w:sz w:val="28"/>
        </w:rPr>
        <w:t xml:space="preserve"> </w:t>
      </w:r>
      <w:r w:rsidRPr="004225DB">
        <w:rPr>
          <w:rFonts w:ascii="Times New Roman" w:hAnsi="Times New Roman" w:cs="Times New Roman"/>
          <w:b/>
          <w:sz w:val="28"/>
        </w:rPr>
        <w:t>of 1974</w:t>
      </w:r>
      <w:bookmarkEnd w:id="0"/>
    </w:p>
    <w:p w14:paraId="18E542C7" w14:textId="77777777" w:rsidR="004225DB" w:rsidRPr="004225DB" w:rsidRDefault="004225DB" w:rsidP="004225DB">
      <w:pPr>
        <w:spacing w:after="160"/>
        <w:jc w:val="center"/>
        <w:rPr>
          <w:rFonts w:ascii="Times New Roman" w:hAnsi="Times New Roman" w:cs="Times New Roman"/>
          <w:b/>
          <w:sz w:val="28"/>
        </w:rPr>
      </w:pPr>
    </w:p>
    <w:p w14:paraId="2E3F8B4F" w14:textId="77777777" w:rsidR="00922A2D" w:rsidRDefault="00EC76EB" w:rsidP="004225DB">
      <w:pPr>
        <w:rPr>
          <w:rFonts w:ascii="Times New Roman" w:hAnsi="Times New Roman" w:cs="Times New Roman"/>
        </w:rPr>
      </w:pPr>
      <w:r w:rsidRPr="004225DB">
        <w:rPr>
          <w:rFonts w:ascii="Times New Roman" w:hAnsi="Times New Roman" w:cs="Times New Roman"/>
        </w:rPr>
        <w:t xml:space="preserve">An Act to amend the </w:t>
      </w:r>
      <w:r w:rsidRPr="0045355C">
        <w:rPr>
          <w:rFonts w:ascii="Times New Roman" w:hAnsi="Times New Roman" w:cs="Times New Roman"/>
          <w:i/>
        </w:rPr>
        <w:t xml:space="preserve">Air Navigation </w:t>
      </w:r>
      <w:r w:rsidRPr="004225DB">
        <w:rPr>
          <w:rFonts w:ascii="Times New Roman" w:hAnsi="Times New Roman" w:cs="Times New Roman"/>
        </w:rPr>
        <w:t>(</w:t>
      </w:r>
      <w:r w:rsidRPr="0045355C">
        <w:rPr>
          <w:rFonts w:ascii="Times New Roman" w:hAnsi="Times New Roman" w:cs="Times New Roman"/>
          <w:i/>
        </w:rPr>
        <w:t>Charges</w:t>
      </w:r>
      <w:r w:rsidRPr="004225DB">
        <w:rPr>
          <w:rFonts w:ascii="Times New Roman" w:hAnsi="Times New Roman" w:cs="Times New Roman"/>
        </w:rPr>
        <w:t xml:space="preserve">) </w:t>
      </w:r>
      <w:r w:rsidRPr="0045355C">
        <w:rPr>
          <w:rFonts w:ascii="Times New Roman" w:hAnsi="Times New Roman" w:cs="Times New Roman"/>
          <w:i/>
        </w:rPr>
        <w:t>Act</w:t>
      </w:r>
      <w:r w:rsidRPr="004225DB">
        <w:rPr>
          <w:rFonts w:ascii="Times New Roman" w:hAnsi="Times New Roman" w:cs="Times New Roman"/>
        </w:rPr>
        <w:t xml:space="preserve"> 1952-1973, and for purposes connected therewith.</w:t>
      </w:r>
    </w:p>
    <w:p w14:paraId="0A5B02B7" w14:textId="77777777" w:rsidR="004225DB" w:rsidRPr="004225DB" w:rsidRDefault="004225DB" w:rsidP="004225DB">
      <w:pPr>
        <w:rPr>
          <w:rFonts w:ascii="Times New Roman" w:hAnsi="Times New Roman" w:cs="Times New Roman"/>
        </w:rPr>
      </w:pPr>
    </w:p>
    <w:p w14:paraId="6083E1AC" w14:textId="77777777" w:rsidR="00922A2D" w:rsidRPr="004225DB" w:rsidRDefault="00EC76EB" w:rsidP="004225DB">
      <w:pPr>
        <w:ind w:firstLine="270"/>
        <w:rPr>
          <w:rFonts w:ascii="Times New Roman" w:hAnsi="Times New Roman" w:cs="Times New Roman"/>
        </w:rPr>
      </w:pPr>
      <w:r w:rsidRPr="004225DB">
        <w:rPr>
          <w:rFonts w:ascii="Times New Roman" w:hAnsi="Times New Roman" w:cs="Times New Roman"/>
        </w:rPr>
        <w:t>BE IT ENACTED by the Queen, the Senate and the House of Representatives of Australia, as follows:—</w:t>
      </w:r>
    </w:p>
    <w:p w14:paraId="3E75705B" w14:textId="77777777" w:rsidR="00922A2D" w:rsidRPr="004225DB" w:rsidRDefault="00EC76EB" w:rsidP="004225DB">
      <w:pPr>
        <w:spacing w:before="120" w:after="60"/>
        <w:rPr>
          <w:rFonts w:ascii="Times New Roman" w:hAnsi="Times New Roman" w:cs="Times New Roman"/>
          <w:b/>
          <w:sz w:val="20"/>
        </w:rPr>
      </w:pPr>
      <w:r w:rsidRPr="004225DB">
        <w:rPr>
          <w:rFonts w:ascii="Times New Roman" w:hAnsi="Times New Roman" w:cs="Times New Roman"/>
          <w:b/>
          <w:sz w:val="20"/>
        </w:rPr>
        <w:t>Short title and citation.</w:t>
      </w:r>
    </w:p>
    <w:p w14:paraId="3A6429FA" w14:textId="0EB4EDB7" w:rsidR="00922A2D" w:rsidRPr="004225DB" w:rsidRDefault="004225DB" w:rsidP="004225DB">
      <w:pPr>
        <w:spacing w:after="160"/>
        <w:ind w:firstLine="270"/>
        <w:rPr>
          <w:rFonts w:ascii="Times New Roman" w:hAnsi="Times New Roman" w:cs="Times New Roman"/>
        </w:rPr>
      </w:pPr>
      <w:r>
        <w:rPr>
          <w:rFonts w:ascii="Times New Roman" w:hAnsi="Times New Roman" w:cs="Times New Roman"/>
        </w:rPr>
        <w:t xml:space="preserve">1. </w:t>
      </w:r>
      <w:r w:rsidR="00EC76EB" w:rsidRPr="004225DB">
        <w:rPr>
          <w:rFonts w:ascii="Times New Roman" w:hAnsi="Times New Roman" w:cs="Times New Roman"/>
        </w:rPr>
        <w:t>(1)</w:t>
      </w:r>
      <w:r>
        <w:rPr>
          <w:rFonts w:ascii="Times New Roman" w:hAnsi="Times New Roman" w:cs="Times New Roman"/>
        </w:rPr>
        <w:t xml:space="preserve"> </w:t>
      </w:r>
      <w:r w:rsidR="00EC76EB" w:rsidRPr="004225DB">
        <w:rPr>
          <w:rFonts w:ascii="Times New Roman" w:hAnsi="Times New Roman" w:cs="Times New Roman"/>
        </w:rPr>
        <w:t>This Act may be cited as the Air Navigation (</w:t>
      </w:r>
      <w:r w:rsidR="00EC76EB" w:rsidRPr="004225DB">
        <w:rPr>
          <w:rFonts w:ascii="Times New Roman" w:hAnsi="Times New Roman" w:cs="Times New Roman"/>
          <w:i/>
        </w:rPr>
        <w:t>Charges</w:t>
      </w:r>
      <w:r w:rsidR="00EC76EB" w:rsidRPr="004225DB">
        <w:rPr>
          <w:rFonts w:ascii="Times New Roman" w:hAnsi="Times New Roman" w:cs="Times New Roman"/>
        </w:rPr>
        <w:t xml:space="preserve">) </w:t>
      </w:r>
      <w:r w:rsidR="00EC76EB" w:rsidRPr="004225DB">
        <w:rPr>
          <w:rFonts w:ascii="Times New Roman" w:hAnsi="Times New Roman" w:cs="Times New Roman"/>
          <w:i/>
        </w:rPr>
        <w:t>Act</w:t>
      </w:r>
      <w:r w:rsidR="00EC76EB" w:rsidRPr="004225DB">
        <w:rPr>
          <w:rFonts w:ascii="Times New Roman" w:hAnsi="Times New Roman" w:cs="Times New Roman"/>
        </w:rPr>
        <w:t xml:space="preserve"> 1974.</w:t>
      </w:r>
    </w:p>
    <w:p w14:paraId="2FAB2A46" w14:textId="4E104CA9" w:rsidR="00922A2D" w:rsidRPr="004225DB" w:rsidRDefault="004225DB" w:rsidP="004225DB">
      <w:pPr>
        <w:spacing w:after="160"/>
        <w:ind w:firstLine="270"/>
        <w:rPr>
          <w:rFonts w:ascii="Times New Roman" w:hAnsi="Times New Roman" w:cs="Times New Roman"/>
        </w:rPr>
      </w:pPr>
      <w:r>
        <w:rPr>
          <w:rFonts w:ascii="Times New Roman" w:hAnsi="Times New Roman" w:cs="Times New Roman"/>
        </w:rPr>
        <w:t xml:space="preserve">(2) </w:t>
      </w:r>
      <w:r w:rsidR="00EC76EB" w:rsidRPr="004225DB">
        <w:rPr>
          <w:rFonts w:ascii="Times New Roman" w:hAnsi="Times New Roman" w:cs="Times New Roman"/>
        </w:rPr>
        <w:t xml:space="preserve">The </w:t>
      </w:r>
      <w:r w:rsidR="00EC76EB" w:rsidRPr="0045355C">
        <w:rPr>
          <w:rFonts w:ascii="Times New Roman" w:hAnsi="Times New Roman" w:cs="Times New Roman"/>
          <w:i/>
        </w:rPr>
        <w:t>Air Navigation</w:t>
      </w:r>
      <w:r w:rsidR="00EC76EB" w:rsidRPr="004225DB">
        <w:rPr>
          <w:rFonts w:ascii="Times New Roman" w:hAnsi="Times New Roman" w:cs="Times New Roman"/>
        </w:rPr>
        <w:t xml:space="preserve"> (</w:t>
      </w:r>
      <w:r w:rsidR="00EC76EB" w:rsidRPr="004225DB">
        <w:rPr>
          <w:rFonts w:ascii="Times New Roman" w:hAnsi="Times New Roman" w:cs="Times New Roman"/>
          <w:i/>
        </w:rPr>
        <w:t>Charges</w:t>
      </w:r>
      <w:r w:rsidR="00EC76EB" w:rsidRPr="004225DB">
        <w:rPr>
          <w:rFonts w:ascii="Times New Roman" w:hAnsi="Times New Roman" w:cs="Times New Roman"/>
        </w:rPr>
        <w:t xml:space="preserve">) </w:t>
      </w:r>
      <w:r w:rsidR="00EC76EB" w:rsidRPr="004225DB">
        <w:rPr>
          <w:rFonts w:ascii="Times New Roman" w:hAnsi="Times New Roman" w:cs="Times New Roman"/>
          <w:i/>
        </w:rPr>
        <w:t>Act</w:t>
      </w:r>
      <w:r w:rsidR="00EC76EB" w:rsidRPr="004225DB">
        <w:rPr>
          <w:rFonts w:ascii="Times New Roman" w:hAnsi="Times New Roman" w:cs="Times New Roman"/>
        </w:rPr>
        <w:t xml:space="preserve"> 1952-1973 is in this Act referred to as the Principal Act.</w:t>
      </w:r>
    </w:p>
    <w:p w14:paraId="548179B9" w14:textId="77777777" w:rsidR="00922A2D" w:rsidRPr="004225DB" w:rsidRDefault="004225DB" w:rsidP="004225DB">
      <w:pPr>
        <w:ind w:firstLine="270"/>
        <w:rPr>
          <w:rFonts w:ascii="Times New Roman" w:hAnsi="Times New Roman" w:cs="Times New Roman"/>
        </w:rPr>
      </w:pPr>
      <w:r>
        <w:rPr>
          <w:rFonts w:ascii="Times New Roman" w:hAnsi="Times New Roman" w:cs="Times New Roman"/>
        </w:rPr>
        <w:t xml:space="preserve">(3) </w:t>
      </w:r>
      <w:r w:rsidR="00EC76EB" w:rsidRPr="004225DB">
        <w:rPr>
          <w:rFonts w:ascii="Times New Roman" w:hAnsi="Times New Roman" w:cs="Times New Roman"/>
        </w:rPr>
        <w:t xml:space="preserve">The Principal Act, as amended by this Act, may be cited as the </w:t>
      </w:r>
      <w:r w:rsidR="00EC76EB" w:rsidRPr="004225DB">
        <w:rPr>
          <w:rFonts w:ascii="Times New Roman" w:hAnsi="Times New Roman" w:cs="Times New Roman"/>
          <w:i/>
        </w:rPr>
        <w:t xml:space="preserve">Air Navigation </w:t>
      </w:r>
      <w:r w:rsidR="00EC76EB" w:rsidRPr="004225DB">
        <w:rPr>
          <w:rFonts w:ascii="Times New Roman" w:hAnsi="Times New Roman" w:cs="Times New Roman"/>
        </w:rPr>
        <w:t>(</w:t>
      </w:r>
      <w:r w:rsidR="00EC76EB" w:rsidRPr="004225DB">
        <w:rPr>
          <w:rFonts w:ascii="Times New Roman" w:hAnsi="Times New Roman" w:cs="Times New Roman"/>
          <w:i/>
        </w:rPr>
        <w:t>Charges</w:t>
      </w:r>
      <w:r w:rsidR="00EC76EB" w:rsidRPr="004225DB">
        <w:rPr>
          <w:rFonts w:ascii="Times New Roman" w:hAnsi="Times New Roman" w:cs="Times New Roman"/>
        </w:rPr>
        <w:t xml:space="preserve">) </w:t>
      </w:r>
      <w:r w:rsidR="00EC76EB" w:rsidRPr="004225DB">
        <w:rPr>
          <w:rFonts w:ascii="Times New Roman" w:hAnsi="Times New Roman" w:cs="Times New Roman"/>
          <w:i/>
        </w:rPr>
        <w:t xml:space="preserve">Act </w:t>
      </w:r>
      <w:r w:rsidR="00EC76EB" w:rsidRPr="004225DB">
        <w:rPr>
          <w:rFonts w:ascii="Times New Roman" w:hAnsi="Times New Roman" w:cs="Times New Roman"/>
        </w:rPr>
        <w:t>1952-1974.</w:t>
      </w:r>
    </w:p>
    <w:p w14:paraId="06279430" w14:textId="77777777" w:rsidR="00922A2D" w:rsidRPr="004225DB" w:rsidRDefault="00EC76EB" w:rsidP="004225DB">
      <w:pPr>
        <w:spacing w:before="120" w:after="60"/>
        <w:rPr>
          <w:rFonts w:ascii="Times New Roman" w:hAnsi="Times New Roman" w:cs="Times New Roman"/>
          <w:b/>
          <w:sz w:val="20"/>
        </w:rPr>
      </w:pPr>
      <w:r w:rsidRPr="004225DB">
        <w:rPr>
          <w:rFonts w:ascii="Times New Roman" w:hAnsi="Times New Roman" w:cs="Times New Roman"/>
          <w:b/>
          <w:sz w:val="20"/>
        </w:rPr>
        <w:t>Commencement.</w:t>
      </w:r>
    </w:p>
    <w:p w14:paraId="376CB115" w14:textId="6259DEA9" w:rsidR="00922A2D" w:rsidRPr="004225DB" w:rsidRDefault="004225DB" w:rsidP="004225DB">
      <w:pPr>
        <w:spacing w:after="60"/>
        <w:ind w:firstLine="270"/>
        <w:rPr>
          <w:rFonts w:ascii="Times New Roman" w:hAnsi="Times New Roman" w:cs="Times New Roman"/>
        </w:rPr>
      </w:pPr>
      <w:r w:rsidRPr="004225DB">
        <w:rPr>
          <w:rFonts w:ascii="Times New Roman" w:hAnsi="Times New Roman" w:cs="Times New Roman"/>
          <w:b/>
        </w:rPr>
        <w:t>2.</w:t>
      </w:r>
      <w:r>
        <w:rPr>
          <w:rFonts w:ascii="Times New Roman" w:hAnsi="Times New Roman" w:cs="Times New Roman"/>
        </w:rPr>
        <w:t xml:space="preserve"> </w:t>
      </w:r>
      <w:r w:rsidR="00EC76EB" w:rsidRPr="004225DB">
        <w:rPr>
          <w:rFonts w:ascii="Times New Roman" w:hAnsi="Times New Roman" w:cs="Times New Roman"/>
        </w:rPr>
        <w:t>(1) Sections 1 and 2 shall come into operation on the day on which this Act receives the Royal Assent.</w:t>
      </w:r>
    </w:p>
    <w:p w14:paraId="5FD23C95" w14:textId="77777777" w:rsidR="00922A2D" w:rsidRPr="004225DB" w:rsidRDefault="004225DB" w:rsidP="004225DB">
      <w:pPr>
        <w:spacing w:after="160"/>
        <w:ind w:firstLine="270"/>
        <w:rPr>
          <w:rFonts w:ascii="Times New Roman" w:hAnsi="Times New Roman" w:cs="Times New Roman"/>
        </w:rPr>
      </w:pPr>
      <w:r>
        <w:rPr>
          <w:rFonts w:ascii="Times New Roman" w:hAnsi="Times New Roman" w:cs="Times New Roman"/>
        </w:rPr>
        <w:t xml:space="preserve">(2) </w:t>
      </w:r>
      <w:r w:rsidR="00EC76EB" w:rsidRPr="004225DB">
        <w:rPr>
          <w:rFonts w:ascii="Times New Roman" w:hAnsi="Times New Roman" w:cs="Times New Roman"/>
        </w:rPr>
        <w:t>Sections 4 to 11 (inclusive) and 14 shall come into operation on 1 December 1974.</w:t>
      </w:r>
    </w:p>
    <w:p w14:paraId="1F6B04AF" w14:textId="77777777" w:rsidR="00922A2D" w:rsidRPr="004225DB" w:rsidRDefault="004225DB" w:rsidP="004225DB">
      <w:pPr>
        <w:ind w:firstLine="270"/>
        <w:rPr>
          <w:rFonts w:ascii="Times New Roman" w:hAnsi="Times New Roman" w:cs="Times New Roman"/>
        </w:rPr>
      </w:pPr>
      <w:r>
        <w:rPr>
          <w:rFonts w:ascii="Times New Roman" w:hAnsi="Times New Roman" w:cs="Times New Roman"/>
        </w:rPr>
        <w:t>(3)</w:t>
      </w:r>
      <w:bookmarkStart w:id="1" w:name="_GoBack"/>
      <w:r>
        <w:rPr>
          <w:rFonts w:ascii="Times New Roman" w:hAnsi="Times New Roman" w:cs="Times New Roman"/>
        </w:rPr>
        <w:t xml:space="preserve"> </w:t>
      </w:r>
      <w:r w:rsidR="00EC76EB" w:rsidRPr="004225DB">
        <w:rPr>
          <w:rFonts w:ascii="Times New Roman" w:hAnsi="Times New Roman" w:cs="Times New Roman"/>
        </w:rPr>
        <w:t>Sections 3, 12 and 13 shall come into operation on a date to be fixed by Proclamation.</w:t>
      </w:r>
      <w:bookmarkEnd w:id="1"/>
    </w:p>
    <w:p w14:paraId="679F7E45" w14:textId="77777777" w:rsidR="00922A2D" w:rsidRPr="004225DB" w:rsidRDefault="00EC76EB" w:rsidP="004225DB">
      <w:pPr>
        <w:spacing w:before="120" w:after="60"/>
        <w:rPr>
          <w:rFonts w:ascii="Times New Roman" w:hAnsi="Times New Roman" w:cs="Times New Roman"/>
          <w:b/>
          <w:sz w:val="20"/>
        </w:rPr>
      </w:pPr>
      <w:r w:rsidRPr="004225DB">
        <w:rPr>
          <w:rFonts w:ascii="Times New Roman" w:hAnsi="Times New Roman" w:cs="Times New Roman"/>
          <w:b/>
          <w:sz w:val="20"/>
        </w:rPr>
        <w:t>Interpretation</w:t>
      </w:r>
    </w:p>
    <w:p w14:paraId="6CBC0EF4" w14:textId="42DAA3C3" w:rsidR="00922A2D" w:rsidRPr="004225DB" w:rsidRDefault="00ED2F73" w:rsidP="00ED2F73">
      <w:pPr>
        <w:tabs>
          <w:tab w:val="left" w:pos="630"/>
        </w:tabs>
        <w:spacing w:after="160"/>
        <w:ind w:firstLine="270"/>
        <w:rPr>
          <w:rFonts w:ascii="Times New Roman" w:hAnsi="Times New Roman" w:cs="Times New Roman"/>
        </w:rPr>
      </w:pPr>
      <w:r w:rsidRPr="00ED2F73">
        <w:rPr>
          <w:rFonts w:ascii="Times New Roman" w:hAnsi="Times New Roman" w:cs="Times New Roman"/>
          <w:b/>
        </w:rPr>
        <w:t>3.</w:t>
      </w:r>
      <w:r>
        <w:rPr>
          <w:rFonts w:ascii="Times New Roman" w:hAnsi="Times New Roman" w:cs="Times New Roman"/>
        </w:rPr>
        <w:tab/>
      </w:r>
      <w:r w:rsidR="00EC76EB" w:rsidRPr="004225DB">
        <w:rPr>
          <w:rFonts w:ascii="Times New Roman" w:hAnsi="Times New Roman" w:cs="Times New Roman"/>
        </w:rPr>
        <w:t>Section 2 of the Principal Act is amended by omitting from sub</w:t>
      </w:r>
      <w:r w:rsidR="00B94CA6">
        <w:rPr>
          <w:rFonts w:ascii="Times New Roman" w:hAnsi="Times New Roman" w:cs="Times New Roman"/>
        </w:rPr>
        <w:t>-</w:t>
      </w:r>
      <w:r w:rsidR="00EC76EB" w:rsidRPr="004225DB">
        <w:rPr>
          <w:rFonts w:ascii="Times New Roman" w:hAnsi="Times New Roman" w:cs="Times New Roman"/>
        </w:rPr>
        <w:t>section (1) the definition of “the Director-General” and substituting the following definition:—</w:t>
      </w:r>
    </w:p>
    <w:p w14:paraId="0596AA72" w14:textId="2CBFEF7C" w:rsidR="00922A2D" w:rsidRDefault="00ED2F73" w:rsidP="00ED2F73">
      <w:pPr>
        <w:ind w:firstLine="270"/>
        <w:rPr>
          <w:rFonts w:ascii="Times New Roman" w:hAnsi="Times New Roman" w:cs="Times New Roman"/>
        </w:rPr>
      </w:pPr>
      <w:r>
        <w:rPr>
          <w:rFonts w:ascii="Times New Roman" w:hAnsi="Times New Roman" w:cs="Times New Roman"/>
        </w:rPr>
        <w:t>“</w:t>
      </w:r>
      <w:r w:rsidR="00EC76EB" w:rsidRPr="004225DB">
        <w:rPr>
          <w:rFonts w:ascii="Times New Roman" w:hAnsi="Times New Roman" w:cs="Times New Roman"/>
        </w:rPr>
        <w:t>‘Secretary’ means the Secretary to the Department of Transport.”.</w:t>
      </w:r>
    </w:p>
    <w:p w14:paraId="00157803" w14:textId="77777777" w:rsidR="00ED2F73" w:rsidRPr="004225DB" w:rsidRDefault="00ED2F73" w:rsidP="00ED2F73">
      <w:pPr>
        <w:spacing w:before="120" w:after="60"/>
        <w:rPr>
          <w:rFonts w:ascii="Times New Roman" w:hAnsi="Times New Roman" w:cs="Times New Roman"/>
          <w:b/>
          <w:sz w:val="20"/>
        </w:rPr>
      </w:pPr>
      <w:r w:rsidRPr="004225DB">
        <w:rPr>
          <w:rFonts w:ascii="Times New Roman" w:hAnsi="Times New Roman" w:cs="Times New Roman"/>
          <w:b/>
          <w:sz w:val="20"/>
        </w:rPr>
        <w:t>Schedule 1 paragraph 2.</w:t>
      </w:r>
    </w:p>
    <w:p w14:paraId="52A9BF17" w14:textId="77777777" w:rsidR="00922A2D" w:rsidRPr="004225DB" w:rsidRDefault="00ED2F73" w:rsidP="00ED2F73">
      <w:pPr>
        <w:tabs>
          <w:tab w:val="left" w:pos="630"/>
        </w:tabs>
        <w:spacing w:after="160"/>
        <w:ind w:firstLine="270"/>
        <w:rPr>
          <w:rFonts w:ascii="Times New Roman" w:hAnsi="Times New Roman" w:cs="Times New Roman"/>
        </w:rPr>
      </w:pPr>
      <w:r w:rsidRPr="00ED2F73">
        <w:rPr>
          <w:rFonts w:ascii="Times New Roman" w:hAnsi="Times New Roman" w:cs="Times New Roman"/>
          <w:b/>
        </w:rPr>
        <w:t>4.</w:t>
      </w:r>
      <w:r>
        <w:rPr>
          <w:rFonts w:ascii="Times New Roman" w:hAnsi="Times New Roman" w:cs="Times New Roman"/>
        </w:rPr>
        <w:tab/>
      </w:r>
      <w:r w:rsidR="00EC76EB" w:rsidRPr="004225DB">
        <w:rPr>
          <w:rFonts w:ascii="Times New Roman" w:hAnsi="Times New Roman" w:cs="Times New Roman"/>
        </w:rPr>
        <w:t>Paragraph 2 of Schedule 1 to the Principal Act is amended by omitting sub-paragraph (1) and substituting the following sub</w:t>
      </w:r>
      <w:r>
        <w:rPr>
          <w:rFonts w:ascii="Times New Roman" w:hAnsi="Times New Roman" w:cs="Times New Roman"/>
        </w:rPr>
        <w:t>-</w:t>
      </w:r>
      <w:r w:rsidR="00EC76EB" w:rsidRPr="004225DB">
        <w:rPr>
          <w:rFonts w:ascii="Times New Roman" w:hAnsi="Times New Roman" w:cs="Times New Roman"/>
        </w:rPr>
        <w:t>paragraph:—</w:t>
      </w:r>
    </w:p>
    <w:p w14:paraId="5514B171" w14:textId="77777777" w:rsidR="00ED2F73" w:rsidRDefault="00EC76EB" w:rsidP="00ED2F73">
      <w:pPr>
        <w:ind w:firstLine="270"/>
        <w:rPr>
          <w:rFonts w:ascii="Times New Roman" w:hAnsi="Times New Roman" w:cs="Times New Roman"/>
        </w:rPr>
      </w:pPr>
      <w:r w:rsidRPr="004225DB">
        <w:rPr>
          <w:rFonts w:ascii="Times New Roman" w:hAnsi="Times New Roman" w:cs="Times New Roman"/>
        </w:rPr>
        <w:t>“(1) A charge is payable, in accordance with this Schedule, by the holder of a charter licence in respect of a flight made between places in Australia, in the course of regular public transport operations or charter operations, by an aircraft operated by him, not being an aircraft in respect of which a charge is payable, or has been paid, under Schedule 2 in respect of a period that includes the day on which the flight is completed.”.</w:t>
      </w:r>
    </w:p>
    <w:p w14:paraId="07039651" w14:textId="5191A4DC" w:rsidR="00ED2F73" w:rsidRPr="00ED2F73" w:rsidRDefault="00ED2F73" w:rsidP="00ED2F73">
      <w:pPr>
        <w:spacing w:before="120" w:after="60"/>
        <w:rPr>
          <w:rFonts w:ascii="Times New Roman" w:hAnsi="Times New Roman" w:cs="Times New Roman"/>
          <w:b/>
          <w:sz w:val="20"/>
        </w:rPr>
      </w:pPr>
      <w:r w:rsidRPr="00ED2F73">
        <w:rPr>
          <w:rFonts w:ascii="Times New Roman" w:hAnsi="Times New Roman" w:cs="Times New Roman"/>
          <w:b/>
          <w:sz w:val="20"/>
        </w:rPr>
        <w:t>Schedule 1 paragraph 7.</w:t>
      </w:r>
    </w:p>
    <w:p w14:paraId="2FAA65C3" w14:textId="77777777" w:rsidR="00922A2D" w:rsidRPr="004225DB" w:rsidRDefault="00ED2F73" w:rsidP="00ED2F73">
      <w:pPr>
        <w:tabs>
          <w:tab w:val="left" w:pos="630"/>
        </w:tabs>
        <w:spacing w:after="160"/>
        <w:ind w:firstLine="270"/>
        <w:rPr>
          <w:rFonts w:ascii="Times New Roman" w:hAnsi="Times New Roman" w:cs="Times New Roman"/>
        </w:rPr>
      </w:pPr>
      <w:r w:rsidRPr="00ED2F73">
        <w:rPr>
          <w:rFonts w:ascii="Times New Roman" w:hAnsi="Times New Roman" w:cs="Times New Roman"/>
          <w:b/>
        </w:rPr>
        <w:t>5.</w:t>
      </w:r>
      <w:r>
        <w:rPr>
          <w:rFonts w:ascii="Times New Roman" w:hAnsi="Times New Roman" w:cs="Times New Roman"/>
        </w:rPr>
        <w:tab/>
      </w:r>
      <w:r w:rsidR="00EC76EB" w:rsidRPr="004225DB">
        <w:rPr>
          <w:rFonts w:ascii="Times New Roman" w:hAnsi="Times New Roman" w:cs="Times New Roman"/>
        </w:rPr>
        <w:t>Paragraph 7 of Schedule 1 to the Principal Act is amended by omitting the table in sub-paragraph (1) and substituting the following table: —</w:t>
      </w:r>
    </w:p>
    <w:tbl>
      <w:tblPr>
        <w:tblOverlap w:val="never"/>
        <w:tblW w:w="0" w:type="auto"/>
        <w:tblLayout w:type="fixed"/>
        <w:tblCellMar>
          <w:left w:w="10" w:type="dxa"/>
          <w:right w:w="10" w:type="dxa"/>
        </w:tblCellMar>
        <w:tblLook w:val="0000" w:firstRow="0" w:lastRow="0" w:firstColumn="0" w:lastColumn="0" w:noHBand="0" w:noVBand="0"/>
      </w:tblPr>
      <w:tblGrid>
        <w:gridCol w:w="3340"/>
        <w:gridCol w:w="6390"/>
      </w:tblGrid>
      <w:tr w:rsidR="00922A2D" w:rsidRPr="004225DB" w14:paraId="0B4CD9BD" w14:textId="77777777" w:rsidTr="00ED2F73">
        <w:trPr>
          <w:trHeight w:val="307"/>
        </w:trPr>
        <w:tc>
          <w:tcPr>
            <w:tcW w:w="3340" w:type="dxa"/>
            <w:tcBorders>
              <w:top w:val="single" w:sz="4" w:space="0" w:color="auto"/>
            </w:tcBorders>
            <w:shd w:val="clear" w:color="auto" w:fill="FFFFFF"/>
            <w:vAlign w:val="center"/>
          </w:tcPr>
          <w:p w14:paraId="370EB67E" w14:textId="77777777" w:rsidR="00922A2D" w:rsidRPr="00ED2F73" w:rsidRDefault="00EC76EB" w:rsidP="00ED2F73">
            <w:pPr>
              <w:jc w:val="center"/>
              <w:rPr>
                <w:rFonts w:ascii="Times New Roman" w:hAnsi="Times New Roman" w:cs="Times New Roman"/>
                <w:sz w:val="20"/>
              </w:rPr>
            </w:pPr>
            <w:r w:rsidRPr="00ED2F73">
              <w:rPr>
                <w:rFonts w:ascii="Times New Roman" w:hAnsi="Times New Roman" w:cs="Times New Roman"/>
                <w:sz w:val="20"/>
              </w:rPr>
              <w:t>Column 1</w:t>
            </w:r>
          </w:p>
        </w:tc>
        <w:tc>
          <w:tcPr>
            <w:tcW w:w="6390" w:type="dxa"/>
            <w:tcBorders>
              <w:top w:val="single" w:sz="4" w:space="0" w:color="auto"/>
            </w:tcBorders>
            <w:shd w:val="clear" w:color="auto" w:fill="FFFFFF"/>
            <w:vAlign w:val="center"/>
          </w:tcPr>
          <w:p w14:paraId="4A7BD2A5" w14:textId="77777777" w:rsidR="00922A2D" w:rsidRPr="00ED2F73" w:rsidRDefault="00EC76EB" w:rsidP="00ED2F73">
            <w:pPr>
              <w:jc w:val="center"/>
              <w:rPr>
                <w:rFonts w:ascii="Times New Roman" w:hAnsi="Times New Roman" w:cs="Times New Roman"/>
                <w:sz w:val="20"/>
              </w:rPr>
            </w:pPr>
            <w:r w:rsidRPr="00ED2F73">
              <w:rPr>
                <w:rFonts w:ascii="Times New Roman" w:hAnsi="Times New Roman" w:cs="Times New Roman"/>
                <w:sz w:val="20"/>
              </w:rPr>
              <w:t>Column 2</w:t>
            </w:r>
          </w:p>
        </w:tc>
      </w:tr>
      <w:tr w:rsidR="00922A2D" w:rsidRPr="004225DB" w14:paraId="15B0E58F" w14:textId="77777777" w:rsidTr="00ED2F73">
        <w:trPr>
          <w:trHeight w:val="514"/>
        </w:trPr>
        <w:tc>
          <w:tcPr>
            <w:tcW w:w="3340" w:type="dxa"/>
            <w:shd w:val="clear" w:color="auto" w:fill="FFFFFF"/>
            <w:vAlign w:val="center"/>
          </w:tcPr>
          <w:p w14:paraId="1E49DA50" w14:textId="77777777" w:rsidR="00922A2D" w:rsidRPr="00ED2F73" w:rsidRDefault="00EC76EB" w:rsidP="00ED2F73">
            <w:pPr>
              <w:jc w:val="center"/>
              <w:rPr>
                <w:rFonts w:ascii="Times New Roman" w:hAnsi="Times New Roman" w:cs="Times New Roman"/>
                <w:sz w:val="20"/>
              </w:rPr>
            </w:pPr>
            <w:r w:rsidRPr="00ED2F73">
              <w:rPr>
                <w:rFonts w:ascii="Times New Roman" w:hAnsi="Times New Roman" w:cs="Times New Roman"/>
                <w:sz w:val="20"/>
              </w:rPr>
              <w:t>Weight of aircraft in</w:t>
            </w:r>
            <w:r w:rsidR="00ED2F73" w:rsidRPr="00ED2F73">
              <w:rPr>
                <w:rFonts w:ascii="Times New Roman" w:hAnsi="Times New Roman" w:cs="Times New Roman"/>
                <w:sz w:val="20"/>
              </w:rPr>
              <w:br/>
            </w:r>
            <w:r w:rsidRPr="00ED2F73">
              <w:rPr>
                <w:rFonts w:ascii="Times New Roman" w:hAnsi="Times New Roman" w:cs="Times New Roman"/>
                <w:sz w:val="20"/>
              </w:rPr>
              <w:t>kilogrammes</w:t>
            </w:r>
          </w:p>
        </w:tc>
        <w:tc>
          <w:tcPr>
            <w:tcW w:w="6390" w:type="dxa"/>
            <w:shd w:val="clear" w:color="auto" w:fill="FFFFFF"/>
            <w:vAlign w:val="center"/>
          </w:tcPr>
          <w:p w14:paraId="124900D0" w14:textId="77777777" w:rsidR="00922A2D" w:rsidRPr="00ED2F73" w:rsidRDefault="00EC76EB" w:rsidP="00ED2F73">
            <w:pPr>
              <w:jc w:val="center"/>
              <w:rPr>
                <w:rFonts w:ascii="Times New Roman" w:hAnsi="Times New Roman" w:cs="Times New Roman"/>
                <w:sz w:val="20"/>
              </w:rPr>
            </w:pPr>
            <w:r w:rsidRPr="00ED2F73">
              <w:rPr>
                <w:rFonts w:ascii="Times New Roman" w:hAnsi="Times New Roman" w:cs="Times New Roman"/>
                <w:sz w:val="20"/>
              </w:rPr>
              <w:t>Amount of unit charge</w:t>
            </w:r>
          </w:p>
        </w:tc>
      </w:tr>
      <w:tr w:rsidR="00922A2D" w:rsidRPr="004225DB" w14:paraId="5D0EA86F" w14:textId="77777777" w:rsidTr="00ED2F73">
        <w:trPr>
          <w:trHeight w:val="259"/>
        </w:trPr>
        <w:tc>
          <w:tcPr>
            <w:tcW w:w="3340" w:type="dxa"/>
            <w:tcBorders>
              <w:top w:val="single" w:sz="4" w:space="0" w:color="auto"/>
            </w:tcBorders>
            <w:shd w:val="clear" w:color="auto" w:fill="FFFFFF"/>
            <w:vAlign w:val="bottom"/>
          </w:tcPr>
          <w:p w14:paraId="3E63690E" w14:textId="77777777" w:rsidR="00922A2D" w:rsidRPr="00ED2F73" w:rsidRDefault="00ED2F73" w:rsidP="00ED2F73">
            <w:pPr>
              <w:tabs>
                <w:tab w:val="left" w:leader="dot" w:pos="3135"/>
              </w:tabs>
              <w:rPr>
                <w:rFonts w:ascii="Times New Roman" w:hAnsi="Times New Roman" w:cs="Times New Roman"/>
                <w:sz w:val="22"/>
              </w:rPr>
            </w:pPr>
            <w:r w:rsidRPr="00ED2F73">
              <w:rPr>
                <w:rFonts w:ascii="Times New Roman" w:hAnsi="Times New Roman" w:cs="Times New Roman"/>
                <w:sz w:val="22"/>
              </w:rPr>
              <w:t>Not more than 500</w:t>
            </w:r>
            <w:r w:rsidRPr="00ED2F73">
              <w:rPr>
                <w:rFonts w:ascii="Times New Roman" w:hAnsi="Times New Roman" w:cs="Times New Roman"/>
                <w:sz w:val="22"/>
              </w:rPr>
              <w:tab/>
            </w:r>
          </w:p>
        </w:tc>
        <w:tc>
          <w:tcPr>
            <w:tcW w:w="6390" w:type="dxa"/>
            <w:tcBorders>
              <w:top w:val="single" w:sz="4" w:space="0" w:color="auto"/>
            </w:tcBorders>
            <w:shd w:val="clear" w:color="auto" w:fill="FFFFFF"/>
            <w:vAlign w:val="bottom"/>
          </w:tcPr>
          <w:p w14:paraId="06C20A38" w14:textId="77777777" w:rsidR="00922A2D" w:rsidRPr="00ED2F73" w:rsidRDefault="00EC76EB" w:rsidP="00ED2F73">
            <w:pPr>
              <w:rPr>
                <w:rFonts w:ascii="Times New Roman" w:hAnsi="Times New Roman" w:cs="Times New Roman"/>
                <w:sz w:val="22"/>
              </w:rPr>
            </w:pPr>
            <w:r w:rsidRPr="00ED2F73">
              <w:rPr>
                <w:rFonts w:ascii="Times New Roman" w:hAnsi="Times New Roman" w:cs="Times New Roman"/>
                <w:sz w:val="22"/>
              </w:rPr>
              <w:t>7 cents</w:t>
            </w:r>
          </w:p>
        </w:tc>
      </w:tr>
      <w:tr w:rsidR="00922A2D" w:rsidRPr="004225DB" w14:paraId="2B903DA9" w14:textId="77777777" w:rsidTr="00ED2F73">
        <w:trPr>
          <w:trHeight w:val="350"/>
        </w:trPr>
        <w:tc>
          <w:tcPr>
            <w:tcW w:w="3340" w:type="dxa"/>
            <w:shd w:val="clear" w:color="auto" w:fill="FFFFFF"/>
            <w:vAlign w:val="bottom"/>
          </w:tcPr>
          <w:p w14:paraId="16609CF8" w14:textId="77777777" w:rsidR="00922A2D" w:rsidRPr="00ED2F73" w:rsidRDefault="00EC76EB" w:rsidP="00ED2F73">
            <w:pPr>
              <w:ind w:left="180" w:hanging="180"/>
              <w:rPr>
                <w:rFonts w:ascii="Times New Roman" w:hAnsi="Times New Roman" w:cs="Times New Roman"/>
                <w:sz w:val="22"/>
              </w:rPr>
            </w:pPr>
            <w:r w:rsidRPr="00ED2F73">
              <w:rPr>
                <w:rFonts w:ascii="Times New Roman" w:hAnsi="Times New Roman" w:cs="Times New Roman"/>
                <w:sz w:val="22"/>
              </w:rPr>
              <w:t>More than 500 but not more than 9,000</w:t>
            </w:r>
          </w:p>
        </w:tc>
        <w:tc>
          <w:tcPr>
            <w:tcW w:w="6390" w:type="dxa"/>
            <w:shd w:val="clear" w:color="auto" w:fill="FFFFFF"/>
            <w:vAlign w:val="bottom"/>
          </w:tcPr>
          <w:p w14:paraId="13728620" w14:textId="77777777" w:rsidR="00922A2D" w:rsidRPr="00ED2F73" w:rsidRDefault="00EC76EB" w:rsidP="00ED2F73">
            <w:pPr>
              <w:ind w:left="260" w:hanging="260"/>
              <w:rPr>
                <w:rFonts w:ascii="Times New Roman" w:hAnsi="Times New Roman" w:cs="Times New Roman"/>
                <w:sz w:val="22"/>
              </w:rPr>
            </w:pPr>
            <w:r w:rsidRPr="00ED2F73">
              <w:rPr>
                <w:rFonts w:ascii="Times New Roman" w:hAnsi="Times New Roman" w:cs="Times New Roman"/>
                <w:sz w:val="22"/>
              </w:rPr>
              <w:t>11.5 cents for each 450 kilogrammes, or part of 450 kilogrammes, of the weight of the aircraft</w:t>
            </w:r>
          </w:p>
        </w:tc>
      </w:tr>
      <w:tr w:rsidR="00922A2D" w:rsidRPr="004225DB" w14:paraId="1089A9EC" w14:textId="77777777" w:rsidTr="00ED2F73">
        <w:trPr>
          <w:trHeight w:val="509"/>
        </w:trPr>
        <w:tc>
          <w:tcPr>
            <w:tcW w:w="3340" w:type="dxa"/>
            <w:shd w:val="clear" w:color="auto" w:fill="FFFFFF"/>
            <w:vAlign w:val="bottom"/>
          </w:tcPr>
          <w:p w14:paraId="579A5389" w14:textId="77777777" w:rsidR="00922A2D" w:rsidRPr="00ED2F73" w:rsidRDefault="00EC76EB" w:rsidP="00ED2F73">
            <w:pPr>
              <w:ind w:left="180" w:hanging="180"/>
              <w:rPr>
                <w:rFonts w:ascii="Times New Roman" w:hAnsi="Times New Roman" w:cs="Times New Roman"/>
                <w:sz w:val="22"/>
              </w:rPr>
            </w:pPr>
            <w:r w:rsidRPr="00ED2F73">
              <w:rPr>
                <w:rFonts w:ascii="Times New Roman" w:hAnsi="Times New Roman" w:cs="Times New Roman"/>
                <w:sz w:val="22"/>
              </w:rPr>
              <w:t>More than 9,000 but not more than 20,000</w:t>
            </w:r>
          </w:p>
        </w:tc>
        <w:tc>
          <w:tcPr>
            <w:tcW w:w="6390" w:type="dxa"/>
            <w:shd w:val="clear" w:color="auto" w:fill="FFFFFF"/>
            <w:vAlign w:val="bottom"/>
          </w:tcPr>
          <w:p w14:paraId="56839220" w14:textId="77777777" w:rsidR="00922A2D" w:rsidRPr="00ED2F73" w:rsidRDefault="00EC76EB" w:rsidP="00ED2F73">
            <w:pPr>
              <w:ind w:left="260" w:hanging="260"/>
              <w:rPr>
                <w:rFonts w:ascii="Times New Roman" w:hAnsi="Times New Roman" w:cs="Times New Roman"/>
                <w:sz w:val="22"/>
              </w:rPr>
            </w:pPr>
            <w:r w:rsidRPr="00ED2F73">
              <w:rPr>
                <w:rFonts w:ascii="Times New Roman" w:hAnsi="Times New Roman" w:cs="Times New Roman"/>
                <w:sz w:val="22"/>
              </w:rPr>
              <w:t>$2.30 plus 27.6 cents for each 500 k</w:t>
            </w:r>
            <w:r w:rsidR="00E91271" w:rsidRPr="00ED2F73">
              <w:rPr>
                <w:rFonts w:ascii="Times New Roman" w:hAnsi="Times New Roman" w:cs="Times New Roman"/>
                <w:sz w:val="22"/>
              </w:rPr>
              <w:t>ilogrammes, or part of 500 kilo</w:t>
            </w:r>
            <w:r w:rsidRPr="00ED2F73">
              <w:rPr>
                <w:rFonts w:ascii="Times New Roman" w:hAnsi="Times New Roman" w:cs="Times New Roman"/>
                <w:sz w:val="22"/>
              </w:rPr>
              <w:t>grammes, by which the weight of the aircraft exceeds 9,000 kilogrammes</w:t>
            </w:r>
          </w:p>
        </w:tc>
      </w:tr>
      <w:tr w:rsidR="00922A2D" w:rsidRPr="004225DB" w14:paraId="78F871EB" w14:textId="77777777" w:rsidTr="00ED2F73">
        <w:trPr>
          <w:trHeight w:val="494"/>
        </w:trPr>
        <w:tc>
          <w:tcPr>
            <w:tcW w:w="3340" w:type="dxa"/>
            <w:shd w:val="clear" w:color="auto" w:fill="FFFFFF"/>
            <w:vAlign w:val="bottom"/>
          </w:tcPr>
          <w:p w14:paraId="0C48837A" w14:textId="77777777" w:rsidR="00922A2D" w:rsidRPr="00ED2F73" w:rsidRDefault="00EC76EB" w:rsidP="00ED2F73">
            <w:pPr>
              <w:ind w:left="180" w:hanging="180"/>
              <w:rPr>
                <w:rFonts w:ascii="Times New Roman" w:hAnsi="Times New Roman" w:cs="Times New Roman"/>
                <w:sz w:val="22"/>
              </w:rPr>
            </w:pPr>
            <w:r w:rsidRPr="00ED2F73">
              <w:rPr>
                <w:rFonts w:ascii="Times New Roman" w:hAnsi="Times New Roman" w:cs="Times New Roman"/>
                <w:sz w:val="22"/>
              </w:rPr>
              <w:t>More than 20,000 but not more than 100,000</w:t>
            </w:r>
          </w:p>
        </w:tc>
        <w:tc>
          <w:tcPr>
            <w:tcW w:w="6390" w:type="dxa"/>
            <w:shd w:val="clear" w:color="auto" w:fill="FFFFFF"/>
            <w:vAlign w:val="bottom"/>
          </w:tcPr>
          <w:p w14:paraId="54E89066" w14:textId="77777777" w:rsidR="00922A2D" w:rsidRPr="00ED2F73" w:rsidRDefault="00EC76EB" w:rsidP="00ED2F73">
            <w:pPr>
              <w:ind w:left="260" w:hanging="260"/>
              <w:rPr>
                <w:rFonts w:ascii="Times New Roman" w:hAnsi="Times New Roman" w:cs="Times New Roman"/>
                <w:sz w:val="22"/>
              </w:rPr>
            </w:pPr>
            <w:r w:rsidRPr="00ED2F73">
              <w:rPr>
                <w:rFonts w:ascii="Times New Roman" w:hAnsi="Times New Roman" w:cs="Times New Roman"/>
                <w:sz w:val="22"/>
              </w:rPr>
              <w:t>$8.37 plus 33.9 cents for each 500 kilogrammes, or part of 500 kilogrammes, by which the weight of t</w:t>
            </w:r>
            <w:r w:rsidR="00ED2F73" w:rsidRPr="00ED2F73">
              <w:rPr>
                <w:rFonts w:ascii="Times New Roman" w:hAnsi="Times New Roman" w:cs="Times New Roman"/>
                <w:sz w:val="22"/>
              </w:rPr>
              <w:t>he aircraft exceeds 20,000 kilo</w:t>
            </w:r>
            <w:r w:rsidRPr="00ED2F73">
              <w:rPr>
                <w:rFonts w:ascii="Times New Roman" w:hAnsi="Times New Roman" w:cs="Times New Roman"/>
                <w:sz w:val="22"/>
              </w:rPr>
              <w:t>grammes</w:t>
            </w:r>
          </w:p>
        </w:tc>
      </w:tr>
      <w:tr w:rsidR="00922A2D" w:rsidRPr="004225DB" w14:paraId="10AC2F63" w14:textId="77777777" w:rsidTr="00ED2F73">
        <w:trPr>
          <w:trHeight w:val="648"/>
        </w:trPr>
        <w:tc>
          <w:tcPr>
            <w:tcW w:w="3340" w:type="dxa"/>
            <w:tcBorders>
              <w:bottom w:val="single" w:sz="4" w:space="0" w:color="auto"/>
            </w:tcBorders>
            <w:shd w:val="clear" w:color="auto" w:fill="FFFFFF"/>
            <w:vAlign w:val="bottom"/>
          </w:tcPr>
          <w:p w14:paraId="6E372E8B" w14:textId="77777777" w:rsidR="00922A2D" w:rsidRPr="00ED2F73" w:rsidRDefault="00ED2F73" w:rsidP="00ED2F73">
            <w:pPr>
              <w:tabs>
                <w:tab w:val="left" w:leader="dot" w:pos="3135"/>
              </w:tabs>
              <w:rPr>
                <w:rFonts w:ascii="Times New Roman" w:hAnsi="Times New Roman" w:cs="Times New Roman"/>
                <w:sz w:val="22"/>
              </w:rPr>
            </w:pPr>
            <w:r w:rsidRPr="00ED2F73">
              <w:rPr>
                <w:rFonts w:ascii="Times New Roman" w:hAnsi="Times New Roman" w:cs="Times New Roman"/>
                <w:sz w:val="22"/>
              </w:rPr>
              <w:t>More than 100,000</w:t>
            </w:r>
            <w:r w:rsidRPr="00ED2F73">
              <w:rPr>
                <w:rFonts w:ascii="Times New Roman" w:hAnsi="Times New Roman" w:cs="Times New Roman"/>
                <w:sz w:val="22"/>
              </w:rPr>
              <w:tab/>
            </w:r>
          </w:p>
        </w:tc>
        <w:tc>
          <w:tcPr>
            <w:tcW w:w="6390" w:type="dxa"/>
            <w:tcBorders>
              <w:bottom w:val="single" w:sz="4" w:space="0" w:color="auto"/>
            </w:tcBorders>
            <w:shd w:val="clear" w:color="auto" w:fill="FFFFFF"/>
            <w:vAlign w:val="bottom"/>
          </w:tcPr>
          <w:p w14:paraId="5601732B" w14:textId="77777777" w:rsidR="00922A2D" w:rsidRPr="00ED2F73" w:rsidRDefault="00EC76EB" w:rsidP="00ED2F73">
            <w:pPr>
              <w:ind w:left="260" w:hanging="260"/>
              <w:rPr>
                <w:rFonts w:ascii="Times New Roman" w:hAnsi="Times New Roman" w:cs="Times New Roman"/>
                <w:sz w:val="22"/>
              </w:rPr>
            </w:pPr>
            <w:r w:rsidRPr="00ED2F73">
              <w:rPr>
                <w:rFonts w:ascii="Times New Roman" w:hAnsi="Times New Roman" w:cs="Times New Roman"/>
                <w:sz w:val="22"/>
              </w:rPr>
              <w:t>$62.61 plus 31.4 cents for each 500 kilogrammes, or part of 500 kilogrammes, by which the weight of the aircraft exceeds 100,000 kilogrammes</w:t>
            </w:r>
          </w:p>
        </w:tc>
      </w:tr>
    </w:tbl>
    <w:p w14:paraId="7558B1E7" w14:textId="66ADE2F3" w:rsidR="00B94CA6" w:rsidRDefault="00B94CA6">
      <w:pPr>
        <w:rPr>
          <w:rFonts w:ascii="Times New Roman" w:hAnsi="Times New Roman" w:cs="Times New Roman"/>
          <w:b/>
          <w:sz w:val="20"/>
        </w:rPr>
      </w:pPr>
    </w:p>
    <w:p w14:paraId="38A2989F" w14:textId="4E0D7545" w:rsidR="00922A2D" w:rsidRPr="00ED2F73" w:rsidRDefault="00EC76EB" w:rsidP="00ED2F73">
      <w:pPr>
        <w:spacing w:before="120" w:after="60"/>
        <w:rPr>
          <w:rFonts w:ascii="Times New Roman" w:hAnsi="Times New Roman" w:cs="Times New Roman"/>
          <w:b/>
          <w:sz w:val="20"/>
        </w:rPr>
      </w:pPr>
      <w:r w:rsidRPr="00ED2F73">
        <w:rPr>
          <w:rFonts w:ascii="Times New Roman" w:hAnsi="Times New Roman" w:cs="Times New Roman"/>
          <w:b/>
          <w:sz w:val="20"/>
        </w:rPr>
        <w:lastRenderedPageBreak/>
        <w:t>Schedule 1 Table of Flights.</w:t>
      </w:r>
    </w:p>
    <w:p w14:paraId="50C5D351" w14:textId="77777777" w:rsidR="00922A2D" w:rsidRDefault="00ED2F73" w:rsidP="00ED2F73">
      <w:pPr>
        <w:tabs>
          <w:tab w:val="left" w:pos="630"/>
        </w:tabs>
        <w:ind w:firstLine="270"/>
        <w:rPr>
          <w:rFonts w:ascii="Times New Roman" w:hAnsi="Times New Roman" w:cs="Times New Roman"/>
        </w:rPr>
      </w:pPr>
      <w:r w:rsidRPr="00ED2F73">
        <w:rPr>
          <w:rFonts w:ascii="Times New Roman" w:hAnsi="Times New Roman" w:cs="Times New Roman"/>
          <w:b/>
        </w:rPr>
        <w:t>6.</w:t>
      </w:r>
      <w:r>
        <w:rPr>
          <w:rFonts w:ascii="Times New Roman" w:hAnsi="Times New Roman" w:cs="Times New Roman"/>
        </w:rPr>
        <w:tab/>
      </w:r>
      <w:r w:rsidR="00EC76EB" w:rsidRPr="004225DB">
        <w:rPr>
          <w:rFonts w:ascii="Times New Roman" w:hAnsi="Times New Roman" w:cs="Times New Roman"/>
        </w:rPr>
        <w:t>The Table of Flights contained in Schedule 1 to the Principal Act is amended by omitting items 286</w:t>
      </w:r>
      <w:r>
        <w:rPr>
          <w:rFonts w:ascii="Times New Roman" w:hAnsi="Times New Roman" w:cs="Times New Roman"/>
          <w:smallCaps/>
        </w:rPr>
        <w:t>a</w:t>
      </w:r>
      <w:r w:rsidR="00EC76EB" w:rsidRPr="004225DB">
        <w:rPr>
          <w:rFonts w:ascii="Times New Roman" w:hAnsi="Times New Roman" w:cs="Times New Roman"/>
        </w:rPr>
        <w:t>, 287, 287</w:t>
      </w:r>
      <w:r w:rsidR="00EC76EB" w:rsidRPr="00ED2F73">
        <w:rPr>
          <w:rFonts w:ascii="Times New Roman" w:hAnsi="Times New Roman" w:cs="Times New Roman"/>
          <w:smallCaps/>
        </w:rPr>
        <w:t>a</w:t>
      </w:r>
      <w:r w:rsidR="00EC76EB" w:rsidRPr="004225DB">
        <w:rPr>
          <w:rFonts w:ascii="Times New Roman" w:hAnsi="Times New Roman" w:cs="Times New Roman"/>
        </w:rPr>
        <w:t>, 288, 288</w:t>
      </w:r>
      <w:r w:rsidR="00EC76EB" w:rsidRPr="00ED2F73">
        <w:rPr>
          <w:rFonts w:ascii="Times New Roman" w:hAnsi="Times New Roman" w:cs="Times New Roman"/>
          <w:smallCaps/>
        </w:rPr>
        <w:t>a</w:t>
      </w:r>
      <w:r w:rsidR="00EC76EB" w:rsidRPr="004225DB">
        <w:rPr>
          <w:rFonts w:ascii="Times New Roman" w:hAnsi="Times New Roman" w:cs="Times New Roman"/>
        </w:rPr>
        <w:t>, 288</w:t>
      </w:r>
      <w:r w:rsidRPr="00ED2F73">
        <w:rPr>
          <w:rFonts w:ascii="Times New Roman" w:hAnsi="Times New Roman" w:cs="Times New Roman"/>
          <w:smallCaps/>
        </w:rPr>
        <w:t>b</w:t>
      </w:r>
      <w:r w:rsidR="00EC76EB" w:rsidRPr="004225DB">
        <w:rPr>
          <w:rFonts w:ascii="Times New Roman" w:hAnsi="Times New Roman" w:cs="Times New Roman"/>
        </w:rPr>
        <w:t>, 289</w:t>
      </w:r>
      <w:r>
        <w:rPr>
          <w:rFonts w:ascii="Times New Roman" w:hAnsi="Times New Roman" w:cs="Times New Roman"/>
          <w:smallCaps/>
        </w:rPr>
        <w:t>a</w:t>
      </w:r>
      <w:r w:rsidR="00EC76EB" w:rsidRPr="004225DB">
        <w:rPr>
          <w:rFonts w:ascii="Times New Roman" w:hAnsi="Times New Roman" w:cs="Times New Roman"/>
        </w:rPr>
        <w:t>, 289</w:t>
      </w:r>
      <w:r>
        <w:rPr>
          <w:rFonts w:ascii="Times New Roman" w:hAnsi="Times New Roman" w:cs="Times New Roman"/>
          <w:smallCaps/>
        </w:rPr>
        <w:t>aa</w:t>
      </w:r>
      <w:r w:rsidR="00EC76EB" w:rsidRPr="004225DB">
        <w:rPr>
          <w:rFonts w:ascii="Times New Roman" w:hAnsi="Times New Roman" w:cs="Times New Roman"/>
        </w:rPr>
        <w:t>, 289</w:t>
      </w:r>
      <w:r w:rsidR="005A65C4">
        <w:rPr>
          <w:rFonts w:ascii="Times New Roman" w:hAnsi="Times New Roman" w:cs="Times New Roman"/>
          <w:smallCaps/>
        </w:rPr>
        <w:t>b</w:t>
      </w:r>
      <w:r w:rsidR="00EC76EB" w:rsidRPr="004225DB">
        <w:rPr>
          <w:rFonts w:ascii="Times New Roman" w:hAnsi="Times New Roman" w:cs="Times New Roman"/>
        </w:rPr>
        <w:t>, 289</w:t>
      </w:r>
      <w:r>
        <w:rPr>
          <w:rFonts w:ascii="Times New Roman" w:hAnsi="Times New Roman" w:cs="Times New Roman"/>
          <w:smallCaps/>
        </w:rPr>
        <w:t>ba</w:t>
      </w:r>
      <w:r w:rsidR="00EC76EB" w:rsidRPr="004225DB">
        <w:rPr>
          <w:rFonts w:ascii="Times New Roman" w:hAnsi="Times New Roman" w:cs="Times New Roman"/>
        </w:rPr>
        <w:t>, 289</w:t>
      </w:r>
      <w:r w:rsidR="00EC76EB" w:rsidRPr="00ED2F73">
        <w:rPr>
          <w:rFonts w:ascii="Times New Roman" w:hAnsi="Times New Roman" w:cs="Times New Roman"/>
          <w:smallCaps/>
        </w:rPr>
        <w:t>c</w:t>
      </w:r>
      <w:r w:rsidR="00EC76EB" w:rsidRPr="004225DB">
        <w:rPr>
          <w:rFonts w:ascii="Times New Roman" w:hAnsi="Times New Roman" w:cs="Times New Roman"/>
        </w:rPr>
        <w:t>, 290, 291, 291</w:t>
      </w:r>
      <w:r w:rsidR="00EC76EB" w:rsidRPr="00ED2F73">
        <w:rPr>
          <w:rFonts w:ascii="Times New Roman" w:hAnsi="Times New Roman" w:cs="Times New Roman"/>
          <w:smallCaps/>
        </w:rPr>
        <w:t>a</w:t>
      </w:r>
      <w:r w:rsidR="00EC76EB" w:rsidRPr="004225DB">
        <w:rPr>
          <w:rFonts w:ascii="Times New Roman" w:hAnsi="Times New Roman" w:cs="Times New Roman"/>
        </w:rPr>
        <w:t>, 291</w:t>
      </w:r>
      <w:r w:rsidR="00EC76EB" w:rsidRPr="00ED2F73">
        <w:rPr>
          <w:rFonts w:ascii="Times New Roman" w:hAnsi="Times New Roman" w:cs="Times New Roman"/>
          <w:smallCaps/>
        </w:rPr>
        <w:t>b</w:t>
      </w:r>
      <w:r w:rsidR="00EC76EB" w:rsidRPr="004225DB">
        <w:rPr>
          <w:rFonts w:ascii="Times New Roman" w:hAnsi="Times New Roman" w:cs="Times New Roman"/>
        </w:rPr>
        <w:t>, 292, 292</w:t>
      </w:r>
      <w:r>
        <w:rPr>
          <w:rFonts w:ascii="Times New Roman" w:hAnsi="Times New Roman" w:cs="Times New Roman"/>
          <w:smallCaps/>
        </w:rPr>
        <w:t>a</w:t>
      </w:r>
      <w:r w:rsidR="00EC76EB" w:rsidRPr="004225DB">
        <w:rPr>
          <w:rFonts w:ascii="Times New Roman" w:hAnsi="Times New Roman" w:cs="Times New Roman"/>
        </w:rPr>
        <w:t>, 292</w:t>
      </w:r>
      <w:r>
        <w:rPr>
          <w:rFonts w:ascii="Times New Roman" w:hAnsi="Times New Roman" w:cs="Times New Roman"/>
          <w:smallCaps/>
        </w:rPr>
        <w:t>a</w:t>
      </w:r>
      <w:r w:rsidR="00EC76EB" w:rsidRPr="004225DB">
        <w:rPr>
          <w:rFonts w:ascii="Times New Roman" w:hAnsi="Times New Roman" w:cs="Times New Roman"/>
        </w:rPr>
        <w:t xml:space="preserve"> and 311.</w:t>
      </w:r>
    </w:p>
    <w:p w14:paraId="5048B62C" w14:textId="77777777" w:rsidR="005A65C4" w:rsidRPr="00ED2F73" w:rsidRDefault="005A65C4" w:rsidP="005A65C4">
      <w:pPr>
        <w:spacing w:before="120" w:after="60"/>
        <w:rPr>
          <w:rFonts w:ascii="Times New Roman" w:hAnsi="Times New Roman" w:cs="Times New Roman"/>
          <w:b/>
          <w:sz w:val="20"/>
        </w:rPr>
      </w:pPr>
      <w:r w:rsidRPr="00ED2F73">
        <w:rPr>
          <w:rFonts w:ascii="Times New Roman" w:hAnsi="Times New Roman" w:cs="Times New Roman"/>
          <w:b/>
          <w:sz w:val="20"/>
        </w:rPr>
        <w:t>Schedule 2 paragraph 3.</w:t>
      </w:r>
    </w:p>
    <w:p w14:paraId="10819778" w14:textId="77777777" w:rsidR="00922A2D" w:rsidRPr="004225DB" w:rsidRDefault="00ED2F73" w:rsidP="005A65C4">
      <w:pPr>
        <w:tabs>
          <w:tab w:val="left" w:pos="630"/>
        </w:tabs>
        <w:spacing w:after="160"/>
        <w:ind w:firstLine="270"/>
        <w:rPr>
          <w:rFonts w:ascii="Times New Roman" w:hAnsi="Times New Roman" w:cs="Times New Roman"/>
        </w:rPr>
      </w:pPr>
      <w:r w:rsidRPr="00ED2F73">
        <w:rPr>
          <w:rFonts w:ascii="Times New Roman" w:hAnsi="Times New Roman" w:cs="Times New Roman"/>
          <w:b/>
        </w:rPr>
        <w:t>7.</w:t>
      </w:r>
      <w:r>
        <w:rPr>
          <w:rFonts w:ascii="Times New Roman" w:hAnsi="Times New Roman" w:cs="Times New Roman"/>
        </w:rPr>
        <w:tab/>
      </w:r>
      <w:r w:rsidR="00EC76EB" w:rsidRPr="004225DB">
        <w:rPr>
          <w:rFonts w:ascii="Times New Roman" w:hAnsi="Times New Roman" w:cs="Times New Roman"/>
        </w:rPr>
        <w:t>Paragraph 3 of Schedule 2 to the Principal Act is amended by omitting the table in sub-paragraph (1) and substituting the following table: —</w:t>
      </w:r>
    </w:p>
    <w:tbl>
      <w:tblPr>
        <w:tblOverlap w:val="never"/>
        <w:tblW w:w="0" w:type="auto"/>
        <w:tblLayout w:type="fixed"/>
        <w:tblCellMar>
          <w:left w:w="10" w:type="dxa"/>
          <w:right w:w="10" w:type="dxa"/>
        </w:tblCellMar>
        <w:tblLook w:val="0000" w:firstRow="0" w:lastRow="0" w:firstColumn="0" w:lastColumn="0" w:noHBand="0" w:noVBand="0"/>
      </w:tblPr>
      <w:tblGrid>
        <w:gridCol w:w="4240"/>
        <w:gridCol w:w="2970"/>
        <w:gridCol w:w="2520"/>
      </w:tblGrid>
      <w:tr w:rsidR="00922A2D" w:rsidRPr="004225DB" w14:paraId="0AEE6E9A" w14:textId="77777777" w:rsidTr="0045355C">
        <w:trPr>
          <w:trHeight w:val="322"/>
        </w:trPr>
        <w:tc>
          <w:tcPr>
            <w:tcW w:w="4240" w:type="dxa"/>
            <w:tcBorders>
              <w:top w:val="single" w:sz="2" w:space="0" w:color="auto"/>
            </w:tcBorders>
            <w:shd w:val="clear" w:color="auto" w:fill="FFFFFF"/>
            <w:vAlign w:val="center"/>
          </w:tcPr>
          <w:p w14:paraId="569C9622" w14:textId="77777777" w:rsidR="00922A2D" w:rsidRPr="005A65C4" w:rsidRDefault="00EC76EB" w:rsidP="005A65C4">
            <w:pPr>
              <w:jc w:val="center"/>
              <w:rPr>
                <w:rFonts w:ascii="Times New Roman" w:hAnsi="Times New Roman" w:cs="Times New Roman"/>
                <w:sz w:val="20"/>
              </w:rPr>
            </w:pPr>
            <w:r w:rsidRPr="005A65C4">
              <w:rPr>
                <w:rFonts w:ascii="Times New Roman" w:hAnsi="Times New Roman" w:cs="Times New Roman"/>
                <w:sz w:val="20"/>
              </w:rPr>
              <w:t>Column 1</w:t>
            </w:r>
          </w:p>
        </w:tc>
        <w:tc>
          <w:tcPr>
            <w:tcW w:w="2970" w:type="dxa"/>
            <w:tcBorders>
              <w:top w:val="single" w:sz="2" w:space="0" w:color="auto"/>
            </w:tcBorders>
            <w:shd w:val="clear" w:color="auto" w:fill="FFFFFF"/>
            <w:vAlign w:val="center"/>
          </w:tcPr>
          <w:p w14:paraId="50387164" w14:textId="77777777" w:rsidR="00922A2D" w:rsidRPr="005A65C4" w:rsidRDefault="00EC76EB" w:rsidP="005A65C4">
            <w:pPr>
              <w:jc w:val="center"/>
              <w:rPr>
                <w:rFonts w:ascii="Times New Roman" w:hAnsi="Times New Roman" w:cs="Times New Roman"/>
                <w:sz w:val="20"/>
              </w:rPr>
            </w:pPr>
            <w:r w:rsidRPr="005A65C4">
              <w:rPr>
                <w:rFonts w:ascii="Times New Roman" w:hAnsi="Times New Roman" w:cs="Times New Roman"/>
                <w:sz w:val="20"/>
              </w:rPr>
              <w:t>Column 2</w:t>
            </w:r>
          </w:p>
        </w:tc>
        <w:tc>
          <w:tcPr>
            <w:tcW w:w="2520" w:type="dxa"/>
            <w:tcBorders>
              <w:top w:val="single" w:sz="2" w:space="0" w:color="auto"/>
            </w:tcBorders>
            <w:shd w:val="clear" w:color="auto" w:fill="FFFFFF"/>
            <w:vAlign w:val="center"/>
          </w:tcPr>
          <w:p w14:paraId="2062D768" w14:textId="77777777" w:rsidR="00922A2D" w:rsidRPr="005A65C4" w:rsidRDefault="00EC76EB" w:rsidP="005A65C4">
            <w:pPr>
              <w:jc w:val="center"/>
              <w:rPr>
                <w:rFonts w:ascii="Times New Roman" w:hAnsi="Times New Roman" w:cs="Times New Roman"/>
                <w:sz w:val="20"/>
              </w:rPr>
            </w:pPr>
            <w:r w:rsidRPr="005A65C4">
              <w:rPr>
                <w:rFonts w:ascii="Times New Roman" w:hAnsi="Times New Roman" w:cs="Times New Roman"/>
                <w:sz w:val="20"/>
              </w:rPr>
              <w:t>Column 3</w:t>
            </w:r>
          </w:p>
        </w:tc>
      </w:tr>
      <w:tr w:rsidR="00922A2D" w:rsidRPr="004225DB" w14:paraId="6341AF72" w14:textId="77777777" w:rsidTr="0045355C">
        <w:trPr>
          <w:trHeight w:val="662"/>
        </w:trPr>
        <w:tc>
          <w:tcPr>
            <w:tcW w:w="4240" w:type="dxa"/>
            <w:tcBorders>
              <w:bottom w:val="single" w:sz="2" w:space="0" w:color="auto"/>
            </w:tcBorders>
            <w:shd w:val="clear" w:color="auto" w:fill="FFFFFF"/>
            <w:vAlign w:val="center"/>
          </w:tcPr>
          <w:p w14:paraId="7815B7CC" w14:textId="77777777" w:rsidR="00922A2D" w:rsidRPr="005A65C4" w:rsidRDefault="00EC76EB" w:rsidP="005A65C4">
            <w:pPr>
              <w:jc w:val="center"/>
              <w:rPr>
                <w:rFonts w:ascii="Times New Roman" w:hAnsi="Times New Roman" w:cs="Times New Roman"/>
                <w:sz w:val="20"/>
              </w:rPr>
            </w:pPr>
            <w:r w:rsidRPr="005A65C4">
              <w:rPr>
                <w:rFonts w:ascii="Times New Roman" w:hAnsi="Times New Roman" w:cs="Times New Roman"/>
                <w:sz w:val="20"/>
              </w:rPr>
              <w:t>Type of aircraft</w:t>
            </w:r>
          </w:p>
        </w:tc>
        <w:tc>
          <w:tcPr>
            <w:tcW w:w="2970" w:type="dxa"/>
            <w:tcBorders>
              <w:bottom w:val="single" w:sz="2" w:space="0" w:color="auto"/>
            </w:tcBorders>
            <w:shd w:val="clear" w:color="auto" w:fill="FFFFFF"/>
            <w:vAlign w:val="center"/>
          </w:tcPr>
          <w:p w14:paraId="7439139A" w14:textId="77777777" w:rsidR="00922A2D" w:rsidRPr="005A65C4" w:rsidRDefault="00EC76EB" w:rsidP="005A65C4">
            <w:pPr>
              <w:jc w:val="center"/>
              <w:rPr>
                <w:rFonts w:ascii="Times New Roman" w:hAnsi="Times New Roman" w:cs="Times New Roman"/>
                <w:sz w:val="20"/>
              </w:rPr>
            </w:pPr>
            <w:r w:rsidRPr="005A65C4">
              <w:rPr>
                <w:rFonts w:ascii="Times New Roman" w:hAnsi="Times New Roman" w:cs="Times New Roman"/>
                <w:sz w:val="20"/>
              </w:rPr>
              <w:t>Factor if weight of aircraft does not exceed 9,000 kilogrammes</w:t>
            </w:r>
          </w:p>
        </w:tc>
        <w:tc>
          <w:tcPr>
            <w:tcW w:w="2520" w:type="dxa"/>
            <w:tcBorders>
              <w:bottom w:val="single" w:sz="2" w:space="0" w:color="auto"/>
            </w:tcBorders>
            <w:shd w:val="clear" w:color="auto" w:fill="FFFFFF"/>
            <w:vAlign w:val="center"/>
          </w:tcPr>
          <w:p w14:paraId="4CB1FCF2" w14:textId="77777777" w:rsidR="00922A2D" w:rsidRPr="005A65C4" w:rsidRDefault="00EC76EB" w:rsidP="005A65C4">
            <w:pPr>
              <w:jc w:val="center"/>
              <w:rPr>
                <w:rFonts w:ascii="Times New Roman" w:hAnsi="Times New Roman" w:cs="Times New Roman"/>
                <w:sz w:val="20"/>
              </w:rPr>
            </w:pPr>
            <w:r w:rsidRPr="005A65C4">
              <w:rPr>
                <w:rFonts w:ascii="Times New Roman" w:hAnsi="Times New Roman" w:cs="Times New Roman"/>
                <w:sz w:val="20"/>
              </w:rPr>
              <w:t>Factor if weight of aircraft exceeds 9,000 kilogrammes</w:t>
            </w:r>
          </w:p>
        </w:tc>
      </w:tr>
      <w:tr w:rsidR="00922A2D" w:rsidRPr="004225DB" w14:paraId="3C9C7C4F" w14:textId="77777777" w:rsidTr="0045355C">
        <w:trPr>
          <w:trHeight w:val="264"/>
        </w:trPr>
        <w:tc>
          <w:tcPr>
            <w:tcW w:w="4240" w:type="dxa"/>
            <w:tcBorders>
              <w:top w:val="single" w:sz="2" w:space="0" w:color="auto"/>
            </w:tcBorders>
            <w:shd w:val="clear" w:color="auto" w:fill="FFFFFF"/>
          </w:tcPr>
          <w:p w14:paraId="69F498F4" w14:textId="77777777" w:rsidR="00922A2D" w:rsidRPr="005A65C4" w:rsidRDefault="00EC76EB" w:rsidP="005A65C4">
            <w:pPr>
              <w:tabs>
                <w:tab w:val="left" w:leader="dot" w:pos="4095"/>
              </w:tabs>
              <w:rPr>
                <w:rFonts w:ascii="Times New Roman" w:hAnsi="Times New Roman" w:cs="Times New Roman"/>
                <w:sz w:val="22"/>
              </w:rPr>
            </w:pPr>
            <w:r w:rsidRPr="005A65C4">
              <w:rPr>
                <w:rFonts w:ascii="Times New Roman" w:hAnsi="Times New Roman" w:cs="Times New Roman"/>
                <w:sz w:val="22"/>
              </w:rPr>
              <w:t>Private aircraft</w:t>
            </w:r>
            <w:r w:rsidRPr="005A65C4">
              <w:rPr>
                <w:rFonts w:ascii="Times New Roman" w:hAnsi="Times New Roman" w:cs="Times New Roman"/>
                <w:sz w:val="22"/>
              </w:rPr>
              <w:tab/>
            </w:r>
          </w:p>
        </w:tc>
        <w:tc>
          <w:tcPr>
            <w:tcW w:w="2970" w:type="dxa"/>
            <w:tcBorders>
              <w:top w:val="single" w:sz="2" w:space="0" w:color="auto"/>
            </w:tcBorders>
            <w:shd w:val="clear" w:color="auto" w:fill="FFFFFF"/>
            <w:vAlign w:val="bottom"/>
          </w:tcPr>
          <w:p w14:paraId="679CC219" w14:textId="77777777" w:rsidR="00922A2D" w:rsidRPr="005A65C4" w:rsidRDefault="00EC76EB" w:rsidP="0062754B">
            <w:pPr>
              <w:jc w:val="center"/>
              <w:rPr>
                <w:rFonts w:ascii="Times New Roman" w:hAnsi="Times New Roman" w:cs="Times New Roman"/>
                <w:sz w:val="22"/>
              </w:rPr>
            </w:pPr>
            <w:r w:rsidRPr="005A65C4">
              <w:rPr>
                <w:rFonts w:ascii="Times New Roman" w:hAnsi="Times New Roman" w:cs="Times New Roman"/>
                <w:sz w:val="22"/>
              </w:rPr>
              <w:t>18</w:t>
            </w:r>
          </w:p>
        </w:tc>
        <w:tc>
          <w:tcPr>
            <w:tcW w:w="2520" w:type="dxa"/>
            <w:tcBorders>
              <w:top w:val="single" w:sz="2" w:space="0" w:color="auto"/>
            </w:tcBorders>
            <w:shd w:val="clear" w:color="auto" w:fill="FFFFFF"/>
            <w:vAlign w:val="bottom"/>
          </w:tcPr>
          <w:p w14:paraId="03CF23C9" w14:textId="77777777" w:rsidR="00922A2D" w:rsidRPr="005A65C4" w:rsidRDefault="00EC76EB" w:rsidP="0062754B">
            <w:pPr>
              <w:jc w:val="center"/>
              <w:rPr>
                <w:rFonts w:ascii="Times New Roman" w:hAnsi="Times New Roman" w:cs="Times New Roman"/>
                <w:sz w:val="22"/>
              </w:rPr>
            </w:pPr>
            <w:r w:rsidRPr="005A65C4">
              <w:rPr>
                <w:rFonts w:ascii="Times New Roman" w:hAnsi="Times New Roman" w:cs="Times New Roman"/>
                <w:sz w:val="22"/>
              </w:rPr>
              <w:t>24</w:t>
            </w:r>
          </w:p>
        </w:tc>
      </w:tr>
      <w:tr w:rsidR="00922A2D" w:rsidRPr="004225DB" w14:paraId="603E9770" w14:textId="77777777" w:rsidTr="0045355C">
        <w:trPr>
          <w:trHeight w:val="168"/>
        </w:trPr>
        <w:tc>
          <w:tcPr>
            <w:tcW w:w="4240" w:type="dxa"/>
            <w:shd w:val="clear" w:color="auto" w:fill="FFFFFF"/>
          </w:tcPr>
          <w:p w14:paraId="5A59B592" w14:textId="77777777" w:rsidR="00922A2D" w:rsidRPr="005A65C4" w:rsidRDefault="005A65C4" w:rsidP="005A65C4">
            <w:pPr>
              <w:tabs>
                <w:tab w:val="left" w:leader="dot" w:pos="4095"/>
              </w:tabs>
              <w:rPr>
                <w:rFonts w:ascii="Times New Roman" w:hAnsi="Times New Roman" w:cs="Times New Roman"/>
                <w:sz w:val="22"/>
              </w:rPr>
            </w:pPr>
            <w:r w:rsidRPr="005A65C4">
              <w:rPr>
                <w:rFonts w:ascii="Times New Roman" w:hAnsi="Times New Roman" w:cs="Times New Roman"/>
                <w:sz w:val="22"/>
              </w:rPr>
              <w:t>Aerial work aircraft</w:t>
            </w:r>
            <w:r w:rsidRPr="005A65C4">
              <w:rPr>
                <w:rFonts w:ascii="Times New Roman" w:hAnsi="Times New Roman" w:cs="Times New Roman"/>
                <w:sz w:val="22"/>
              </w:rPr>
              <w:tab/>
            </w:r>
          </w:p>
        </w:tc>
        <w:tc>
          <w:tcPr>
            <w:tcW w:w="2970" w:type="dxa"/>
            <w:shd w:val="clear" w:color="auto" w:fill="FFFFFF"/>
            <w:vAlign w:val="bottom"/>
          </w:tcPr>
          <w:p w14:paraId="3E9777D5" w14:textId="77777777" w:rsidR="00922A2D" w:rsidRPr="005A65C4" w:rsidRDefault="00EC76EB" w:rsidP="0062754B">
            <w:pPr>
              <w:jc w:val="center"/>
              <w:rPr>
                <w:rFonts w:ascii="Times New Roman" w:hAnsi="Times New Roman" w:cs="Times New Roman"/>
                <w:sz w:val="22"/>
              </w:rPr>
            </w:pPr>
            <w:r w:rsidRPr="005A65C4">
              <w:rPr>
                <w:rFonts w:ascii="Times New Roman" w:hAnsi="Times New Roman" w:cs="Times New Roman"/>
                <w:sz w:val="22"/>
              </w:rPr>
              <w:t>36</w:t>
            </w:r>
          </w:p>
        </w:tc>
        <w:tc>
          <w:tcPr>
            <w:tcW w:w="2520" w:type="dxa"/>
            <w:shd w:val="clear" w:color="auto" w:fill="FFFFFF"/>
            <w:vAlign w:val="bottom"/>
          </w:tcPr>
          <w:p w14:paraId="53DCFF65" w14:textId="77777777" w:rsidR="00922A2D" w:rsidRPr="005A65C4" w:rsidRDefault="00EC76EB" w:rsidP="0062754B">
            <w:pPr>
              <w:jc w:val="center"/>
              <w:rPr>
                <w:rFonts w:ascii="Times New Roman" w:hAnsi="Times New Roman" w:cs="Times New Roman"/>
                <w:sz w:val="22"/>
              </w:rPr>
            </w:pPr>
            <w:r w:rsidRPr="005A65C4">
              <w:rPr>
                <w:rFonts w:ascii="Times New Roman" w:hAnsi="Times New Roman" w:cs="Times New Roman"/>
                <w:sz w:val="22"/>
              </w:rPr>
              <w:t>48</w:t>
            </w:r>
          </w:p>
        </w:tc>
      </w:tr>
      <w:tr w:rsidR="00922A2D" w:rsidRPr="004225DB" w14:paraId="0EC968E2" w14:textId="77777777" w:rsidTr="0045355C">
        <w:trPr>
          <w:trHeight w:val="322"/>
        </w:trPr>
        <w:tc>
          <w:tcPr>
            <w:tcW w:w="4240" w:type="dxa"/>
            <w:tcBorders>
              <w:bottom w:val="single" w:sz="2" w:space="0" w:color="auto"/>
            </w:tcBorders>
            <w:shd w:val="clear" w:color="auto" w:fill="FFFFFF"/>
          </w:tcPr>
          <w:p w14:paraId="5C44840B" w14:textId="77777777" w:rsidR="00922A2D" w:rsidRPr="005A65C4" w:rsidRDefault="005A65C4" w:rsidP="005A65C4">
            <w:pPr>
              <w:tabs>
                <w:tab w:val="left" w:leader="dot" w:pos="4095"/>
              </w:tabs>
              <w:rPr>
                <w:rFonts w:ascii="Times New Roman" w:hAnsi="Times New Roman" w:cs="Times New Roman"/>
                <w:sz w:val="22"/>
              </w:rPr>
            </w:pPr>
            <w:r w:rsidRPr="005A65C4">
              <w:rPr>
                <w:rFonts w:ascii="Times New Roman" w:hAnsi="Times New Roman" w:cs="Times New Roman"/>
                <w:sz w:val="22"/>
              </w:rPr>
              <w:t>Charter aircraft</w:t>
            </w:r>
            <w:r w:rsidRPr="005A65C4">
              <w:rPr>
                <w:rFonts w:ascii="Times New Roman" w:hAnsi="Times New Roman" w:cs="Times New Roman"/>
                <w:sz w:val="22"/>
              </w:rPr>
              <w:tab/>
            </w:r>
          </w:p>
        </w:tc>
        <w:tc>
          <w:tcPr>
            <w:tcW w:w="2970" w:type="dxa"/>
            <w:tcBorders>
              <w:bottom w:val="single" w:sz="2" w:space="0" w:color="auto"/>
            </w:tcBorders>
            <w:shd w:val="clear" w:color="auto" w:fill="FFFFFF"/>
            <w:vAlign w:val="bottom"/>
          </w:tcPr>
          <w:p w14:paraId="4B8A8A77" w14:textId="77777777" w:rsidR="00922A2D" w:rsidRPr="005A65C4" w:rsidRDefault="00EC76EB" w:rsidP="0062754B">
            <w:pPr>
              <w:jc w:val="center"/>
              <w:rPr>
                <w:rFonts w:ascii="Times New Roman" w:hAnsi="Times New Roman" w:cs="Times New Roman"/>
                <w:sz w:val="22"/>
              </w:rPr>
            </w:pPr>
            <w:r w:rsidRPr="005A65C4">
              <w:rPr>
                <w:rFonts w:ascii="Times New Roman" w:hAnsi="Times New Roman" w:cs="Times New Roman"/>
                <w:sz w:val="22"/>
              </w:rPr>
              <w:t>45</w:t>
            </w:r>
          </w:p>
        </w:tc>
        <w:tc>
          <w:tcPr>
            <w:tcW w:w="2520" w:type="dxa"/>
            <w:tcBorders>
              <w:bottom w:val="single" w:sz="2" w:space="0" w:color="auto"/>
            </w:tcBorders>
            <w:shd w:val="clear" w:color="auto" w:fill="FFFFFF"/>
            <w:vAlign w:val="bottom"/>
          </w:tcPr>
          <w:p w14:paraId="1CEEC35C" w14:textId="77777777" w:rsidR="00922A2D" w:rsidRPr="005A65C4" w:rsidRDefault="00EC76EB" w:rsidP="0062754B">
            <w:pPr>
              <w:jc w:val="center"/>
              <w:rPr>
                <w:rFonts w:ascii="Times New Roman" w:hAnsi="Times New Roman" w:cs="Times New Roman"/>
                <w:sz w:val="22"/>
              </w:rPr>
            </w:pPr>
            <w:r w:rsidRPr="005A65C4">
              <w:rPr>
                <w:rFonts w:ascii="Times New Roman" w:hAnsi="Times New Roman" w:cs="Times New Roman"/>
                <w:sz w:val="22"/>
              </w:rPr>
              <w:t>60</w:t>
            </w:r>
          </w:p>
        </w:tc>
      </w:tr>
    </w:tbl>
    <w:p w14:paraId="5FC94C03" w14:textId="77777777" w:rsidR="00922A2D" w:rsidRPr="005A65C4" w:rsidRDefault="00EC76EB" w:rsidP="005A65C4">
      <w:pPr>
        <w:spacing w:before="120" w:after="60"/>
        <w:rPr>
          <w:rFonts w:ascii="Times New Roman" w:hAnsi="Times New Roman" w:cs="Times New Roman"/>
          <w:b/>
          <w:sz w:val="20"/>
        </w:rPr>
      </w:pPr>
      <w:r w:rsidRPr="005A65C4">
        <w:rPr>
          <w:rFonts w:ascii="Times New Roman" w:hAnsi="Times New Roman" w:cs="Times New Roman"/>
          <w:b/>
          <w:sz w:val="20"/>
        </w:rPr>
        <w:t>Schedule 2 paragraph 6.</w:t>
      </w:r>
    </w:p>
    <w:p w14:paraId="48760BD8" w14:textId="37E88408" w:rsidR="00922A2D" w:rsidRPr="004225DB" w:rsidRDefault="005A65C4" w:rsidP="005A65C4">
      <w:pPr>
        <w:tabs>
          <w:tab w:val="left" w:pos="630"/>
        </w:tabs>
        <w:spacing w:after="160"/>
        <w:ind w:firstLine="270"/>
        <w:rPr>
          <w:rFonts w:ascii="Times New Roman" w:hAnsi="Times New Roman" w:cs="Times New Roman"/>
        </w:rPr>
      </w:pPr>
      <w:r w:rsidRPr="005A65C4">
        <w:rPr>
          <w:rFonts w:ascii="Times New Roman" w:hAnsi="Times New Roman" w:cs="Times New Roman"/>
          <w:b/>
        </w:rPr>
        <w:t>8.</w:t>
      </w:r>
      <w:r>
        <w:rPr>
          <w:rFonts w:ascii="Times New Roman" w:hAnsi="Times New Roman" w:cs="Times New Roman"/>
        </w:rPr>
        <w:tab/>
      </w:r>
      <w:r w:rsidR="00EC76EB" w:rsidRPr="004225DB">
        <w:rPr>
          <w:rFonts w:ascii="Times New Roman" w:hAnsi="Times New Roman" w:cs="Times New Roman"/>
        </w:rPr>
        <w:t>Paragraph 6 of Schedule 2 to the Principal Act is repealed and the following paragraph substituted:—</w:t>
      </w:r>
    </w:p>
    <w:p w14:paraId="73B147DD" w14:textId="76CF08DC" w:rsidR="005A65C4" w:rsidRDefault="00EC76EB" w:rsidP="005A65C4">
      <w:pPr>
        <w:ind w:firstLine="270"/>
        <w:rPr>
          <w:rFonts w:ascii="Times New Roman" w:hAnsi="Times New Roman" w:cs="Times New Roman"/>
        </w:rPr>
      </w:pPr>
      <w:r w:rsidRPr="004225DB">
        <w:rPr>
          <w:rFonts w:ascii="Times New Roman" w:hAnsi="Times New Roman" w:cs="Times New Roman"/>
        </w:rPr>
        <w:t>“6. (1) Where, at any time during a year in respect of which a charge has been paid under this Schedule in respect of an aircraft, the aircraft is operated by the holder of an airline licence in training flights in respect of which a charge is payable under paragraph 5</w:t>
      </w:r>
      <w:r w:rsidR="00B94CA6">
        <w:rPr>
          <w:rFonts w:ascii="Times New Roman" w:hAnsi="Times New Roman" w:cs="Times New Roman"/>
          <w:smallCaps/>
        </w:rPr>
        <w:t>a</w:t>
      </w:r>
      <w:r w:rsidRPr="004225DB">
        <w:rPr>
          <w:rFonts w:ascii="Times New Roman" w:hAnsi="Times New Roman" w:cs="Times New Roman"/>
        </w:rPr>
        <w:t xml:space="preserve"> of Schedule 1, there shall be refunded to the person who paid the charge under this Schedule an amount ascertained by multiplying one-seventh of the weekly rate at which the charge was paid under this Schedule by the number of days during which the aircraft is so operated in training flights.</w:t>
      </w:r>
    </w:p>
    <w:p w14:paraId="0388B6D1" w14:textId="77777777" w:rsidR="00922A2D" w:rsidRPr="004225DB" w:rsidRDefault="00EC76EB" w:rsidP="005A65C4">
      <w:pPr>
        <w:ind w:firstLine="270"/>
        <w:rPr>
          <w:rFonts w:ascii="Times New Roman" w:hAnsi="Times New Roman" w:cs="Times New Roman"/>
        </w:rPr>
      </w:pPr>
      <w:r w:rsidRPr="004225DB">
        <w:rPr>
          <w:rFonts w:ascii="Times New Roman" w:hAnsi="Times New Roman" w:cs="Times New Roman"/>
        </w:rPr>
        <w:t>“(2) A person is not entitled to so much of a refund otherwise payable under sub-paragraph (1) in respect of an aircraft as would exceed the amount of the charges payable under Schedule 1 by reason of the use of that aircraft in the training flights that gave rise to the right to the refund.”.</w:t>
      </w:r>
    </w:p>
    <w:p w14:paraId="2EDA24E7" w14:textId="77777777" w:rsidR="00922A2D" w:rsidRPr="005A65C4" w:rsidRDefault="00EC76EB" w:rsidP="005A65C4">
      <w:pPr>
        <w:spacing w:before="120" w:after="60"/>
        <w:rPr>
          <w:rFonts w:ascii="Times New Roman" w:hAnsi="Times New Roman" w:cs="Times New Roman"/>
          <w:b/>
          <w:sz w:val="20"/>
        </w:rPr>
      </w:pPr>
      <w:r w:rsidRPr="005A65C4">
        <w:rPr>
          <w:rFonts w:ascii="Times New Roman" w:hAnsi="Times New Roman" w:cs="Times New Roman"/>
          <w:b/>
          <w:sz w:val="20"/>
        </w:rPr>
        <w:t>Schedule 2 paragraph 10.</w:t>
      </w:r>
    </w:p>
    <w:p w14:paraId="01C67582" w14:textId="0C8C3954" w:rsidR="00922A2D" w:rsidRDefault="002451B5" w:rsidP="002451B5">
      <w:pPr>
        <w:tabs>
          <w:tab w:val="left" w:pos="630"/>
        </w:tabs>
        <w:ind w:firstLine="270"/>
        <w:rPr>
          <w:rFonts w:ascii="Times New Roman" w:hAnsi="Times New Roman" w:cs="Times New Roman"/>
        </w:rPr>
      </w:pPr>
      <w:r w:rsidRPr="002451B5">
        <w:rPr>
          <w:rFonts w:ascii="Times New Roman" w:hAnsi="Times New Roman" w:cs="Times New Roman"/>
          <w:b/>
        </w:rPr>
        <w:t>9.</w:t>
      </w:r>
      <w:r>
        <w:rPr>
          <w:rFonts w:ascii="Times New Roman" w:hAnsi="Times New Roman" w:cs="Times New Roman"/>
        </w:rPr>
        <w:tab/>
      </w:r>
      <w:r w:rsidR="00EC76EB" w:rsidRPr="004225DB">
        <w:rPr>
          <w:rFonts w:ascii="Times New Roman" w:hAnsi="Times New Roman" w:cs="Times New Roman"/>
        </w:rPr>
        <w:t>Paragraph 10 of Schedule 2 to the Principal Act is amended b</w:t>
      </w:r>
      <w:r w:rsidR="00B94CA6">
        <w:rPr>
          <w:rFonts w:ascii="Times New Roman" w:hAnsi="Times New Roman" w:cs="Times New Roman"/>
        </w:rPr>
        <w:t>y omitting from sub-paragraph (1</w:t>
      </w:r>
      <w:r>
        <w:rPr>
          <w:rFonts w:ascii="Times New Roman" w:hAnsi="Times New Roman" w:cs="Times New Roman"/>
          <w:smallCaps/>
        </w:rPr>
        <w:t>a</w:t>
      </w:r>
      <w:r w:rsidR="00EC76EB" w:rsidRPr="004225DB">
        <w:rPr>
          <w:rFonts w:ascii="Times New Roman" w:hAnsi="Times New Roman" w:cs="Times New Roman"/>
        </w:rPr>
        <w:t>) the word “one-third” and substituting the word “one-half”.</w:t>
      </w:r>
    </w:p>
    <w:p w14:paraId="3596A98F" w14:textId="77777777" w:rsidR="002451B5" w:rsidRPr="005A65C4" w:rsidRDefault="002451B5" w:rsidP="002451B5">
      <w:pPr>
        <w:spacing w:before="120" w:after="60"/>
        <w:rPr>
          <w:rFonts w:ascii="Times New Roman" w:hAnsi="Times New Roman" w:cs="Times New Roman"/>
          <w:b/>
          <w:sz w:val="20"/>
        </w:rPr>
      </w:pPr>
      <w:r w:rsidRPr="005A65C4">
        <w:rPr>
          <w:rFonts w:ascii="Times New Roman" w:hAnsi="Times New Roman" w:cs="Times New Roman"/>
          <w:b/>
          <w:sz w:val="20"/>
        </w:rPr>
        <w:t>Schedule 3 paragraph 1.</w:t>
      </w:r>
    </w:p>
    <w:p w14:paraId="6FF3A8AB" w14:textId="7A800D86" w:rsidR="00922A2D" w:rsidRPr="004225DB" w:rsidRDefault="002451B5" w:rsidP="002451B5">
      <w:pPr>
        <w:tabs>
          <w:tab w:val="left" w:pos="630"/>
        </w:tabs>
        <w:spacing w:after="160"/>
        <w:ind w:firstLine="270"/>
        <w:rPr>
          <w:rFonts w:ascii="Times New Roman" w:hAnsi="Times New Roman" w:cs="Times New Roman"/>
        </w:rPr>
      </w:pPr>
      <w:r w:rsidRPr="002451B5">
        <w:rPr>
          <w:rFonts w:ascii="Times New Roman" w:hAnsi="Times New Roman" w:cs="Times New Roman"/>
          <w:b/>
        </w:rPr>
        <w:t>10.</w:t>
      </w:r>
      <w:r>
        <w:rPr>
          <w:rFonts w:ascii="Times New Roman" w:hAnsi="Times New Roman" w:cs="Times New Roman"/>
        </w:rPr>
        <w:tab/>
      </w:r>
      <w:r w:rsidR="00EC76EB" w:rsidRPr="004225DB">
        <w:rPr>
          <w:rFonts w:ascii="Times New Roman" w:hAnsi="Times New Roman" w:cs="Times New Roman"/>
        </w:rPr>
        <w:t>Paragraph 1 of Schedule 3 to the Principal Act is repealed and the following paragraph substituted:—</w:t>
      </w:r>
    </w:p>
    <w:p w14:paraId="719A912B" w14:textId="77777777" w:rsidR="00922A2D" w:rsidRPr="004225DB" w:rsidRDefault="00EC76EB" w:rsidP="002451B5">
      <w:pPr>
        <w:spacing w:after="160"/>
        <w:ind w:firstLine="270"/>
        <w:rPr>
          <w:rFonts w:ascii="Times New Roman" w:hAnsi="Times New Roman" w:cs="Times New Roman"/>
        </w:rPr>
      </w:pPr>
      <w:r w:rsidRPr="004225DB">
        <w:rPr>
          <w:rFonts w:ascii="Times New Roman" w:hAnsi="Times New Roman" w:cs="Times New Roman"/>
        </w:rPr>
        <w:t>“1. Charges are payable, in accordance with this Schedule, by the owners of foreign aircraft, other than aircraft—</w:t>
      </w:r>
    </w:p>
    <w:p w14:paraId="51C011EF" w14:textId="77777777" w:rsidR="00922A2D" w:rsidRPr="004225DB" w:rsidRDefault="002451B5" w:rsidP="002451B5">
      <w:pPr>
        <w:spacing w:after="160"/>
        <w:ind w:firstLine="360"/>
        <w:rPr>
          <w:rFonts w:ascii="Times New Roman" w:hAnsi="Times New Roman" w:cs="Times New Roman"/>
        </w:rPr>
      </w:pPr>
      <w:r>
        <w:rPr>
          <w:rFonts w:ascii="Times New Roman" w:hAnsi="Times New Roman" w:cs="Times New Roman"/>
        </w:rPr>
        <w:t xml:space="preserve">(i) </w:t>
      </w:r>
      <w:r w:rsidR="00EC76EB" w:rsidRPr="004225DB">
        <w:rPr>
          <w:rFonts w:ascii="Times New Roman" w:hAnsi="Times New Roman" w:cs="Times New Roman"/>
        </w:rPr>
        <w:t>that are operated by the holders of airline licences; or</w:t>
      </w:r>
    </w:p>
    <w:p w14:paraId="507CECA4" w14:textId="77777777" w:rsidR="00922A2D" w:rsidRPr="004225DB" w:rsidRDefault="002451B5" w:rsidP="002451B5">
      <w:pPr>
        <w:ind w:firstLine="315"/>
        <w:rPr>
          <w:rFonts w:ascii="Times New Roman" w:hAnsi="Times New Roman" w:cs="Times New Roman"/>
        </w:rPr>
      </w:pPr>
      <w:r>
        <w:rPr>
          <w:rFonts w:ascii="Times New Roman" w:hAnsi="Times New Roman" w:cs="Times New Roman"/>
        </w:rPr>
        <w:t xml:space="preserve">(ii) </w:t>
      </w:r>
      <w:r w:rsidR="00EC76EB" w:rsidRPr="004225DB">
        <w:rPr>
          <w:rFonts w:ascii="Times New Roman" w:hAnsi="Times New Roman" w:cs="Times New Roman"/>
        </w:rPr>
        <w:t>that are operated by the holders of charter licences in the course of regular public transport operations or of charter operations.”.</w:t>
      </w:r>
    </w:p>
    <w:p w14:paraId="638F4237" w14:textId="77777777" w:rsidR="00922A2D" w:rsidRPr="002451B5" w:rsidRDefault="00EC76EB" w:rsidP="002451B5">
      <w:pPr>
        <w:spacing w:before="120" w:after="60"/>
        <w:rPr>
          <w:rFonts w:ascii="Times New Roman" w:hAnsi="Times New Roman" w:cs="Times New Roman"/>
          <w:b/>
          <w:sz w:val="20"/>
        </w:rPr>
      </w:pPr>
      <w:r w:rsidRPr="002451B5">
        <w:rPr>
          <w:rFonts w:ascii="Times New Roman" w:hAnsi="Times New Roman" w:cs="Times New Roman"/>
          <w:b/>
          <w:sz w:val="20"/>
        </w:rPr>
        <w:t>Schedule 3 paragraph 3.</w:t>
      </w:r>
    </w:p>
    <w:p w14:paraId="09EC34BD" w14:textId="77777777" w:rsidR="00922A2D" w:rsidRPr="004225DB" w:rsidRDefault="002451B5" w:rsidP="002451B5">
      <w:pPr>
        <w:tabs>
          <w:tab w:val="left" w:pos="630"/>
        </w:tabs>
        <w:spacing w:after="160"/>
        <w:ind w:firstLine="270"/>
        <w:rPr>
          <w:rFonts w:ascii="Times New Roman" w:hAnsi="Times New Roman" w:cs="Times New Roman"/>
        </w:rPr>
      </w:pPr>
      <w:r w:rsidRPr="002451B5">
        <w:rPr>
          <w:rFonts w:ascii="Times New Roman" w:hAnsi="Times New Roman" w:cs="Times New Roman"/>
          <w:b/>
        </w:rPr>
        <w:t>11.</w:t>
      </w:r>
      <w:r>
        <w:rPr>
          <w:rFonts w:ascii="Times New Roman" w:hAnsi="Times New Roman" w:cs="Times New Roman"/>
        </w:rPr>
        <w:tab/>
      </w:r>
      <w:r w:rsidR="00EC76EB" w:rsidRPr="004225DB">
        <w:rPr>
          <w:rFonts w:ascii="Times New Roman" w:hAnsi="Times New Roman" w:cs="Times New Roman"/>
        </w:rPr>
        <w:t>Paragraph 3 of Schedule 3 to the Principal Act is repealed and the following paragraph substituted: —</w:t>
      </w:r>
    </w:p>
    <w:p w14:paraId="45AFFAB2" w14:textId="77777777" w:rsidR="00922A2D" w:rsidRPr="004225DB" w:rsidRDefault="00EC76EB" w:rsidP="002451B5">
      <w:pPr>
        <w:spacing w:after="160"/>
        <w:ind w:firstLine="270"/>
        <w:rPr>
          <w:rFonts w:ascii="Times New Roman" w:hAnsi="Times New Roman" w:cs="Times New Roman"/>
        </w:rPr>
      </w:pPr>
      <w:r w:rsidRPr="004225DB">
        <w:rPr>
          <w:rFonts w:ascii="Times New Roman" w:hAnsi="Times New Roman" w:cs="Times New Roman"/>
        </w:rPr>
        <w:t>“3. (1) The amount of the charge payable under this Schedule is—</w:t>
      </w:r>
    </w:p>
    <w:p w14:paraId="0B3155CF" w14:textId="77777777" w:rsidR="00922A2D" w:rsidRPr="004225DB" w:rsidRDefault="002451B5" w:rsidP="002451B5">
      <w:pPr>
        <w:spacing w:after="60"/>
        <w:ind w:left="585" w:hanging="315"/>
        <w:rPr>
          <w:rFonts w:ascii="Times New Roman" w:hAnsi="Times New Roman" w:cs="Times New Roman"/>
        </w:rPr>
      </w:pPr>
      <w:r>
        <w:rPr>
          <w:rFonts w:ascii="Times New Roman" w:hAnsi="Times New Roman" w:cs="Times New Roman"/>
        </w:rPr>
        <w:t xml:space="preserve">(a) </w:t>
      </w:r>
      <w:r w:rsidR="00EC76EB" w:rsidRPr="004225DB">
        <w:rPr>
          <w:rFonts w:ascii="Times New Roman" w:hAnsi="Times New Roman" w:cs="Times New Roman"/>
        </w:rPr>
        <w:t>in respect of a private aircraft—9 times the unit charge for that aircraft in respect of each week or part of a week comprised in the relevant period;</w:t>
      </w:r>
    </w:p>
    <w:p w14:paraId="7EB5A330" w14:textId="77777777" w:rsidR="00922A2D" w:rsidRPr="004225DB" w:rsidRDefault="002451B5" w:rsidP="002451B5">
      <w:pPr>
        <w:spacing w:after="60"/>
        <w:ind w:left="585" w:hanging="315"/>
        <w:rPr>
          <w:rFonts w:ascii="Times New Roman" w:hAnsi="Times New Roman" w:cs="Times New Roman"/>
        </w:rPr>
      </w:pPr>
      <w:r>
        <w:rPr>
          <w:rFonts w:ascii="Times New Roman" w:hAnsi="Times New Roman" w:cs="Times New Roman"/>
        </w:rPr>
        <w:t xml:space="preserve">(b) </w:t>
      </w:r>
      <w:r w:rsidR="00EC76EB" w:rsidRPr="004225DB">
        <w:rPr>
          <w:rFonts w:ascii="Times New Roman" w:hAnsi="Times New Roman" w:cs="Times New Roman"/>
        </w:rPr>
        <w:t>in resp</w:t>
      </w:r>
      <w:r>
        <w:rPr>
          <w:rFonts w:ascii="Times New Roman" w:hAnsi="Times New Roman" w:cs="Times New Roman"/>
        </w:rPr>
        <w:t>ect of an aerial work aircraft—</w:t>
      </w:r>
      <w:r w:rsidR="00EC76EB" w:rsidRPr="004225DB">
        <w:rPr>
          <w:rFonts w:ascii="Times New Roman" w:hAnsi="Times New Roman" w:cs="Times New Roman"/>
        </w:rPr>
        <w:t>15 times the unit charge for that aircraft in respect of each week or part of a week comprised in the relevant period; and</w:t>
      </w:r>
    </w:p>
    <w:p w14:paraId="19426319" w14:textId="77777777" w:rsidR="00922A2D" w:rsidRPr="004225DB" w:rsidRDefault="002451B5" w:rsidP="002451B5">
      <w:pPr>
        <w:spacing w:after="160"/>
        <w:ind w:left="585" w:hanging="315"/>
        <w:rPr>
          <w:rFonts w:ascii="Times New Roman" w:hAnsi="Times New Roman" w:cs="Times New Roman"/>
        </w:rPr>
      </w:pPr>
      <w:r>
        <w:rPr>
          <w:rFonts w:ascii="Times New Roman" w:hAnsi="Times New Roman" w:cs="Times New Roman"/>
        </w:rPr>
        <w:t xml:space="preserve">(c) </w:t>
      </w:r>
      <w:r w:rsidR="00EC76EB" w:rsidRPr="004225DB">
        <w:rPr>
          <w:rFonts w:ascii="Times New Roman" w:hAnsi="Times New Roman" w:cs="Times New Roman"/>
        </w:rPr>
        <w:t>in respect of a charter aircraft—18 times the unit charge for that aircraft in respect of each week or part of a week comprised in the relevant period.</w:t>
      </w:r>
    </w:p>
    <w:p w14:paraId="22E076E6" w14:textId="77777777" w:rsidR="00922A2D" w:rsidRPr="004225DB" w:rsidRDefault="00EC76EB" w:rsidP="002451B5">
      <w:pPr>
        <w:spacing w:after="160"/>
        <w:ind w:firstLine="270"/>
        <w:rPr>
          <w:rFonts w:ascii="Times New Roman" w:hAnsi="Times New Roman" w:cs="Times New Roman"/>
        </w:rPr>
      </w:pPr>
      <w:r w:rsidRPr="004225DB">
        <w:rPr>
          <w:rFonts w:ascii="Times New Roman" w:hAnsi="Times New Roman" w:cs="Times New Roman"/>
        </w:rPr>
        <w:t>“(2) For the purpose of sub-paragraph (1)—</w:t>
      </w:r>
    </w:p>
    <w:p w14:paraId="183E0D9B" w14:textId="77777777" w:rsidR="00922A2D" w:rsidRPr="004225DB" w:rsidRDefault="002451B5" w:rsidP="002451B5">
      <w:pPr>
        <w:spacing w:after="60"/>
        <w:ind w:firstLine="270"/>
        <w:rPr>
          <w:rFonts w:ascii="Times New Roman" w:hAnsi="Times New Roman" w:cs="Times New Roman"/>
        </w:rPr>
      </w:pPr>
      <w:r>
        <w:rPr>
          <w:rFonts w:ascii="Times New Roman" w:hAnsi="Times New Roman" w:cs="Times New Roman"/>
        </w:rPr>
        <w:t xml:space="preserve">(a) </w:t>
      </w:r>
      <w:r w:rsidR="00EC76EB" w:rsidRPr="004225DB">
        <w:rPr>
          <w:rFonts w:ascii="Times New Roman" w:hAnsi="Times New Roman" w:cs="Times New Roman"/>
        </w:rPr>
        <w:t>the unit charge for an aircraft is the unit charge referred to in paragraph 7 of Schedule 1; and</w:t>
      </w:r>
    </w:p>
    <w:p w14:paraId="1F9CA1B1" w14:textId="77777777" w:rsidR="00922A2D" w:rsidRPr="004225DB" w:rsidRDefault="002451B5" w:rsidP="002451B5">
      <w:pPr>
        <w:spacing w:after="160"/>
        <w:ind w:left="585" w:hanging="315"/>
        <w:rPr>
          <w:rFonts w:ascii="Times New Roman" w:hAnsi="Times New Roman" w:cs="Times New Roman"/>
        </w:rPr>
      </w:pPr>
      <w:r>
        <w:rPr>
          <w:rFonts w:ascii="Times New Roman" w:hAnsi="Times New Roman" w:cs="Times New Roman"/>
        </w:rPr>
        <w:lastRenderedPageBreak/>
        <w:t xml:space="preserve">(b) </w:t>
      </w:r>
      <w:r w:rsidR="00EC76EB" w:rsidRPr="004225DB">
        <w:rPr>
          <w:rFonts w:ascii="Times New Roman" w:hAnsi="Times New Roman" w:cs="Times New Roman"/>
        </w:rPr>
        <w:t>the relevant period, in relation to an aircraft, is the period from the date on which the aircraft entered Australia until—</w:t>
      </w:r>
    </w:p>
    <w:p w14:paraId="56F3C77C" w14:textId="77777777" w:rsidR="00922A2D" w:rsidRPr="004225DB" w:rsidRDefault="002451B5" w:rsidP="002451B5">
      <w:pPr>
        <w:spacing w:after="60"/>
        <w:ind w:firstLine="810"/>
        <w:rPr>
          <w:rFonts w:ascii="Times New Roman" w:hAnsi="Times New Roman" w:cs="Times New Roman"/>
        </w:rPr>
      </w:pPr>
      <w:r>
        <w:rPr>
          <w:rFonts w:ascii="Times New Roman" w:hAnsi="Times New Roman" w:cs="Times New Roman"/>
        </w:rPr>
        <w:t xml:space="preserve">(i) </w:t>
      </w:r>
      <w:r w:rsidR="00EC76EB" w:rsidRPr="004225DB">
        <w:rPr>
          <w:rFonts w:ascii="Times New Roman" w:hAnsi="Times New Roman" w:cs="Times New Roman"/>
        </w:rPr>
        <w:t>the date of the departure of the aircraft from Australia; or</w:t>
      </w:r>
    </w:p>
    <w:p w14:paraId="6138C520" w14:textId="77777777" w:rsidR="002451B5" w:rsidRDefault="002451B5" w:rsidP="002451B5">
      <w:pPr>
        <w:ind w:left="1107" w:hanging="342"/>
        <w:rPr>
          <w:rFonts w:ascii="Times New Roman" w:hAnsi="Times New Roman" w:cs="Times New Roman"/>
        </w:rPr>
      </w:pPr>
      <w:r>
        <w:rPr>
          <w:rFonts w:ascii="Times New Roman" w:hAnsi="Times New Roman" w:cs="Times New Roman"/>
        </w:rPr>
        <w:t xml:space="preserve">(ii) </w:t>
      </w:r>
      <w:r w:rsidR="00EC76EB" w:rsidRPr="004225DB">
        <w:rPr>
          <w:rFonts w:ascii="Times New Roman" w:hAnsi="Times New Roman" w:cs="Times New Roman"/>
        </w:rPr>
        <w:t>if the aircraft becomes registered under the Air Navigation Regulations while in Australia—the date of the registration of the aircraft under those Regulations.”.</w:t>
      </w:r>
    </w:p>
    <w:p w14:paraId="493A22B4" w14:textId="77777777" w:rsidR="002451B5" w:rsidRPr="002451B5" w:rsidRDefault="002451B5" w:rsidP="002451B5">
      <w:pPr>
        <w:spacing w:before="120" w:after="60"/>
        <w:rPr>
          <w:rFonts w:ascii="Times New Roman" w:hAnsi="Times New Roman" w:cs="Times New Roman"/>
          <w:b/>
          <w:sz w:val="20"/>
        </w:rPr>
      </w:pPr>
      <w:r w:rsidRPr="002451B5">
        <w:rPr>
          <w:rFonts w:ascii="Times New Roman" w:hAnsi="Times New Roman" w:cs="Times New Roman"/>
          <w:b/>
          <w:sz w:val="20"/>
        </w:rPr>
        <w:t>Additional amendments.</w:t>
      </w:r>
    </w:p>
    <w:p w14:paraId="56523373" w14:textId="77777777" w:rsidR="00922A2D" w:rsidRPr="004225DB" w:rsidRDefault="002451B5" w:rsidP="002451B5">
      <w:pPr>
        <w:tabs>
          <w:tab w:val="left" w:pos="630"/>
        </w:tabs>
        <w:ind w:firstLine="270"/>
        <w:rPr>
          <w:rFonts w:ascii="Times New Roman" w:hAnsi="Times New Roman" w:cs="Times New Roman"/>
        </w:rPr>
      </w:pPr>
      <w:r w:rsidRPr="002451B5">
        <w:rPr>
          <w:rFonts w:ascii="Times New Roman" w:hAnsi="Times New Roman" w:cs="Times New Roman"/>
          <w:b/>
        </w:rPr>
        <w:t>12.</w:t>
      </w:r>
      <w:r>
        <w:rPr>
          <w:rFonts w:ascii="Times New Roman" w:hAnsi="Times New Roman" w:cs="Times New Roman"/>
        </w:rPr>
        <w:tab/>
      </w:r>
      <w:r w:rsidR="00EC76EB" w:rsidRPr="004225DB">
        <w:rPr>
          <w:rFonts w:ascii="Times New Roman" w:hAnsi="Times New Roman" w:cs="Times New Roman"/>
        </w:rPr>
        <w:t>The Principal Act is amended as set out in the Schedule.</w:t>
      </w:r>
    </w:p>
    <w:p w14:paraId="2A8C975F" w14:textId="77777777" w:rsidR="00922A2D" w:rsidRPr="002451B5" w:rsidRDefault="00EC76EB" w:rsidP="002451B5">
      <w:pPr>
        <w:spacing w:before="120" w:after="60"/>
        <w:rPr>
          <w:rFonts w:ascii="Times New Roman" w:hAnsi="Times New Roman" w:cs="Times New Roman"/>
          <w:b/>
          <w:sz w:val="20"/>
        </w:rPr>
      </w:pPr>
      <w:r w:rsidRPr="002451B5">
        <w:rPr>
          <w:rFonts w:ascii="Times New Roman" w:hAnsi="Times New Roman" w:cs="Times New Roman"/>
          <w:b/>
          <w:sz w:val="20"/>
        </w:rPr>
        <w:t>Validation and transitional.</w:t>
      </w:r>
    </w:p>
    <w:p w14:paraId="6E97F41F" w14:textId="77777777" w:rsidR="00922A2D" w:rsidRPr="004225DB" w:rsidRDefault="004E6CED" w:rsidP="004E6CED">
      <w:pPr>
        <w:spacing w:after="160"/>
        <w:ind w:firstLine="270"/>
        <w:rPr>
          <w:rFonts w:ascii="Times New Roman" w:hAnsi="Times New Roman" w:cs="Times New Roman"/>
        </w:rPr>
      </w:pPr>
      <w:r w:rsidRPr="004E6CED">
        <w:rPr>
          <w:rFonts w:ascii="Times New Roman" w:hAnsi="Times New Roman" w:cs="Times New Roman"/>
          <w:b/>
        </w:rPr>
        <w:t>13.</w:t>
      </w:r>
      <w:r>
        <w:rPr>
          <w:rFonts w:ascii="Times New Roman" w:hAnsi="Times New Roman" w:cs="Times New Roman"/>
        </w:rPr>
        <w:t xml:space="preserve"> </w:t>
      </w:r>
      <w:r w:rsidR="00EC76EB" w:rsidRPr="004225DB">
        <w:rPr>
          <w:rFonts w:ascii="Times New Roman" w:hAnsi="Times New Roman" w:cs="Times New Roman"/>
        </w:rPr>
        <w:t xml:space="preserve">(1) For all purposes of the </w:t>
      </w:r>
      <w:r w:rsidR="00EC76EB" w:rsidRPr="004E6CED">
        <w:rPr>
          <w:rFonts w:ascii="Times New Roman" w:hAnsi="Times New Roman" w:cs="Times New Roman"/>
          <w:i/>
        </w:rPr>
        <w:t>Air Navigation</w:t>
      </w:r>
      <w:r w:rsidR="00EC76EB" w:rsidRPr="004225DB">
        <w:rPr>
          <w:rFonts w:ascii="Times New Roman" w:hAnsi="Times New Roman" w:cs="Times New Roman"/>
        </w:rPr>
        <w:t xml:space="preserve"> (</w:t>
      </w:r>
      <w:r w:rsidR="00EC76EB" w:rsidRPr="004E6CED">
        <w:rPr>
          <w:rFonts w:ascii="Times New Roman" w:hAnsi="Times New Roman" w:cs="Times New Roman"/>
          <w:i/>
        </w:rPr>
        <w:t>Charges</w:t>
      </w:r>
      <w:r w:rsidR="00EC76EB" w:rsidRPr="004225DB">
        <w:rPr>
          <w:rFonts w:ascii="Times New Roman" w:hAnsi="Times New Roman" w:cs="Times New Roman"/>
        </w:rPr>
        <w:t xml:space="preserve">) </w:t>
      </w:r>
      <w:r w:rsidR="00EC76EB" w:rsidRPr="004E6CED">
        <w:rPr>
          <w:rFonts w:ascii="Times New Roman" w:hAnsi="Times New Roman" w:cs="Times New Roman"/>
          <w:i/>
        </w:rPr>
        <w:t>Act</w:t>
      </w:r>
      <w:r w:rsidR="00EC76EB" w:rsidRPr="004225DB">
        <w:rPr>
          <w:rFonts w:ascii="Times New Roman" w:hAnsi="Times New Roman" w:cs="Times New Roman"/>
        </w:rPr>
        <w:t xml:space="preserve"> 1952-1972 and of that Act as amended and in force at any time before the commencement of this section, the office of Secretary to the Department of Transport and Director-General of Civil Aviation shall be deemed to have been the same office as the office of Director-General of Civil Aviation.</w:t>
      </w:r>
    </w:p>
    <w:p w14:paraId="567D3695" w14:textId="77777777" w:rsidR="00922A2D" w:rsidRPr="004225DB" w:rsidRDefault="004E6CED" w:rsidP="004E6CED">
      <w:pPr>
        <w:spacing w:after="60"/>
        <w:ind w:firstLine="270"/>
        <w:rPr>
          <w:rFonts w:ascii="Times New Roman" w:hAnsi="Times New Roman" w:cs="Times New Roman"/>
        </w:rPr>
      </w:pPr>
      <w:r>
        <w:rPr>
          <w:rFonts w:ascii="Times New Roman" w:hAnsi="Times New Roman" w:cs="Times New Roman"/>
        </w:rPr>
        <w:t xml:space="preserve">(2) </w:t>
      </w:r>
      <w:r w:rsidR="00EC76EB" w:rsidRPr="004225DB">
        <w:rPr>
          <w:rFonts w:ascii="Times New Roman" w:hAnsi="Times New Roman" w:cs="Times New Roman"/>
        </w:rPr>
        <w:t>Any act or thing done (including any instrument made or issued)—</w:t>
      </w:r>
    </w:p>
    <w:p w14:paraId="1CA3CC92" w14:textId="77777777" w:rsidR="00922A2D" w:rsidRPr="004225DB" w:rsidRDefault="004E6CED" w:rsidP="004E6CED">
      <w:pPr>
        <w:spacing w:after="60"/>
        <w:ind w:left="585" w:hanging="315"/>
        <w:rPr>
          <w:rFonts w:ascii="Times New Roman" w:hAnsi="Times New Roman" w:cs="Times New Roman"/>
        </w:rPr>
      </w:pPr>
      <w:r>
        <w:rPr>
          <w:rFonts w:ascii="Times New Roman" w:hAnsi="Times New Roman" w:cs="Times New Roman"/>
        </w:rPr>
        <w:t xml:space="preserve">(a) </w:t>
      </w:r>
      <w:r w:rsidR="00EC76EB" w:rsidRPr="004225DB">
        <w:rPr>
          <w:rFonts w:ascii="Times New Roman" w:hAnsi="Times New Roman" w:cs="Times New Roman"/>
        </w:rPr>
        <w:t>before 30 November 1973 by a person holding, or performing the duties of, the office of Director-General of Civil Aviation; or</w:t>
      </w:r>
    </w:p>
    <w:p w14:paraId="52EBB9BB" w14:textId="6C13B231" w:rsidR="00922A2D" w:rsidRPr="004225DB" w:rsidRDefault="004E6CED" w:rsidP="004E6CED">
      <w:pPr>
        <w:spacing w:after="60"/>
        <w:ind w:left="585" w:hanging="315"/>
        <w:rPr>
          <w:rFonts w:ascii="Times New Roman" w:hAnsi="Times New Roman" w:cs="Times New Roman"/>
        </w:rPr>
      </w:pPr>
      <w:r>
        <w:rPr>
          <w:rFonts w:ascii="Times New Roman" w:hAnsi="Times New Roman" w:cs="Times New Roman"/>
        </w:rPr>
        <w:t>(b)</w:t>
      </w:r>
      <w:r w:rsidR="00B94CA6">
        <w:rPr>
          <w:rFonts w:ascii="Times New Roman" w:hAnsi="Times New Roman" w:cs="Times New Roman"/>
        </w:rPr>
        <w:t xml:space="preserve"> </w:t>
      </w:r>
      <w:r w:rsidR="00EC76EB" w:rsidRPr="004225DB">
        <w:rPr>
          <w:rFonts w:ascii="Times New Roman" w:hAnsi="Times New Roman" w:cs="Times New Roman"/>
        </w:rPr>
        <w:t>o</w:t>
      </w:r>
      <w:r w:rsidR="00B94CA6">
        <w:rPr>
          <w:rFonts w:ascii="Times New Roman" w:hAnsi="Times New Roman" w:cs="Times New Roman"/>
        </w:rPr>
        <w:t>n</w:t>
      </w:r>
      <w:r w:rsidR="00EC76EB" w:rsidRPr="004225DB">
        <w:rPr>
          <w:rFonts w:ascii="Times New Roman" w:hAnsi="Times New Roman" w:cs="Times New Roman"/>
        </w:rPr>
        <w:t xml:space="preserve"> or after that date and before the commencement of this section by a person holding, or performing the duties of, the office of Secretary to the Department of Transport and Director- General of Civil Aviation,</w:t>
      </w:r>
    </w:p>
    <w:p w14:paraId="384119B8" w14:textId="77777777" w:rsidR="00922A2D" w:rsidRPr="004225DB" w:rsidRDefault="00EC76EB" w:rsidP="004E6CED">
      <w:pPr>
        <w:spacing w:after="160"/>
        <w:rPr>
          <w:rFonts w:ascii="Times New Roman" w:hAnsi="Times New Roman" w:cs="Times New Roman"/>
        </w:rPr>
      </w:pPr>
      <w:r w:rsidRPr="004225DB">
        <w:rPr>
          <w:rFonts w:ascii="Times New Roman" w:hAnsi="Times New Roman" w:cs="Times New Roman"/>
        </w:rPr>
        <w:t xml:space="preserve">under or for the purposes of the </w:t>
      </w:r>
      <w:r w:rsidRPr="004E6CED">
        <w:rPr>
          <w:rFonts w:ascii="Times New Roman" w:hAnsi="Times New Roman" w:cs="Times New Roman"/>
          <w:i/>
        </w:rPr>
        <w:t xml:space="preserve">Air Navigation </w:t>
      </w:r>
      <w:r w:rsidRPr="004225DB">
        <w:rPr>
          <w:rFonts w:ascii="Times New Roman" w:hAnsi="Times New Roman" w:cs="Times New Roman"/>
        </w:rPr>
        <w:t>(</w:t>
      </w:r>
      <w:r w:rsidRPr="004E6CED">
        <w:rPr>
          <w:rFonts w:ascii="Times New Roman" w:hAnsi="Times New Roman" w:cs="Times New Roman"/>
          <w:i/>
        </w:rPr>
        <w:t>Charges</w:t>
      </w:r>
      <w:r w:rsidRPr="004225DB">
        <w:rPr>
          <w:rFonts w:ascii="Times New Roman" w:hAnsi="Times New Roman" w:cs="Times New Roman"/>
        </w:rPr>
        <w:t xml:space="preserve">) </w:t>
      </w:r>
      <w:r w:rsidRPr="004E6CED">
        <w:rPr>
          <w:rFonts w:ascii="Times New Roman" w:hAnsi="Times New Roman" w:cs="Times New Roman"/>
          <w:i/>
        </w:rPr>
        <w:t>Act</w:t>
      </w:r>
      <w:r w:rsidRPr="004225DB">
        <w:rPr>
          <w:rFonts w:ascii="Times New Roman" w:hAnsi="Times New Roman" w:cs="Times New Roman"/>
        </w:rPr>
        <w:t xml:space="preserve"> 1952 or of that Act as amended and in force when the act or thing was done or the instrument was made or issued has effect, after the commencement of this section, as if the act or thing had been done, or the instrument had been made or issued, by the Secretary to the Department of Transport under or for the purposes of the Principal Act as amended by this Act.</w:t>
      </w:r>
    </w:p>
    <w:p w14:paraId="34847911" w14:textId="77777777" w:rsidR="00922A2D" w:rsidRPr="004225DB" w:rsidRDefault="004E6CED" w:rsidP="004E6CED">
      <w:pPr>
        <w:ind w:firstLine="270"/>
        <w:rPr>
          <w:rFonts w:ascii="Times New Roman" w:hAnsi="Times New Roman" w:cs="Times New Roman"/>
        </w:rPr>
      </w:pPr>
      <w:r>
        <w:rPr>
          <w:rFonts w:ascii="Times New Roman" w:hAnsi="Times New Roman" w:cs="Times New Roman"/>
        </w:rPr>
        <w:t xml:space="preserve">(3) </w:t>
      </w:r>
      <w:r w:rsidR="00EC76EB" w:rsidRPr="004225DB">
        <w:rPr>
          <w:rFonts w:ascii="Times New Roman" w:hAnsi="Times New Roman" w:cs="Times New Roman"/>
        </w:rPr>
        <w:t>In this section, a reference to the office of Director-General of Civil Aviation is a reference to the office of Director-General of Civil Aviation referred to in the Principal Act.</w:t>
      </w:r>
    </w:p>
    <w:p w14:paraId="5925571E" w14:textId="77777777" w:rsidR="00922A2D" w:rsidRPr="004E6CED" w:rsidRDefault="00EC76EB" w:rsidP="004E6CED">
      <w:pPr>
        <w:spacing w:before="120" w:after="60"/>
        <w:rPr>
          <w:rFonts w:ascii="Times New Roman" w:hAnsi="Times New Roman" w:cs="Times New Roman"/>
          <w:b/>
          <w:sz w:val="20"/>
        </w:rPr>
      </w:pPr>
      <w:r w:rsidRPr="004E6CED">
        <w:rPr>
          <w:rFonts w:ascii="Times New Roman" w:hAnsi="Times New Roman" w:cs="Times New Roman"/>
          <w:b/>
          <w:sz w:val="20"/>
        </w:rPr>
        <w:t>Application of amendments.</w:t>
      </w:r>
    </w:p>
    <w:p w14:paraId="088C00DB" w14:textId="4AA7E18F" w:rsidR="00922A2D" w:rsidRPr="004225DB" w:rsidRDefault="004E6CED" w:rsidP="004E6CED">
      <w:pPr>
        <w:spacing w:after="160"/>
        <w:ind w:firstLine="270"/>
        <w:rPr>
          <w:rFonts w:ascii="Times New Roman" w:hAnsi="Times New Roman" w:cs="Times New Roman"/>
        </w:rPr>
      </w:pPr>
      <w:r w:rsidRPr="004E6CED">
        <w:rPr>
          <w:rFonts w:ascii="Times New Roman" w:hAnsi="Times New Roman" w:cs="Times New Roman"/>
          <w:b/>
        </w:rPr>
        <w:t>14.</w:t>
      </w:r>
      <w:r>
        <w:rPr>
          <w:rFonts w:ascii="Times New Roman" w:hAnsi="Times New Roman" w:cs="Times New Roman"/>
        </w:rPr>
        <w:t xml:space="preserve"> </w:t>
      </w:r>
      <w:r w:rsidR="00EC76EB" w:rsidRPr="004225DB">
        <w:rPr>
          <w:rFonts w:ascii="Times New Roman" w:hAnsi="Times New Roman" w:cs="Times New Roman"/>
        </w:rPr>
        <w:t>(1) The amendments of the Principal Act made by sections 10 and 11 of this Act apply in relation to a foreign aircraft whether the aircraft entered Australia before, or enters Australia after, 1 December 1974.</w:t>
      </w:r>
    </w:p>
    <w:p w14:paraId="7E0974B2" w14:textId="77777777" w:rsidR="004E6CED" w:rsidRDefault="004E6CED" w:rsidP="004E6CED">
      <w:pPr>
        <w:ind w:firstLine="270"/>
        <w:rPr>
          <w:rFonts w:ascii="Times New Roman" w:hAnsi="Times New Roman" w:cs="Times New Roman"/>
        </w:rPr>
      </w:pPr>
      <w:r>
        <w:rPr>
          <w:rFonts w:ascii="Times New Roman" w:hAnsi="Times New Roman" w:cs="Times New Roman"/>
        </w:rPr>
        <w:t xml:space="preserve">(2) </w:t>
      </w:r>
      <w:r w:rsidR="00EC76EB" w:rsidRPr="004225DB">
        <w:rPr>
          <w:rFonts w:ascii="Times New Roman" w:hAnsi="Times New Roman" w:cs="Times New Roman"/>
        </w:rPr>
        <w:t>To the extent that the amendments of the Principal Act made by this Act affect a charge payable in respect of a year of registration of an aircraft or by the owner of a foreign aircraft in respect of a week or part of a week, or impose such a charge, those amendments apply in the case of such a charge that is payable in respect of a year, or in respect of a week or part of a week, commencing on or after 1 December 1974.</w:t>
      </w:r>
    </w:p>
    <w:p w14:paraId="4BCED822" w14:textId="77777777" w:rsidR="004E6CED" w:rsidRDefault="004E6CED" w:rsidP="004E6CED">
      <w:pPr>
        <w:ind w:firstLine="270"/>
        <w:jc w:val="center"/>
        <w:rPr>
          <w:rFonts w:ascii="Times New Roman" w:hAnsi="Times New Roman" w:cs="Times New Roman"/>
        </w:rPr>
      </w:pPr>
      <w:r>
        <w:rPr>
          <w:rFonts w:ascii="Times New Roman" w:hAnsi="Times New Roman" w:cs="Times New Roman"/>
        </w:rPr>
        <w:t>_______</w:t>
      </w:r>
    </w:p>
    <w:p w14:paraId="594679C6" w14:textId="77777777" w:rsidR="004E6CED" w:rsidRDefault="004E6CED">
      <w:pPr>
        <w:rPr>
          <w:rFonts w:ascii="Times New Roman" w:hAnsi="Times New Roman" w:cs="Times New Roman"/>
        </w:rPr>
      </w:pPr>
      <w:r>
        <w:rPr>
          <w:rFonts w:ascii="Times New Roman" w:hAnsi="Times New Roman" w:cs="Times New Roman"/>
        </w:rPr>
        <w:br w:type="page"/>
      </w:r>
    </w:p>
    <w:p w14:paraId="7FBA9092" w14:textId="77777777" w:rsidR="00922A2D" w:rsidRPr="004225DB" w:rsidRDefault="00EC76EB" w:rsidP="0062754B">
      <w:pPr>
        <w:tabs>
          <w:tab w:val="left" w:pos="8640"/>
        </w:tabs>
        <w:spacing w:after="160"/>
        <w:ind w:firstLine="3960"/>
        <w:rPr>
          <w:rFonts w:ascii="Times New Roman" w:hAnsi="Times New Roman" w:cs="Times New Roman"/>
        </w:rPr>
      </w:pPr>
      <w:r w:rsidRPr="004225DB">
        <w:rPr>
          <w:rFonts w:ascii="Times New Roman" w:hAnsi="Times New Roman" w:cs="Times New Roman"/>
        </w:rPr>
        <w:lastRenderedPageBreak/>
        <w:t>SCHEDULE</w:t>
      </w:r>
      <w:r w:rsidR="0062754B">
        <w:rPr>
          <w:rFonts w:ascii="Times New Roman" w:hAnsi="Times New Roman" w:cs="Times New Roman"/>
        </w:rPr>
        <w:tab/>
        <w:t>Section 12</w:t>
      </w:r>
    </w:p>
    <w:p w14:paraId="3349239B" w14:textId="77777777" w:rsidR="00922A2D" w:rsidRPr="004225DB" w:rsidRDefault="00EC76EB" w:rsidP="004E6CED">
      <w:pPr>
        <w:jc w:val="center"/>
        <w:rPr>
          <w:rFonts w:ascii="Times New Roman" w:hAnsi="Times New Roman" w:cs="Times New Roman"/>
        </w:rPr>
      </w:pPr>
      <w:r w:rsidRPr="004225DB">
        <w:rPr>
          <w:rFonts w:ascii="Times New Roman" w:hAnsi="Times New Roman" w:cs="Times New Roman"/>
        </w:rPr>
        <w:t>ADDITIONAL AMENDMENTS</w:t>
      </w:r>
    </w:p>
    <w:tbl>
      <w:tblPr>
        <w:tblOverlap w:val="never"/>
        <w:tblW w:w="0" w:type="auto"/>
        <w:tblLayout w:type="fixed"/>
        <w:tblCellMar>
          <w:left w:w="10" w:type="dxa"/>
          <w:right w:w="10" w:type="dxa"/>
        </w:tblCellMar>
        <w:tblLook w:val="0000" w:firstRow="0" w:lastRow="0" w:firstColumn="0" w:lastColumn="0" w:noHBand="0" w:noVBand="0"/>
      </w:tblPr>
      <w:tblGrid>
        <w:gridCol w:w="3610"/>
        <w:gridCol w:w="6120"/>
      </w:tblGrid>
      <w:tr w:rsidR="00922A2D" w:rsidRPr="004225DB" w14:paraId="193306CD" w14:textId="77777777" w:rsidTr="0062754B">
        <w:trPr>
          <w:trHeight w:val="408"/>
        </w:trPr>
        <w:tc>
          <w:tcPr>
            <w:tcW w:w="3610" w:type="dxa"/>
            <w:tcBorders>
              <w:top w:val="single" w:sz="4" w:space="0" w:color="auto"/>
              <w:bottom w:val="single" w:sz="4" w:space="0" w:color="auto"/>
            </w:tcBorders>
            <w:shd w:val="clear" w:color="auto" w:fill="FFFFFF"/>
            <w:vAlign w:val="center"/>
          </w:tcPr>
          <w:p w14:paraId="17E7C0CF" w14:textId="77777777" w:rsidR="00922A2D" w:rsidRPr="004E6CED" w:rsidRDefault="00EC76EB" w:rsidP="004E6CED">
            <w:pPr>
              <w:rPr>
                <w:rFonts w:ascii="Times New Roman" w:hAnsi="Times New Roman" w:cs="Times New Roman"/>
                <w:sz w:val="20"/>
              </w:rPr>
            </w:pPr>
            <w:r w:rsidRPr="004E6CED">
              <w:rPr>
                <w:rFonts w:ascii="Times New Roman" w:hAnsi="Times New Roman" w:cs="Times New Roman"/>
                <w:sz w:val="20"/>
              </w:rPr>
              <w:t>Provision</w:t>
            </w:r>
          </w:p>
        </w:tc>
        <w:tc>
          <w:tcPr>
            <w:tcW w:w="6120" w:type="dxa"/>
            <w:tcBorders>
              <w:top w:val="single" w:sz="4" w:space="0" w:color="auto"/>
              <w:bottom w:val="single" w:sz="4" w:space="0" w:color="auto"/>
            </w:tcBorders>
            <w:shd w:val="clear" w:color="auto" w:fill="FFFFFF"/>
            <w:vAlign w:val="center"/>
          </w:tcPr>
          <w:p w14:paraId="30DC9453" w14:textId="77777777" w:rsidR="00922A2D" w:rsidRPr="004E6CED" w:rsidRDefault="00EC76EB" w:rsidP="004E6CED">
            <w:pPr>
              <w:rPr>
                <w:rFonts w:ascii="Times New Roman" w:hAnsi="Times New Roman" w:cs="Times New Roman"/>
                <w:sz w:val="20"/>
              </w:rPr>
            </w:pPr>
            <w:r w:rsidRPr="004E6CED">
              <w:rPr>
                <w:rFonts w:ascii="Times New Roman" w:hAnsi="Times New Roman" w:cs="Times New Roman"/>
                <w:sz w:val="20"/>
              </w:rPr>
              <w:t>Amendment</w:t>
            </w:r>
          </w:p>
        </w:tc>
      </w:tr>
      <w:tr w:rsidR="00922A2D" w:rsidRPr="004225DB" w14:paraId="6AD6DE18" w14:textId="77777777" w:rsidTr="0062754B">
        <w:trPr>
          <w:trHeight w:val="418"/>
        </w:trPr>
        <w:tc>
          <w:tcPr>
            <w:tcW w:w="3610" w:type="dxa"/>
            <w:tcBorders>
              <w:top w:val="single" w:sz="4" w:space="0" w:color="auto"/>
            </w:tcBorders>
            <w:shd w:val="clear" w:color="auto" w:fill="FFFFFF"/>
            <w:vAlign w:val="bottom"/>
          </w:tcPr>
          <w:p w14:paraId="5598A75C"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1, paragraph 7</w:t>
            </w:r>
            <w:r w:rsidRPr="004E6CED">
              <w:rPr>
                <w:rFonts w:ascii="Times New Roman" w:hAnsi="Times New Roman" w:cs="Times New Roman"/>
                <w:sz w:val="22"/>
              </w:rPr>
              <w:tab/>
            </w:r>
          </w:p>
        </w:tc>
        <w:tc>
          <w:tcPr>
            <w:tcW w:w="6120" w:type="dxa"/>
            <w:tcBorders>
              <w:top w:val="single" w:sz="4" w:space="0" w:color="auto"/>
            </w:tcBorders>
            <w:shd w:val="clear" w:color="auto" w:fill="FFFFFF"/>
            <w:vAlign w:val="bottom"/>
          </w:tcPr>
          <w:p w14:paraId="5C5959CC" w14:textId="77777777" w:rsidR="00922A2D" w:rsidRPr="004E6CED" w:rsidRDefault="00EC76EB" w:rsidP="004E6CED">
            <w:pPr>
              <w:ind w:left="350" w:hanging="350"/>
              <w:rPr>
                <w:rFonts w:ascii="Times New Roman" w:hAnsi="Times New Roman" w:cs="Times New Roman"/>
                <w:sz w:val="22"/>
              </w:rPr>
            </w:pPr>
            <w:r w:rsidRPr="004E6CED">
              <w:rPr>
                <w:rFonts w:ascii="Times New Roman" w:hAnsi="Times New Roman" w:cs="Times New Roman"/>
                <w:sz w:val="22"/>
              </w:rPr>
              <w:t>Omit “Director-General” (wherever occ</w:t>
            </w:r>
            <w:r w:rsidR="004E6CED" w:rsidRPr="004E6CED">
              <w:rPr>
                <w:rFonts w:ascii="Times New Roman" w:hAnsi="Times New Roman" w:cs="Times New Roman"/>
                <w:sz w:val="22"/>
              </w:rPr>
              <w:t>urring), substitute “Secretary”</w:t>
            </w:r>
          </w:p>
        </w:tc>
      </w:tr>
      <w:tr w:rsidR="00922A2D" w:rsidRPr="004225DB" w14:paraId="225E9718" w14:textId="77777777" w:rsidTr="0062754B">
        <w:trPr>
          <w:trHeight w:val="365"/>
        </w:trPr>
        <w:tc>
          <w:tcPr>
            <w:tcW w:w="3610" w:type="dxa"/>
            <w:shd w:val="clear" w:color="auto" w:fill="FFFFFF"/>
            <w:vAlign w:val="bottom"/>
          </w:tcPr>
          <w:p w14:paraId="501329A4"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1, paragraph 8</w:t>
            </w:r>
            <w:r w:rsidRPr="004E6CED">
              <w:rPr>
                <w:rFonts w:ascii="Times New Roman" w:hAnsi="Times New Roman" w:cs="Times New Roman"/>
                <w:sz w:val="22"/>
              </w:rPr>
              <w:tab/>
            </w:r>
          </w:p>
        </w:tc>
        <w:tc>
          <w:tcPr>
            <w:tcW w:w="6120" w:type="dxa"/>
            <w:shd w:val="clear" w:color="auto" w:fill="FFFFFF"/>
            <w:vAlign w:val="bottom"/>
          </w:tcPr>
          <w:p w14:paraId="0A315A37" w14:textId="4A6E273F" w:rsidR="00922A2D" w:rsidRPr="004E6CED" w:rsidRDefault="00EC76EB" w:rsidP="004E6CED">
            <w:pPr>
              <w:ind w:left="350" w:hanging="350"/>
              <w:rPr>
                <w:rFonts w:ascii="Times New Roman" w:hAnsi="Times New Roman" w:cs="Times New Roman"/>
                <w:sz w:val="22"/>
              </w:rPr>
            </w:pPr>
            <w:r w:rsidRPr="004E6CED">
              <w:rPr>
                <w:rFonts w:ascii="Times New Roman" w:hAnsi="Times New Roman" w:cs="Times New Roman"/>
                <w:sz w:val="22"/>
              </w:rPr>
              <w:t>Omit from clause (e) “Dir</w:t>
            </w:r>
            <w:r w:rsidR="00B94CA6">
              <w:rPr>
                <w:rFonts w:ascii="Times New Roman" w:hAnsi="Times New Roman" w:cs="Times New Roman"/>
                <w:sz w:val="22"/>
              </w:rPr>
              <w:t>ector-General”, substitute “Sec</w:t>
            </w:r>
            <w:r w:rsidRPr="004E6CED">
              <w:rPr>
                <w:rFonts w:ascii="Times New Roman" w:hAnsi="Times New Roman" w:cs="Times New Roman"/>
                <w:sz w:val="22"/>
              </w:rPr>
              <w:t>retary”.</w:t>
            </w:r>
          </w:p>
        </w:tc>
      </w:tr>
      <w:tr w:rsidR="00922A2D" w:rsidRPr="004225DB" w14:paraId="06F9236F" w14:textId="77777777" w:rsidTr="0062754B">
        <w:trPr>
          <w:trHeight w:val="336"/>
        </w:trPr>
        <w:tc>
          <w:tcPr>
            <w:tcW w:w="3610" w:type="dxa"/>
            <w:shd w:val="clear" w:color="auto" w:fill="FFFFFF"/>
            <w:vAlign w:val="bottom"/>
          </w:tcPr>
          <w:p w14:paraId="21D74684" w14:textId="099F7AFE" w:rsidR="00922A2D" w:rsidRPr="004E6CED" w:rsidRDefault="004E6CED" w:rsidP="00B94CA6">
            <w:pPr>
              <w:tabs>
                <w:tab w:val="left" w:leader="dot" w:pos="3480"/>
              </w:tabs>
              <w:rPr>
                <w:rFonts w:ascii="Times New Roman" w:hAnsi="Times New Roman" w:cs="Times New Roman"/>
                <w:sz w:val="22"/>
              </w:rPr>
            </w:pPr>
            <w:r w:rsidRPr="004E6CED">
              <w:rPr>
                <w:rFonts w:ascii="Times New Roman" w:hAnsi="Times New Roman" w:cs="Times New Roman"/>
                <w:sz w:val="22"/>
              </w:rPr>
              <w:t>Schedule 2, paragraph</w:t>
            </w:r>
            <w:r w:rsidR="00B94CA6">
              <w:rPr>
                <w:rFonts w:ascii="Times New Roman" w:hAnsi="Times New Roman" w:cs="Times New Roman"/>
                <w:sz w:val="22"/>
              </w:rPr>
              <w:t xml:space="preserve"> 1</w:t>
            </w:r>
            <w:r w:rsidRPr="004E6CED">
              <w:rPr>
                <w:rFonts w:ascii="Times New Roman" w:hAnsi="Times New Roman" w:cs="Times New Roman"/>
                <w:sz w:val="22"/>
              </w:rPr>
              <w:tab/>
            </w:r>
          </w:p>
        </w:tc>
        <w:tc>
          <w:tcPr>
            <w:tcW w:w="6120" w:type="dxa"/>
            <w:shd w:val="clear" w:color="auto" w:fill="FFFFFF"/>
            <w:vAlign w:val="bottom"/>
          </w:tcPr>
          <w:p w14:paraId="5AB904C7" w14:textId="7BCF00F7" w:rsidR="00922A2D" w:rsidRPr="004E6CED" w:rsidRDefault="00EC76EB" w:rsidP="00B94CA6">
            <w:pPr>
              <w:ind w:left="350" w:hanging="350"/>
              <w:rPr>
                <w:rFonts w:ascii="Times New Roman" w:hAnsi="Times New Roman" w:cs="Times New Roman"/>
                <w:sz w:val="22"/>
              </w:rPr>
            </w:pPr>
            <w:r w:rsidRPr="004E6CED">
              <w:rPr>
                <w:rFonts w:ascii="Times New Roman" w:hAnsi="Times New Roman" w:cs="Times New Roman"/>
                <w:sz w:val="22"/>
              </w:rPr>
              <w:t>Omit from clause (b) of sub-p</w:t>
            </w:r>
            <w:r w:rsidR="005B3A28">
              <w:rPr>
                <w:rFonts w:ascii="Times New Roman" w:hAnsi="Times New Roman" w:cs="Times New Roman"/>
                <w:sz w:val="22"/>
              </w:rPr>
              <w:t>aragraph (2) “Director-General</w:t>
            </w:r>
            <w:r w:rsidRPr="004E6CED">
              <w:rPr>
                <w:rFonts w:ascii="Times New Roman" w:hAnsi="Times New Roman" w:cs="Times New Roman"/>
                <w:sz w:val="22"/>
              </w:rPr>
              <w:t>”, substitute ‘‘</w:t>
            </w:r>
            <w:r w:rsidR="004E6CED" w:rsidRPr="004E6CED">
              <w:rPr>
                <w:rFonts w:ascii="Times New Roman" w:hAnsi="Times New Roman" w:cs="Times New Roman"/>
                <w:sz w:val="22"/>
              </w:rPr>
              <w:t>Secretary</w:t>
            </w:r>
            <w:r w:rsidRPr="004E6CED">
              <w:rPr>
                <w:rFonts w:ascii="Times New Roman" w:hAnsi="Times New Roman" w:cs="Times New Roman"/>
                <w:sz w:val="22"/>
              </w:rPr>
              <w:t>’’.</w:t>
            </w:r>
          </w:p>
        </w:tc>
      </w:tr>
      <w:tr w:rsidR="00922A2D" w:rsidRPr="004225DB" w14:paraId="3F493530" w14:textId="77777777" w:rsidTr="0062754B">
        <w:trPr>
          <w:trHeight w:val="336"/>
        </w:trPr>
        <w:tc>
          <w:tcPr>
            <w:tcW w:w="3610" w:type="dxa"/>
            <w:shd w:val="clear" w:color="auto" w:fill="FFFFFF"/>
            <w:vAlign w:val="bottom"/>
          </w:tcPr>
          <w:p w14:paraId="1ED10456"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2, paragraph 10</w:t>
            </w:r>
            <w:r w:rsidRPr="004E6CED">
              <w:rPr>
                <w:rFonts w:ascii="Times New Roman" w:hAnsi="Times New Roman" w:cs="Times New Roman"/>
                <w:sz w:val="22"/>
              </w:rPr>
              <w:tab/>
            </w:r>
          </w:p>
        </w:tc>
        <w:tc>
          <w:tcPr>
            <w:tcW w:w="6120" w:type="dxa"/>
            <w:shd w:val="clear" w:color="auto" w:fill="FFFFFF"/>
            <w:vAlign w:val="bottom"/>
          </w:tcPr>
          <w:p w14:paraId="53A014C2" w14:textId="7EE465D6" w:rsidR="00922A2D" w:rsidRPr="004E6CED" w:rsidRDefault="00EC76EB" w:rsidP="00B94CA6">
            <w:pPr>
              <w:ind w:left="350" w:hanging="350"/>
              <w:rPr>
                <w:rFonts w:ascii="Times New Roman" w:hAnsi="Times New Roman" w:cs="Times New Roman"/>
                <w:sz w:val="22"/>
              </w:rPr>
            </w:pPr>
            <w:r w:rsidRPr="004E6CED">
              <w:rPr>
                <w:rFonts w:ascii="Times New Roman" w:hAnsi="Times New Roman" w:cs="Times New Roman"/>
                <w:sz w:val="22"/>
              </w:rPr>
              <w:t>Omit from sub-paragraph (1) “Director-General” (wherever occurring), substitute “Secretary”,</w:t>
            </w:r>
          </w:p>
        </w:tc>
      </w:tr>
      <w:tr w:rsidR="00922A2D" w:rsidRPr="004225DB" w14:paraId="357DD283" w14:textId="77777777" w:rsidTr="0062754B">
        <w:trPr>
          <w:trHeight w:val="341"/>
        </w:trPr>
        <w:tc>
          <w:tcPr>
            <w:tcW w:w="3610" w:type="dxa"/>
            <w:shd w:val="clear" w:color="auto" w:fill="FFFFFF"/>
            <w:vAlign w:val="bottom"/>
          </w:tcPr>
          <w:p w14:paraId="768A3CB0"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2, paragraph 11</w:t>
            </w:r>
            <w:r w:rsidRPr="004E6CED">
              <w:rPr>
                <w:rFonts w:ascii="Times New Roman" w:hAnsi="Times New Roman" w:cs="Times New Roman"/>
                <w:sz w:val="22"/>
              </w:rPr>
              <w:tab/>
            </w:r>
          </w:p>
        </w:tc>
        <w:tc>
          <w:tcPr>
            <w:tcW w:w="6120" w:type="dxa"/>
            <w:shd w:val="clear" w:color="auto" w:fill="FFFFFF"/>
            <w:vAlign w:val="bottom"/>
          </w:tcPr>
          <w:p w14:paraId="30472C5E" w14:textId="77777777" w:rsidR="00922A2D" w:rsidRPr="004E6CED" w:rsidRDefault="00EC76EB" w:rsidP="004E6CED">
            <w:pPr>
              <w:ind w:left="350" w:hanging="350"/>
              <w:rPr>
                <w:rFonts w:ascii="Times New Roman" w:hAnsi="Times New Roman" w:cs="Times New Roman"/>
                <w:sz w:val="22"/>
              </w:rPr>
            </w:pPr>
            <w:r w:rsidRPr="004E6CED">
              <w:rPr>
                <w:rFonts w:ascii="Times New Roman" w:hAnsi="Times New Roman" w:cs="Times New Roman"/>
                <w:sz w:val="22"/>
              </w:rPr>
              <w:t>Omit from sub-paragraph (3) “Director-General” (wherever occu</w:t>
            </w:r>
            <w:r w:rsidR="004E6CED" w:rsidRPr="004E6CED">
              <w:rPr>
                <w:rFonts w:ascii="Times New Roman" w:hAnsi="Times New Roman" w:cs="Times New Roman"/>
                <w:sz w:val="22"/>
              </w:rPr>
              <w:t>rring), substitute “Secretary”.</w:t>
            </w:r>
          </w:p>
        </w:tc>
      </w:tr>
      <w:tr w:rsidR="00922A2D" w:rsidRPr="004225DB" w14:paraId="3E2CFA9A" w14:textId="77777777" w:rsidTr="0062754B">
        <w:trPr>
          <w:trHeight w:val="336"/>
        </w:trPr>
        <w:tc>
          <w:tcPr>
            <w:tcW w:w="3610" w:type="dxa"/>
            <w:shd w:val="clear" w:color="auto" w:fill="FFFFFF"/>
            <w:vAlign w:val="bottom"/>
          </w:tcPr>
          <w:p w14:paraId="3701C68E"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3, paragraph 4</w:t>
            </w:r>
            <w:r w:rsidRPr="004E6CED">
              <w:rPr>
                <w:rFonts w:ascii="Times New Roman" w:hAnsi="Times New Roman" w:cs="Times New Roman"/>
                <w:sz w:val="22"/>
              </w:rPr>
              <w:tab/>
            </w:r>
          </w:p>
        </w:tc>
        <w:tc>
          <w:tcPr>
            <w:tcW w:w="6120" w:type="dxa"/>
            <w:shd w:val="clear" w:color="auto" w:fill="FFFFFF"/>
            <w:vAlign w:val="bottom"/>
          </w:tcPr>
          <w:p w14:paraId="5A2AFCB1" w14:textId="552F4D51" w:rsidR="00922A2D" w:rsidRPr="004E6CED" w:rsidRDefault="00EC76EB" w:rsidP="00B94CA6">
            <w:pPr>
              <w:ind w:left="350" w:hanging="350"/>
              <w:rPr>
                <w:rFonts w:ascii="Times New Roman" w:hAnsi="Times New Roman" w:cs="Times New Roman"/>
                <w:sz w:val="22"/>
              </w:rPr>
            </w:pPr>
            <w:r w:rsidRPr="004E6CED">
              <w:rPr>
                <w:rFonts w:ascii="Times New Roman" w:hAnsi="Times New Roman" w:cs="Times New Roman"/>
                <w:sz w:val="22"/>
              </w:rPr>
              <w:t>Omit from clause (c) “Director-General”, substitute “Secretary”.</w:t>
            </w:r>
          </w:p>
        </w:tc>
      </w:tr>
      <w:tr w:rsidR="00922A2D" w:rsidRPr="004225DB" w14:paraId="73BE6F6F" w14:textId="77777777" w:rsidTr="0062754B">
        <w:trPr>
          <w:trHeight w:val="173"/>
        </w:trPr>
        <w:tc>
          <w:tcPr>
            <w:tcW w:w="3610" w:type="dxa"/>
            <w:shd w:val="clear" w:color="auto" w:fill="FFFFFF"/>
            <w:vAlign w:val="bottom"/>
          </w:tcPr>
          <w:p w14:paraId="5E96B9CA"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3, paragraph 5</w:t>
            </w:r>
            <w:r w:rsidRPr="004E6CED">
              <w:rPr>
                <w:rFonts w:ascii="Times New Roman" w:hAnsi="Times New Roman" w:cs="Times New Roman"/>
                <w:sz w:val="22"/>
              </w:rPr>
              <w:tab/>
            </w:r>
          </w:p>
        </w:tc>
        <w:tc>
          <w:tcPr>
            <w:tcW w:w="6120" w:type="dxa"/>
            <w:shd w:val="clear" w:color="auto" w:fill="FFFFFF"/>
            <w:vAlign w:val="bottom"/>
          </w:tcPr>
          <w:p w14:paraId="57625E09" w14:textId="2EF702B3" w:rsidR="00922A2D" w:rsidRPr="004E6CED" w:rsidRDefault="00EC76EB" w:rsidP="00B94CA6">
            <w:pPr>
              <w:rPr>
                <w:rFonts w:ascii="Times New Roman" w:hAnsi="Times New Roman" w:cs="Times New Roman"/>
                <w:sz w:val="22"/>
              </w:rPr>
            </w:pPr>
            <w:r w:rsidRPr="004E6CED">
              <w:rPr>
                <w:rFonts w:ascii="Times New Roman" w:hAnsi="Times New Roman" w:cs="Times New Roman"/>
                <w:sz w:val="22"/>
              </w:rPr>
              <w:t>Omit “</w:t>
            </w:r>
            <w:r w:rsidR="00B94CA6">
              <w:rPr>
                <w:rFonts w:ascii="Times New Roman" w:hAnsi="Times New Roman" w:cs="Times New Roman"/>
                <w:sz w:val="22"/>
              </w:rPr>
              <w:t>Director-General’ substitute “</w:t>
            </w:r>
            <w:r w:rsidRPr="004E6CED">
              <w:rPr>
                <w:rFonts w:ascii="Times New Roman" w:hAnsi="Times New Roman" w:cs="Times New Roman"/>
                <w:sz w:val="22"/>
              </w:rPr>
              <w:t>Secretary</w:t>
            </w:r>
            <w:r w:rsidR="00B94CA6">
              <w:rPr>
                <w:rFonts w:ascii="Times New Roman" w:hAnsi="Times New Roman" w:cs="Times New Roman"/>
                <w:sz w:val="22"/>
              </w:rPr>
              <w:t>”</w:t>
            </w:r>
            <w:r w:rsidRPr="004E6CED">
              <w:rPr>
                <w:rFonts w:ascii="Times New Roman" w:hAnsi="Times New Roman" w:cs="Times New Roman"/>
                <w:sz w:val="22"/>
              </w:rPr>
              <w:t>.</w:t>
            </w:r>
          </w:p>
        </w:tc>
      </w:tr>
      <w:tr w:rsidR="00922A2D" w:rsidRPr="004225DB" w14:paraId="676C35A5" w14:textId="77777777" w:rsidTr="0062754B">
        <w:trPr>
          <w:trHeight w:val="485"/>
        </w:trPr>
        <w:tc>
          <w:tcPr>
            <w:tcW w:w="3610" w:type="dxa"/>
            <w:tcBorders>
              <w:bottom w:val="single" w:sz="4" w:space="0" w:color="auto"/>
            </w:tcBorders>
            <w:shd w:val="clear" w:color="auto" w:fill="FFFFFF"/>
            <w:vAlign w:val="bottom"/>
          </w:tcPr>
          <w:p w14:paraId="6BC5F24D" w14:textId="77777777" w:rsidR="00922A2D" w:rsidRPr="004E6CED" w:rsidRDefault="004E6CED" w:rsidP="004E6CED">
            <w:pPr>
              <w:tabs>
                <w:tab w:val="left" w:leader="dot" w:pos="3480"/>
              </w:tabs>
              <w:rPr>
                <w:rFonts w:ascii="Times New Roman" w:hAnsi="Times New Roman" w:cs="Times New Roman"/>
                <w:sz w:val="22"/>
              </w:rPr>
            </w:pPr>
            <w:r w:rsidRPr="004E6CED">
              <w:rPr>
                <w:rFonts w:ascii="Times New Roman" w:hAnsi="Times New Roman" w:cs="Times New Roman"/>
                <w:sz w:val="22"/>
              </w:rPr>
              <w:t>Schedule 3, paragraph 6</w:t>
            </w:r>
            <w:r w:rsidRPr="004E6CED">
              <w:rPr>
                <w:rFonts w:ascii="Times New Roman" w:hAnsi="Times New Roman" w:cs="Times New Roman"/>
                <w:sz w:val="22"/>
              </w:rPr>
              <w:tab/>
            </w:r>
          </w:p>
        </w:tc>
        <w:tc>
          <w:tcPr>
            <w:tcW w:w="6120" w:type="dxa"/>
            <w:tcBorders>
              <w:bottom w:val="single" w:sz="4" w:space="0" w:color="auto"/>
            </w:tcBorders>
            <w:shd w:val="clear" w:color="auto" w:fill="FFFFFF"/>
            <w:vAlign w:val="bottom"/>
          </w:tcPr>
          <w:p w14:paraId="23ED7347" w14:textId="77777777" w:rsidR="00922A2D" w:rsidRPr="004E6CED" w:rsidRDefault="00EC76EB" w:rsidP="004E6CED">
            <w:pPr>
              <w:ind w:left="350" w:hanging="350"/>
              <w:rPr>
                <w:rFonts w:ascii="Times New Roman" w:hAnsi="Times New Roman" w:cs="Times New Roman"/>
                <w:sz w:val="22"/>
              </w:rPr>
            </w:pPr>
            <w:r w:rsidRPr="004E6CED">
              <w:rPr>
                <w:rFonts w:ascii="Times New Roman" w:hAnsi="Times New Roman" w:cs="Times New Roman"/>
                <w:sz w:val="22"/>
              </w:rPr>
              <w:t>Omit from sub-paragraph (1) “Director-General” (wherever occ</w:t>
            </w:r>
            <w:r w:rsidR="004E6CED" w:rsidRPr="004E6CED">
              <w:rPr>
                <w:rFonts w:ascii="Times New Roman" w:hAnsi="Times New Roman" w:cs="Times New Roman"/>
                <w:sz w:val="22"/>
              </w:rPr>
              <w:t>urring), substitute “Secretary”.</w:t>
            </w:r>
          </w:p>
        </w:tc>
      </w:tr>
    </w:tbl>
    <w:p w14:paraId="3D52E664" w14:textId="77777777" w:rsidR="0062754B" w:rsidRDefault="0062754B" w:rsidP="0062754B">
      <w:pPr>
        <w:pBdr>
          <w:bottom w:val="single" w:sz="12" w:space="1" w:color="auto"/>
        </w:pBdr>
        <w:spacing w:before="160"/>
        <w:rPr>
          <w:rFonts w:ascii="Times New Roman" w:hAnsi="Times New Roman" w:cs="Times New Roman"/>
        </w:rPr>
      </w:pPr>
    </w:p>
    <w:sectPr w:rsidR="0062754B" w:rsidSect="00F81141">
      <w:headerReference w:type="even" r:id="rId8"/>
      <w:headerReference w:type="default" r:id="rId9"/>
      <w:pgSz w:w="11909" w:h="18000"/>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E1D3B" w15:done="0"/>
  <w15:commentEx w15:paraId="53268DC5" w15:done="0"/>
  <w15:commentEx w15:paraId="1BDC707C" w15:done="0"/>
  <w15:commentEx w15:paraId="0BEF24EF" w15:done="0"/>
  <w15:commentEx w15:paraId="1FD821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E1D3B" w16cid:durableId="1F4C5C6B"/>
  <w16cid:commentId w16cid:paraId="53268DC5" w16cid:durableId="1F4C5CB5"/>
  <w16cid:commentId w16cid:paraId="1BDC707C" w16cid:durableId="1F4C5CFB"/>
  <w16cid:commentId w16cid:paraId="0BEF24EF" w16cid:durableId="1F4C5D25"/>
  <w16cid:commentId w16cid:paraId="1FD82163" w16cid:durableId="1F4C5D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5FD3E" w14:textId="77777777" w:rsidR="00515B6A" w:rsidRDefault="00515B6A">
      <w:r>
        <w:separator/>
      </w:r>
    </w:p>
  </w:endnote>
  <w:endnote w:type="continuationSeparator" w:id="0">
    <w:p w14:paraId="1ED94163" w14:textId="77777777" w:rsidR="00515B6A" w:rsidRDefault="0051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2A336" w14:textId="77777777" w:rsidR="00515B6A" w:rsidRDefault="00515B6A"/>
  </w:footnote>
  <w:footnote w:type="continuationSeparator" w:id="0">
    <w:p w14:paraId="26FA1700" w14:textId="77777777" w:rsidR="00515B6A" w:rsidRDefault="00515B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D4BD" w14:textId="77777777" w:rsidR="0062754B" w:rsidRPr="00F81141" w:rsidRDefault="0062754B" w:rsidP="00F81141">
    <w:pPr>
      <w:pStyle w:val="Header"/>
      <w:tabs>
        <w:tab w:val="clear" w:pos="4680"/>
        <w:tab w:val="clear" w:pos="9360"/>
        <w:tab w:val="center" w:pos="5040"/>
        <w:tab w:val="right" w:pos="9720"/>
      </w:tabs>
      <w:rPr>
        <w:rFonts w:ascii="Times New Roman" w:hAnsi="Times New Roman" w:cs="Times New Roman"/>
        <w:sz w:val="22"/>
        <w:szCs w:val="22"/>
      </w:rPr>
    </w:pPr>
    <w:r w:rsidRPr="00F81141">
      <w:rPr>
        <w:rFonts w:ascii="Times New Roman" w:hAnsi="Times New Roman" w:cs="Times New Roman"/>
        <w:sz w:val="22"/>
        <w:szCs w:val="22"/>
      </w:rPr>
      <w:t>1974</w:t>
    </w:r>
    <w:r w:rsidRPr="00F81141">
      <w:rPr>
        <w:rFonts w:ascii="Times New Roman" w:hAnsi="Times New Roman" w:cs="Times New Roman"/>
        <w:sz w:val="22"/>
        <w:szCs w:val="22"/>
      </w:rPr>
      <w:tab/>
    </w:r>
    <w:r w:rsidRPr="00F81141">
      <w:rPr>
        <w:rFonts w:ascii="Times New Roman" w:hAnsi="Times New Roman" w:cs="Times New Roman"/>
        <w:i/>
        <w:iCs/>
        <w:color w:val="auto"/>
        <w:sz w:val="22"/>
        <w:szCs w:val="22"/>
      </w:rPr>
      <w:t xml:space="preserve">Air Navigation </w:t>
    </w:r>
    <w:r w:rsidRPr="00F81141">
      <w:rPr>
        <w:rFonts w:ascii="Times New Roman" w:hAnsi="Times New Roman" w:cs="Times New Roman"/>
        <w:iCs/>
        <w:color w:val="auto"/>
        <w:sz w:val="22"/>
        <w:szCs w:val="22"/>
      </w:rPr>
      <w:t>(</w:t>
    </w:r>
    <w:r w:rsidRPr="00F81141">
      <w:rPr>
        <w:rFonts w:ascii="Times New Roman" w:hAnsi="Times New Roman" w:cs="Times New Roman"/>
        <w:i/>
        <w:iCs/>
        <w:color w:val="auto"/>
        <w:sz w:val="22"/>
        <w:szCs w:val="22"/>
      </w:rPr>
      <w:t>Charges</w:t>
    </w:r>
    <w:r w:rsidRPr="00F81141">
      <w:rPr>
        <w:rFonts w:ascii="Times New Roman" w:hAnsi="Times New Roman" w:cs="Times New Roman"/>
        <w:iCs/>
        <w:color w:val="auto"/>
        <w:sz w:val="22"/>
        <w:szCs w:val="22"/>
      </w:rPr>
      <w:t>)</w:t>
    </w:r>
    <w:r w:rsidRPr="00F81141">
      <w:rPr>
        <w:rFonts w:ascii="Times New Roman" w:hAnsi="Times New Roman" w:cs="Times New Roman"/>
        <w:iCs/>
        <w:color w:val="auto"/>
        <w:sz w:val="22"/>
        <w:szCs w:val="22"/>
      </w:rPr>
      <w:tab/>
      <w:t>No. 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3E74" w14:textId="77777777" w:rsidR="0062754B" w:rsidRPr="00F81141" w:rsidRDefault="00F81141" w:rsidP="00F81141">
    <w:pPr>
      <w:pStyle w:val="Header"/>
      <w:tabs>
        <w:tab w:val="clear" w:pos="4680"/>
        <w:tab w:val="clear" w:pos="9360"/>
        <w:tab w:val="center" w:pos="5040"/>
        <w:tab w:val="right" w:pos="9720"/>
      </w:tabs>
      <w:rPr>
        <w:rFonts w:ascii="Times New Roman" w:hAnsi="Times New Roman" w:cs="Times New Roman"/>
        <w:sz w:val="22"/>
        <w:szCs w:val="22"/>
      </w:rPr>
    </w:pPr>
    <w:r w:rsidRPr="00F81141">
      <w:rPr>
        <w:rFonts w:ascii="Times New Roman" w:hAnsi="Times New Roman" w:cs="Times New Roman"/>
        <w:sz w:val="22"/>
        <w:szCs w:val="22"/>
      </w:rPr>
      <w:t>No. 114</w:t>
    </w:r>
    <w:r w:rsidRPr="00F81141">
      <w:rPr>
        <w:rFonts w:ascii="Times New Roman" w:hAnsi="Times New Roman" w:cs="Times New Roman"/>
        <w:sz w:val="22"/>
        <w:szCs w:val="22"/>
      </w:rPr>
      <w:tab/>
    </w:r>
    <w:r w:rsidRPr="00F81141">
      <w:rPr>
        <w:rFonts w:ascii="Times New Roman" w:hAnsi="Times New Roman" w:cs="Times New Roman"/>
        <w:i/>
        <w:iCs/>
        <w:color w:val="auto"/>
        <w:sz w:val="22"/>
        <w:szCs w:val="22"/>
      </w:rPr>
      <w:t xml:space="preserve">Air Navigation </w:t>
    </w:r>
    <w:r w:rsidRPr="00F81141">
      <w:rPr>
        <w:rFonts w:ascii="Times New Roman" w:hAnsi="Times New Roman" w:cs="Times New Roman"/>
        <w:iCs/>
        <w:color w:val="auto"/>
        <w:sz w:val="22"/>
        <w:szCs w:val="22"/>
      </w:rPr>
      <w:t>(</w:t>
    </w:r>
    <w:r w:rsidRPr="00F81141">
      <w:rPr>
        <w:rFonts w:ascii="Times New Roman" w:hAnsi="Times New Roman" w:cs="Times New Roman"/>
        <w:i/>
        <w:iCs/>
        <w:color w:val="auto"/>
        <w:sz w:val="22"/>
        <w:szCs w:val="22"/>
      </w:rPr>
      <w:t>Charges</w:t>
    </w:r>
    <w:r w:rsidRPr="00F81141">
      <w:rPr>
        <w:rFonts w:ascii="Times New Roman" w:hAnsi="Times New Roman" w:cs="Times New Roman"/>
        <w:iCs/>
        <w:color w:val="auto"/>
        <w:sz w:val="22"/>
        <w:szCs w:val="22"/>
      </w:rPr>
      <w:t>)</w:t>
    </w:r>
    <w:r w:rsidRPr="00F81141">
      <w:rPr>
        <w:rFonts w:ascii="Times New Roman" w:hAnsi="Times New Roman" w:cs="Times New Roman"/>
        <w:iCs/>
        <w:color w:val="auto"/>
        <w:sz w:val="22"/>
        <w:szCs w:val="22"/>
      </w:rPr>
      <w:tab/>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E5"/>
    <w:multiLevelType w:val="multilevel"/>
    <w:tmpl w:val="804E957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B3D66"/>
    <w:multiLevelType w:val="multilevel"/>
    <w:tmpl w:val="7256C4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54928"/>
    <w:multiLevelType w:val="multilevel"/>
    <w:tmpl w:val="76A4E17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468D2"/>
    <w:multiLevelType w:val="multilevel"/>
    <w:tmpl w:val="1CC2A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10B48"/>
    <w:multiLevelType w:val="multilevel"/>
    <w:tmpl w:val="E92853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F3E03"/>
    <w:multiLevelType w:val="multilevel"/>
    <w:tmpl w:val="5136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95745"/>
    <w:multiLevelType w:val="multilevel"/>
    <w:tmpl w:val="78248A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EF1CB6"/>
    <w:multiLevelType w:val="multilevel"/>
    <w:tmpl w:val="2BF0DE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0127DC"/>
    <w:multiLevelType w:val="multilevel"/>
    <w:tmpl w:val="BFFE26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7015C"/>
    <w:multiLevelType w:val="multilevel"/>
    <w:tmpl w:val="9AAA0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C639C5"/>
    <w:multiLevelType w:val="multilevel"/>
    <w:tmpl w:val="16449C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72095"/>
    <w:multiLevelType w:val="multilevel"/>
    <w:tmpl w:val="65ACD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17891"/>
    <w:multiLevelType w:val="multilevel"/>
    <w:tmpl w:val="567C6A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2"/>
  </w:num>
  <w:num w:numId="4">
    <w:abstractNumId w:val="2"/>
  </w:num>
  <w:num w:numId="5">
    <w:abstractNumId w:val="5"/>
  </w:num>
  <w:num w:numId="6">
    <w:abstractNumId w:val="0"/>
  </w:num>
  <w:num w:numId="7">
    <w:abstractNumId w:val="7"/>
  </w:num>
  <w:num w:numId="8">
    <w:abstractNumId w:val="8"/>
  </w:num>
  <w:num w:numId="9">
    <w:abstractNumId w:val="4"/>
  </w:num>
  <w:num w:numId="10">
    <w:abstractNumId w:val="10"/>
  </w:num>
  <w:num w:numId="11">
    <w:abstractNumId w:val="11"/>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22A2D"/>
    <w:rsid w:val="002451B5"/>
    <w:rsid w:val="00387285"/>
    <w:rsid w:val="003B67B1"/>
    <w:rsid w:val="00413E6A"/>
    <w:rsid w:val="004225DB"/>
    <w:rsid w:val="0045355C"/>
    <w:rsid w:val="004E630A"/>
    <w:rsid w:val="004E6CED"/>
    <w:rsid w:val="00515B6A"/>
    <w:rsid w:val="005A65C4"/>
    <w:rsid w:val="005B3A28"/>
    <w:rsid w:val="005D3126"/>
    <w:rsid w:val="0062754B"/>
    <w:rsid w:val="00836821"/>
    <w:rsid w:val="00922A2D"/>
    <w:rsid w:val="00B94CA6"/>
    <w:rsid w:val="00D159C7"/>
    <w:rsid w:val="00D368F3"/>
    <w:rsid w:val="00DC5883"/>
    <w:rsid w:val="00E91271"/>
    <w:rsid w:val="00EC76EB"/>
    <w:rsid w:val="00ED2F73"/>
    <w:rsid w:val="00F81141"/>
    <w:rsid w:val="00FA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6">
    <w:name w:val="Body text (6)"/>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Bodytext60">
    <w:name w:val="Body text (6)"/>
    <w:basedOn w:val="Bodytext61"/>
    <w:rPr>
      <w:rFonts w:ascii="Times New Roman" w:eastAsia="Times New Roman" w:hAnsi="Times New Roman" w:cs="Times New Roman"/>
      <w:b w:val="0"/>
      <w:bCs w:val="0"/>
      <w:i w:val="0"/>
      <w:iCs w:val="0"/>
      <w:smallCaps w:val="0"/>
      <w:strike w:val="0"/>
      <w:sz w:val="19"/>
      <w:szCs w:val="19"/>
      <w:u w:val="none"/>
    </w:rPr>
  </w:style>
  <w:style w:type="character" w:customStyle="1" w:styleId="Bodytext50">
    <w:name w:val="Body text (5)"/>
    <w:basedOn w:val="Bodytext51"/>
    <w:rPr>
      <w:rFonts w:ascii="Times New Roman" w:eastAsia="Times New Roman" w:hAnsi="Times New Roman" w:cs="Times New Roman"/>
      <w:b w:val="0"/>
      <w:bCs w:val="0"/>
      <w:i w:val="0"/>
      <w:iCs w:val="0"/>
      <w:smallCaps w:val="0"/>
      <w:strike w:val="0"/>
      <w:sz w:val="16"/>
      <w:szCs w:val="16"/>
      <w:u w:val="none"/>
    </w:rPr>
  </w:style>
  <w:style w:type="character" w:customStyle="1" w:styleId="Bodytext5Arial">
    <w:name w:val="Body text (5) + Arial"/>
    <w:aliases w:val="6.5 pt"/>
    <w:basedOn w:val="Bodytext51"/>
    <w:rPr>
      <w:rFonts w:ascii="Arial" w:eastAsia="Arial" w:hAnsi="Arial" w:cs="Arial"/>
      <w:b w:val="0"/>
      <w:bCs w:val="0"/>
      <w:i w:val="0"/>
      <w:iCs w:val="0"/>
      <w:smallCaps w:val="0"/>
      <w:strike w:val="0"/>
      <w:sz w:val="13"/>
      <w:szCs w:val="13"/>
      <w:u w:val="none"/>
    </w:rPr>
  </w:style>
  <w:style w:type="character" w:customStyle="1" w:styleId="Bodytext5Arial0">
    <w:name w:val="Body text (5) + Arial"/>
    <w:aliases w:val="6.5 pt,Bold"/>
    <w:basedOn w:val="Bodytext51"/>
    <w:rPr>
      <w:rFonts w:ascii="Arial" w:eastAsia="Arial" w:hAnsi="Arial" w:cs="Arial"/>
      <w:b/>
      <w:bCs/>
      <w:i w:val="0"/>
      <w:iCs w:val="0"/>
      <w:smallCaps w:val="0"/>
      <w:strike w:val="0"/>
      <w:sz w:val="13"/>
      <w:szCs w:val="13"/>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05pt">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1">
    <w:name w:val="Body text (5)_"/>
    <w:basedOn w:val="DefaultParagraphFont"/>
    <w:link w:val="Bodytext52"/>
    <w:rPr>
      <w:rFonts w:ascii="Times New Roman" w:eastAsia="Times New Roman" w:hAnsi="Times New Roman" w:cs="Times New Roman"/>
      <w:b w:val="0"/>
      <w:bCs w:val="0"/>
      <w:i w:val="0"/>
      <w:iCs w:val="0"/>
      <w:smallCaps w:val="0"/>
      <w:strike w:val="0"/>
      <w:sz w:val="16"/>
      <w:szCs w:val="16"/>
      <w:u w:val="none"/>
    </w:rPr>
  </w:style>
  <w:style w:type="character" w:customStyle="1" w:styleId="Bodytext8pt0">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61">
    <w:name w:val="Body text (6)_"/>
    <w:basedOn w:val="DefaultParagraphFont"/>
    <w:link w:val="Bodytext62"/>
    <w:rPr>
      <w:rFonts w:ascii="Times New Roman" w:eastAsia="Times New Roman" w:hAnsi="Times New Roman" w:cs="Times New Roman"/>
      <w:b w:val="0"/>
      <w:bCs w:val="0"/>
      <w:i w:val="0"/>
      <w:iCs w:val="0"/>
      <w:smallCaps w:val="0"/>
      <w:strike w:val="0"/>
      <w:sz w:val="19"/>
      <w:szCs w:val="19"/>
      <w:u w:val="none"/>
    </w:rPr>
  </w:style>
  <w:style w:type="paragraph" w:customStyle="1" w:styleId="Bodytext52">
    <w:name w:val="Body text (5)"/>
    <w:basedOn w:val="Normal"/>
    <w:link w:val="Bodytext51"/>
    <w:pPr>
      <w:shd w:val="clear" w:color="auto" w:fill="FFFFFF"/>
      <w:spacing w:line="173" w:lineRule="exact"/>
      <w:jc w:val="both"/>
    </w:pPr>
    <w:rPr>
      <w:rFonts w:ascii="Times New Roman" w:eastAsia="Times New Roman" w:hAnsi="Times New Roman" w:cs="Times New Roman"/>
      <w:sz w:val="16"/>
      <w:szCs w:val="16"/>
    </w:rPr>
  </w:style>
  <w:style w:type="paragraph" w:customStyle="1" w:styleId="Bodytext62">
    <w:name w:val="Body text (6)"/>
    <w:basedOn w:val="Normal"/>
    <w:link w:val="Bodytext61"/>
    <w:pPr>
      <w:shd w:val="clear" w:color="auto" w:fill="FFFFFF"/>
      <w:spacing w:line="168" w:lineRule="exact"/>
      <w:ind w:hanging="300"/>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spacing w:line="523" w:lineRule="exact"/>
      <w:jc w:val="center"/>
      <w:outlineLvl w:val="0"/>
    </w:pPr>
    <w:rPr>
      <w:rFonts w:ascii="Arial" w:eastAsia="Arial" w:hAnsi="Arial" w:cs="Arial"/>
      <w:b/>
      <w:bCs/>
      <w:sz w:val="27"/>
      <w:szCs w:val="27"/>
    </w:rPr>
  </w:style>
  <w:style w:type="paragraph" w:customStyle="1" w:styleId="BodyText4">
    <w:name w:val="Body Text4"/>
    <w:basedOn w:val="Normal"/>
    <w:link w:val="Bodytext"/>
    <w:pPr>
      <w:shd w:val="clear" w:color="auto" w:fill="FFFFFF"/>
      <w:spacing w:line="240" w:lineRule="exact"/>
      <w:ind w:hanging="46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hd w:val="clear" w:color="auto" w:fill="FFFFFF"/>
      <w:spacing w:line="0" w:lineRule="atLeast"/>
      <w:jc w:val="center"/>
    </w:pPr>
    <w:rPr>
      <w:rFonts w:ascii="Times New Roman" w:eastAsia="Times New Roman" w:hAnsi="Times New Roman" w:cs="Times New Roman"/>
      <w:sz w:val="21"/>
      <w:szCs w:val="21"/>
    </w:rPr>
  </w:style>
  <w:style w:type="paragraph" w:styleId="ListParagraph">
    <w:name w:val="List Paragraph"/>
    <w:basedOn w:val="Normal"/>
    <w:uiPriority w:val="34"/>
    <w:qFormat/>
    <w:rsid w:val="004225DB"/>
    <w:pPr>
      <w:ind w:left="720"/>
      <w:contextualSpacing/>
    </w:pPr>
  </w:style>
  <w:style w:type="paragraph" w:styleId="Header">
    <w:name w:val="header"/>
    <w:basedOn w:val="Normal"/>
    <w:link w:val="HeaderChar"/>
    <w:uiPriority w:val="99"/>
    <w:unhideWhenUsed/>
    <w:rsid w:val="0062754B"/>
    <w:pPr>
      <w:tabs>
        <w:tab w:val="center" w:pos="4680"/>
        <w:tab w:val="right" w:pos="9360"/>
      </w:tabs>
    </w:pPr>
  </w:style>
  <w:style w:type="character" w:customStyle="1" w:styleId="HeaderChar">
    <w:name w:val="Header Char"/>
    <w:basedOn w:val="DefaultParagraphFont"/>
    <w:link w:val="Header"/>
    <w:uiPriority w:val="99"/>
    <w:rsid w:val="0062754B"/>
    <w:rPr>
      <w:color w:val="000000"/>
    </w:rPr>
  </w:style>
  <w:style w:type="paragraph" w:styleId="Footer">
    <w:name w:val="footer"/>
    <w:basedOn w:val="Normal"/>
    <w:link w:val="FooterChar"/>
    <w:uiPriority w:val="99"/>
    <w:unhideWhenUsed/>
    <w:rsid w:val="0062754B"/>
    <w:pPr>
      <w:tabs>
        <w:tab w:val="center" w:pos="4680"/>
        <w:tab w:val="right" w:pos="9360"/>
      </w:tabs>
    </w:pPr>
  </w:style>
  <w:style w:type="character" w:customStyle="1" w:styleId="FooterChar">
    <w:name w:val="Footer Char"/>
    <w:basedOn w:val="DefaultParagraphFont"/>
    <w:link w:val="Footer"/>
    <w:uiPriority w:val="99"/>
    <w:rsid w:val="0062754B"/>
    <w:rPr>
      <w:color w:val="000000"/>
    </w:rPr>
  </w:style>
  <w:style w:type="character" w:styleId="CommentReference">
    <w:name w:val="annotation reference"/>
    <w:basedOn w:val="DefaultParagraphFont"/>
    <w:uiPriority w:val="99"/>
    <w:semiHidden/>
    <w:unhideWhenUsed/>
    <w:rsid w:val="005D3126"/>
    <w:rPr>
      <w:sz w:val="16"/>
      <w:szCs w:val="16"/>
    </w:rPr>
  </w:style>
  <w:style w:type="paragraph" w:styleId="CommentText">
    <w:name w:val="annotation text"/>
    <w:basedOn w:val="Normal"/>
    <w:link w:val="CommentTextChar"/>
    <w:uiPriority w:val="99"/>
    <w:semiHidden/>
    <w:unhideWhenUsed/>
    <w:rsid w:val="005D3126"/>
    <w:rPr>
      <w:sz w:val="20"/>
      <w:szCs w:val="20"/>
    </w:rPr>
  </w:style>
  <w:style w:type="character" w:customStyle="1" w:styleId="CommentTextChar">
    <w:name w:val="Comment Text Char"/>
    <w:basedOn w:val="DefaultParagraphFont"/>
    <w:link w:val="CommentText"/>
    <w:uiPriority w:val="99"/>
    <w:semiHidden/>
    <w:rsid w:val="005D3126"/>
    <w:rPr>
      <w:color w:val="000000"/>
      <w:sz w:val="20"/>
      <w:szCs w:val="20"/>
    </w:rPr>
  </w:style>
  <w:style w:type="paragraph" w:styleId="CommentSubject">
    <w:name w:val="annotation subject"/>
    <w:basedOn w:val="CommentText"/>
    <w:next w:val="CommentText"/>
    <w:link w:val="CommentSubjectChar"/>
    <w:uiPriority w:val="99"/>
    <w:semiHidden/>
    <w:unhideWhenUsed/>
    <w:rsid w:val="005D3126"/>
    <w:rPr>
      <w:b/>
      <w:bCs/>
    </w:rPr>
  </w:style>
  <w:style w:type="character" w:customStyle="1" w:styleId="CommentSubjectChar">
    <w:name w:val="Comment Subject Char"/>
    <w:basedOn w:val="CommentTextChar"/>
    <w:link w:val="CommentSubject"/>
    <w:uiPriority w:val="99"/>
    <w:semiHidden/>
    <w:rsid w:val="005D3126"/>
    <w:rPr>
      <w:b/>
      <w:bCs/>
      <w:color w:val="000000"/>
      <w:sz w:val="20"/>
      <w:szCs w:val="20"/>
    </w:rPr>
  </w:style>
  <w:style w:type="paragraph" w:styleId="BalloonText">
    <w:name w:val="Balloon Text"/>
    <w:basedOn w:val="Normal"/>
    <w:link w:val="BalloonTextChar"/>
    <w:uiPriority w:val="99"/>
    <w:semiHidden/>
    <w:unhideWhenUsed/>
    <w:rsid w:val="005D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126"/>
    <w:rPr>
      <w:rFonts w:ascii="Segoe UI" w:hAnsi="Segoe UI" w:cs="Segoe UI"/>
      <w:color w:val="000000"/>
      <w:sz w:val="18"/>
      <w:szCs w:val="18"/>
    </w:rPr>
  </w:style>
  <w:style w:type="paragraph" w:styleId="Revision">
    <w:name w:val="Revision"/>
    <w:hidden/>
    <w:uiPriority w:val="99"/>
    <w:semiHidden/>
    <w:rsid w:val="00B94CA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2018-09-18T19:30:00Z</dcterms:created>
  <dcterms:modified xsi:type="dcterms:W3CDTF">2019-06-25T05:39:00Z</dcterms:modified>
</cp:coreProperties>
</file>