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C1D" w:rsidRPr="00FA3B0C" w:rsidRDefault="00334C1D" w:rsidP="008A31ED">
      <w:r w:rsidRPr="00FA3B0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45pt;height:78.45pt" o:ole="" fillcolor="window">
            <v:imagedata r:id="rId9" o:title=""/>
          </v:shape>
          <o:OLEObject Type="Embed" ProgID="Word.Picture.8" ShapeID="_x0000_i1025" DrawAspect="Content" ObjectID="_1498641414" r:id="rId10"/>
        </w:object>
      </w:r>
    </w:p>
    <w:p w:rsidR="00334C1D" w:rsidRPr="00FA3B0C" w:rsidRDefault="00334C1D" w:rsidP="00334C1D"/>
    <w:p w:rsidR="00334C1D" w:rsidRPr="00FA3B0C" w:rsidRDefault="00334C1D" w:rsidP="00334C1D">
      <w:pPr>
        <w:spacing w:line="240" w:lineRule="auto"/>
      </w:pPr>
    </w:p>
    <w:p w:rsidR="00334C1D" w:rsidRPr="00FA3B0C" w:rsidRDefault="00334C1D" w:rsidP="00334C1D"/>
    <w:p w:rsidR="00334C1D" w:rsidRPr="00FA3B0C" w:rsidRDefault="00334C1D" w:rsidP="00334C1D"/>
    <w:p w:rsidR="00334C1D" w:rsidRPr="00FA3B0C" w:rsidRDefault="00334C1D" w:rsidP="00334C1D"/>
    <w:p w:rsidR="00334C1D" w:rsidRPr="00FA3B0C" w:rsidRDefault="00334C1D" w:rsidP="00334C1D"/>
    <w:p w:rsidR="008A31ED" w:rsidRDefault="008A31ED" w:rsidP="008A31ED">
      <w:pPr>
        <w:pStyle w:val="ShortT"/>
        <w:spacing w:before="0"/>
      </w:pPr>
      <w:r>
        <w:t>Defence Force Retirement and Death Benefits (Pension Increases) Act 1974</w:t>
      </w:r>
    </w:p>
    <w:p w:rsidR="005D220C" w:rsidRDefault="005D220C" w:rsidP="005D220C">
      <w:pPr>
        <w:pStyle w:val="Actno"/>
        <w:spacing w:before="0"/>
      </w:pPr>
    </w:p>
    <w:p w:rsidR="008A31ED" w:rsidRPr="006D4056" w:rsidRDefault="008A31ED" w:rsidP="008A31ED">
      <w:pPr>
        <w:pStyle w:val="Actno"/>
        <w:spacing w:before="400"/>
        <w:rPr>
          <w:color w:val="000000"/>
          <w:sz w:val="40"/>
        </w:rPr>
      </w:pPr>
      <w:r w:rsidRPr="006D4056">
        <w:rPr>
          <w:sz w:val="40"/>
        </w:rPr>
        <w:t xml:space="preserve">No. 105, </w:t>
      </w:r>
      <w:r w:rsidRPr="006D4056">
        <w:rPr>
          <w:color w:val="000000"/>
          <w:sz w:val="40"/>
        </w:rPr>
        <w:t>1974</w:t>
      </w:r>
    </w:p>
    <w:p w:rsidR="005D220C" w:rsidRDefault="005D220C" w:rsidP="005D220C"/>
    <w:p w:rsidR="005D220C" w:rsidRDefault="005D220C" w:rsidP="005D220C">
      <w:pPr>
        <w:spacing w:line="240" w:lineRule="auto"/>
      </w:pPr>
    </w:p>
    <w:p w:rsidR="005D220C" w:rsidRDefault="005D220C" w:rsidP="005D220C"/>
    <w:p w:rsidR="005D220C" w:rsidRDefault="005D220C" w:rsidP="005D220C"/>
    <w:p w:rsidR="005D220C" w:rsidRDefault="005D220C" w:rsidP="005D220C"/>
    <w:p w:rsidR="008A31ED" w:rsidRDefault="008A31ED" w:rsidP="008A31ED">
      <w:pPr>
        <w:pStyle w:val="LongT"/>
      </w:pPr>
      <w:r>
        <w:t xml:space="preserve">An Act to provide for Increases in certain Defence Force Retirement and Death Benefit Pensions </w:t>
      </w:r>
    </w:p>
    <w:p w:rsidR="00334C1D" w:rsidRPr="00FA3B0C" w:rsidRDefault="00334C1D" w:rsidP="00334C1D">
      <w:pPr>
        <w:pStyle w:val="Header"/>
        <w:tabs>
          <w:tab w:val="clear" w:pos="4153"/>
          <w:tab w:val="clear" w:pos="8306"/>
        </w:tabs>
      </w:pPr>
      <w:r w:rsidRPr="00FA3B0C">
        <w:rPr>
          <w:rStyle w:val="CharChapNo"/>
        </w:rPr>
        <w:t xml:space="preserve"> </w:t>
      </w:r>
      <w:r w:rsidRPr="00FA3B0C">
        <w:rPr>
          <w:rStyle w:val="CharChapText"/>
        </w:rPr>
        <w:t xml:space="preserve"> </w:t>
      </w:r>
    </w:p>
    <w:p w:rsidR="00334C1D" w:rsidRPr="00FA3B0C" w:rsidRDefault="00334C1D" w:rsidP="00334C1D">
      <w:pPr>
        <w:pStyle w:val="Header"/>
        <w:tabs>
          <w:tab w:val="clear" w:pos="4153"/>
          <w:tab w:val="clear" w:pos="8306"/>
        </w:tabs>
      </w:pPr>
      <w:r w:rsidRPr="00FA3B0C">
        <w:rPr>
          <w:rStyle w:val="CharPartNo"/>
        </w:rPr>
        <w:t xml:space="preserve"> </w:t>
      </w:r>
      <w:r w:rsidRPr="00FA3B0C">
        <w:rPr>
          <w:rStyle w:val="CharPartText"/>
        </w:rPr>
        <w:t xml:space="preserve"> </w:t>
      </w:r>
    </w:p>
    <w:p w:rsidR="00334C1D" w:rsidRPr="00FA3B0C" w:rsidRDefault="00334C1D" w:rsidP="00334C1D">
      <w:pPr>
        <w:pStyle w:val="Header"/>
        <w:tabs>
          <w:tab w:val="clear" w:pos="4153"/>
          <w:tab w:val="clear" w:pos="8306"/>
        </w:tabs>
      </w:pPr>
      <w:r w:rsidRPr="00FA3B0C">
        <w:rPr>
          <w:rStyle w:val="CharDivNo"/>
        </w:rPr>
        <w:t xml:space="preserve"> </w:t>
      </w:r>
      <w:r w:rsidRPr="00FA3B0C">
        <w:rPr>
          <w:rStyle w:val="CharDivText"/>
        </w:rPr>
        <w:t xml:space="preserve"> </w:t>
      </w:r>
    </w:p>
    <w:p w:rsidR="00334C1D" w:rsidRDefault="00334C1D" w:rsidP="0041140B">
      <w:pPr>
        <w:sectPr w:rsidR="00334C1D" w:rsidSect="00D67A11">
          <w:headerReference w:type="even" r:id="rId11"/>
          <w:footerReference w:type="even" r:id="rId12"/>
          <w:type w:val="continuous"/>
          <w:pgSz w:w="11906" w:h="16838" w:code="9"/>
          <w:pgMar w:top="2268" w:right="2410" w:bottom="3827" w:left="2410" w:header="720" w:footer="3402" w:gutter="0"/>
          <w:pgNumType w:fmt="lowerRoman"/>
          <w:cols w:space="708"/>
          <w:docGrid w:linePitch="360"/>
        </w:sectPr>
      </w:pPr>
    </w:p>
    <w:p w:rsidR="00334C1D" w:rsidRPr="00FA3B0C" w:rsidRDefault="00334C1D" w:rsidP="00334C1D">
      <w:pPr>
        <w:pStyle w:val="Contents"/>
      </w:pPr>
      <w:r w:rsidRPr="00FA3B0C">
        <w:lastRenderedPageBreak/>
        <w:t>Contents</w:t>
      </w:r>
      <w:bookmarkStart w:id="0" w:name="BKCheck15B_1"/>
      <w:bookmarkEnd w:id="0"/>
    </w:p>
    <w:p w:rsidR="006D1583" w:rsidRDefault="006D1583">
      <w:pPr>
        <w:pStyle w:val="TOC2"/>
        <w:rPr>
          <w:rFonts w:asciiTheme="minorHAnsi" w:eastAsiaTheme="minorEastAsia" w:hAnsiTheme="minorHAnsi" w:cstheme="minorBidi"/>
          <w:b w:val="0"/>
          <w:iCs w:val="0"/>
          <w:noProof/>
          <w:kern w:val="0"/>
          <w:sz w:val="22"/>
          <w:szCs w:val="22"/>
        </w:rPr>
      </w:pPr>
      <w:r>
        <w:fldChar w:fldCharType="begin"/>
      </w:r>
      <w:r>
        <w:instrText xml:space="preserve"> TOC \o "1-5" \h \z \u </w:instrText>
      </w:r>
      <w:r>
        <w:fldChar w:fldCharType="separate"/>
      </w:r>
      <w:hyperlink w:anchor="_Toc424899429" w:history="1">
        <w:r w:rsidRPr="0023435C">
          <w:rPr>
            <w:rStyle w:val="Hyperlink"/>
            <w:noProof/>
          </w:rPr>
          <w:t>Part I—Preliminary</w:t>
        </w:r>
        <w:r>
          <w:rPr>
            <w:noProof/>
            <w:webHidden/>
          </w:rPr>
          <w:tab/>
        </w:r>
        <w:r>
          <w:rPr>
            <w:noProof/>
            <w:webHidden/>
          </w:rPr>
          <w:fldChar w:fldCharType="begin"/>
        </w:r>
        <w:r>
          <w:rPr>
            <w:noProof/>
            <w:webHidden/>
          </w:rPr>
          <w:instrText xml:space="preserve"> PAGEREF _Toc424899429 \h </w:instrText>
        </w:r>
        <w:r>
          <w:rPr>
            <w:noProof/>
            <w:webHidden/>
          </w:rPr>
        </w:r>
        <w:r>
          <w:rPr>
            <w:noProof/>
            <w:webHidden/>
          </w:rPr>
          <w:fldChar w:fldCharType="separate"/>
        </w:r>
        <w:r>
          <w:rPr>
            <w:noProof/>
            <w:webHidden/>
          </w:rPr>
          <w:t>1</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30" w:history="1">
        <w:r w:rsidRPr="0023435C">
          <w:rPr>
            <w:rStyle w:val="Hyperlink"/>
            <w:noProof/>
          </w:rPr>
          <w:t>1  Short title</w:t>
        </w:r>
        <w:r>
          <w:rPr>
            <w:noProof/>
            <w:webHidden/>
          </w:rPr>
          <w:tab/>
        </w:r>
        <w:r>
          <w:rPr>
            <w:noProof/>
            <w:webHidden/>
          </w:rPr>
          <w:fldChar w:fldCharType="begin"/>
        </w:r>
        <w:r>
          <w:rPr>
            <w:noProof/>
            <w:webHidden/>
          </w:rPr>
          <w:instrText xml:space="preserve"> PAGEREF _Toc424899430 \h </w:instrText>
        </w:r>
        <w:r>
          <w:rPr>
            <w:noProof/>
            <w:webHidden/>
          </w:rPr>
        </w:r>
        <w:r>
          <w:rPr>
            <w:noProof/>
            <w:webHidden/>
          </w:rPr>
          <w:fldChar w:fldCharType="separate"/>
        </w:r>
        <w:r>
          <w:rPr>
            <w:noProof/>
            <w:webHidden/>
          </w:rPr>
          <w:t>1</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31" w:history="1">
        <w:r w:rsidRPr="0023435C">
          <w:rPr>
            <w:rStyle w:val="Hyperlink"/>
            <w:noProof/>
          </w:rPr>
          <w:t>2  Commencement</w:t>
        </w:r>
        <w:r>
          <w:rPr>
            <w:noProof/>
            <w:webHidden/>
          </w:rPr>
          <w:tab/>
        </w:r>
        <w:r>
          <w:rPr>
            <w:noProof/>
            <w:webHidden/>
          </w:rPr>
          <w:fldChar w:fldCharType="begin"/>
        </w:r>
        <w:r>
          <w:rPr>
            <w:noProof/>
            <w:webHidden/>
          </w:rPr>
          <w:instrText xml:space="preserve"> PAGEREF _Toc424899431 \h </w:instrText>
        </w:r>
        <w:r>
          <w:rPr>
            <w:noProof/>
            <w:webHidden/>
          </w:rPr>
        </w:r>
        <w:r>
          <w:rPr>
            <w:noProof/>
            <w:webHidden/>
          </w:rPr>
          <w:fldChar w:fldCharType="separate"/>
        </w:r>
        <w:r>
          <w:rPr>
            <w:noProof/>
            <w:webHidden/>
          </w:rPr>
          <w:t>2</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32" w:history="1">
        <w:r w:rsidRPr="0023435C">
          <w:rPr>
            <w:rStyle w:val="Hyperlink"/>
            <w:noProof/>
          </w:rPr>
          <w:t>3  Interpretation</w:t>
        </w:r>
        <w:r>
          <w:rPr>
            <w:noProof/>
            <w:webHidden/>
          </w:rPr>
          <w:tab/>
        </w:r>
        <w:r>
          <w:rPr>
            <w:noProof/>
            <w:webHidden/>
          </w:rPr>
          <w:fldChar w:fldCharType="begin"/>
        </w:r>
        <w:r>
          <w:rPr>
            <w:noProof/>
            <w:webHidden/>
          </w:rPr>
          <w:instrText xml:space="preserve"> PAGEREF _Toc424899432 \h </w:instrText>
        </w:r>
        <w:r>
          <w:rPr>
            <w:noProof/>
            <w:webHidden/>
          </w:rPr>
        </w:r>
        <w:r>
          <w:rPr>
            <w:noProof/>
            <w:webHidden/>
          </w:rPr>
          <w:fldChar w:fldCharType="separate"/>
        </w:r>
        <w:r>
          <w:rPr>
            <w:noProof/>
            <w:webHidden/>
          </w:rPr>
          <w:t>2</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33" w:history="1">
        <w:r w:rsidRPr="0023435C">
          <w:rPr>
            <w:rStyle w:val="Hyperlink"/>
            <w:noProof/>
          </w:rPr>
          <w:t>4  Increases to be paid out of Consolidated Revenue Fund</w:t>
        </w:r>
        <w:r>
          <w:rPr>
            <w:noProof/>
            <w:webHidden/>
          </w:rPr>
          <w:tab/>
        </w:r>
        <w:r>
          <w:rPr>
            <w:noProof/>
            <w:webHidden/>
          </w:rPr>
          <w:fldChar w:fldCharType="begin"/>
        </w:r>
        <w:r>
          <w:rPr>
            <w:noProof/>
            <w:webHidden/>
          </w:rPr>
          <w:instrText xml:space="preserve"> PAGEREF _Toc424899433 \h </w:instrText>
        </w:r>
        <w:r>
          <w:rPr>
            <w:noProof/>
            <w:webHidden/>
          </w:rPr>
        </w:r>
        <w:r>
          <w:rPr>
            <w:noProof/>
            <w:webHidden/>
          </w:rPr>
          <w:fldChar w:fldCharType="separate"/>
        </w:r>
        <w:r>
          <w:rPr>
            <w:noProof/>
            <w:webHidden/>
          </w:rPr>
          <w:t>3</w:t>
        </w:r>
        <w:r>
          <w:rPr>
            <w:noProof/>
            <w:webHidden/>
          </w:rPr>
          <w:fldChar w:fldCharType="end"/>
        </w:r>
      </w:hyperlink>
    </w:p>
    <w:p w:rsidR="006D1583" w:rsidRDefault="006D1583">
      <w:pPr>
        <w:pStyle w:val="TOC2"/>
        <w:rPr>
          <w:rFonts w:asciiTheme="minorHAnsi" w:eastAsiaTheme="minorEastAsia" w:hAnsiTheme="minorHAnsi" w:cstheme="minorBidi"/>
          <w:b w:val="0"/>
          <w:iCs w:val="0"/>
          <w:noProof/>
          <w:kern w:val="0"/>
          <w:sz w:val="22"/>
          <w:szCs w:val="22"/>
        </w:rPr>
      </w:pPr>
      <w:hyperlink w:anchor="_Toc424899434" w:history="1">
        <w:r w:rsidRPr="0023435C">
          <w:rPr>
            <w:rStyle w:val="Hyperlink"/>
            <w:noProof/>
          </w:rPr>
          <w:t>Part II—Increases in certain pensions payable under Defence Forces Retirement Benefits Act 1948</w:t>
        </w:r>
        <w:r w:rsidRPr="0023435C">
          <w:rPr>
            <w:rStyle w:val="Hyperlink"/>
            <w:noProof/>
          </w:rPr>
          <w:noBreakHyphen/>
          <w:t>1973</w:t>
        </w:r>
        <w:r>
          <w:rPr>
            <w:noProof/>
            <w:webHidden/>
          </w:rPr>
          <w:tab/>
        </w:r>
        <w:r>
          <w:rPr>
            <w:noProof/>
            <w:webHidden/>
          </w:rPr>
          <w:fldChar w:fldCharType="begin"/>
        </w:r>
        <w:r>
          <w:rPr>
            <w:noProof/>
            <w:webHidden/>
          </w:rPr>
          <w:instrText xml:space="preserve"> PAGEREF _Toc424899434 \h </w:instrText>
        </w:r>
        <w:r>
          <w:rPr>
            <w:noProof/>
            <w:webHidden/>
          </w:rPr>
        </w:r>
        <w:r>
          <w:rPr>
            <w:noProof/>
            <w:webHidden/>
          </w:rPr>
          <w:fldChar w:fldCharType="separate"/>
        </w:r>
        <w:r>
          <w:rPr>
            <w:noProof/>
            <w:webHidden/>
          </w:rPr>
          <w:t>4</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35" w:history="1">
        <w:r w:rsidRPr="0023435C">
          <w:rPr>
            <w:rStyle w:val="Hyperlink"/>
            <w:noProof/>
          </w:rPr>
          <w:t>5  Incorporation with the Defence Forces Retirement Benefits Act</w:t>
        </w:r>
        <w:r>
          <w:rPr>
            <w:noProof/>
            <w:webHidden/>
          </w:rPr>
          <w:tab/>
        </w:r>
        <w:r>
          <w:rPr>
            <w:noProof/>
            <w:webHidden/>
          </w:rPr>
          <w:fldChar w:fldCharType="begin"/>
        </w:r>
        <w:r>
          <w:rPr>
            <w:noProof/>
            <w:webHidden/>
          </w:rPr>
          <w:instrText xml:space="preserve"> PAGEREF _Toc424899435 \h </w:instrText>
        </w:r>
        <w:r>
          <w:rPr>
            <w:noProof/>
            <w:webHidden/>
          </w:rPr>
        </w:r>
        <w:r>
          <w:rPr>
            <w:noProof/>
            <w:webHidden/>
          </w:rPr>
          <w:fldChar w:fldCharType="separate"/>
        </w:r>
        <w:r>
          <w:rPr>
            <w:noProof/>
            <w:webHidden/>
          </w:rPr>
          <w:t>4</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36" w:history="1">
        <w:r w:rsidRPr="0023435C">
          <w:rPr>
            <w:rStyle w:val="Hyperlink"/>
            <w:noProof/>
          </w:rPr>
          <w:t>6  Interpretation</w:t>
        </w:r>
        <w:r>
          <w:rPr>
            <w:noProof/>
            <w:webHidden/>
          </w:rPr>
          <w:tab/>
        </w:r>
        <w:r>
          <w:rPr>
            <w:noProof/>
            <w:webHidden/>
          </w:rPr>
          <w:fldChar w:fldCharType="begin"/>
        </w:r>
        <w:r>
          <w:rPr>
            <w:noProof/>
            <w:webHidden/>
          </w:rPr>
          <w:instrText xml:space="preserve"> PAGEREF _Toc424899436 \h </w:instrText>
        </w:r>
        <w:r>
          <w:rPr>
            <w:noProof/>
            <w:webHidden/>
          </w:rPr>
        </w:r>
        <w:r>
          <w:rPr>
            <w:noProof/>
            <w:webHidden/>
          </w:rPr>
          <w:fldChar w:fldCharType="separate"/>
        </w:r>
        <w:r>
          <w:rPr>
            <w:noProof/>
            <w:webHidden/>
          </w:rPr>
          <w:t>4</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37" w:history="1">
        <w:r w:rsidRPr="0023435C">
          <w:rPr>
            <w:rStyle w:val="Hyperlink"/>
            <w:noProof/>
          </w:rPr>
          <w:t>7  Increase in certain pensions</w:t>
        </w:r>
        <w:r>
          <w:rPr>
            <w:noProof/>
            <w:webHidden/>
          </w:rPr>
          <w:tab/>
        </w:r>
        <w:r>
          <w:rPr>
            <w:noProof/>
            <w:webHidden/>
          </w:rPr>
          <w:fldChar w:fldCharType="begin"/>
        </w:r>
        <w:r>
          <w:rPr>
            <w:noProof/>
            <w:webHidden/>
          </w:rPr>
          <w:instrText xml:space="preserve"> PAGEREF _Toc424899437 \h </w:instrText>
        </w:r>
        <w:r>
          <w:rPr>
            <w:noProof/>
            <w:webHidden/>
          </w:rPr>
        </w:r>
        <w:r>
          <w:rPr>
            <w:noProof/>
            <w:webHidden/>
          </w:rPr>
          <w:fldChar w:fldCharType="separate"/>
        </w:r>
        <w:r>
          <w:rPr>
            <w:noProof/>
            <w:webHidden/>
          </w:rPr>
          <w:t>4</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38" w:history="1">
        <w:r w:rsidRPr="0023435C">
          <w:rPr>
            <w:rStyle w:val="Hyperlink"/>
            <w:noProof/>
          </w:rPr>
          <w:t>8  Amount of increase in certain pensions</w:t>
        </w:r>
        <w:r>
          <w:rPr>
            <w:noProof/>
            <w:webHidden/>
          </w:rPr>
          <w:tab/>
        </w:r>
        <w:r>
          <w:rPr>
            <w:noProof/>
            <w:webHidden/>
          </w:rPr>
          <w:fldChar w:fldCharType="begin"/>
        </w:r>
        <w:r>
          <w:rPr>
            <w:noProof/>
            <w:webHidden/>
          </w:rPr>
          <w:instrText xml:space="preserve"> PAGEREF _Toc424899438 \h </w:instrText>
        </w:r>
        <w:r>
          <w:rPr>
            <w:noProof/>
            <w:webHidden/>
          </w:rPr>
        </w:r>
        <w:r>
          <w:rPr>
            <w:noProof/>
            <w:webHidden/>
          </w:rPr>
          <w:fldChar w:fldCharType="separate"/>
        </w:r>
        <w:r>
          <w:rPr>
            <w:noProof/>
            <w:webHidden/>
          </w:rPr>
          <w:t>5</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39" w:history="1">
        <w:r w:rsidRPr="0023435C">
          <w:rPr>
            <w:rStyle w:val="Hyperlink"/>
            <w:noProof/>
          </w:rPr>
          <w:t>9  Amount of increase in certain pensions to which section 8 does not apply</w:t>
        </w:r>
        <w:r>
          <w:rPr>
            <w:noProof/>
            <w:webHidden/>
          </w:rPr>
          <w:tab/>
        </w:r>
        <w:r>
          <w:rPr>
            <w:noProof/>
            <w:webHidden/>
          </w:rPr>
          <w:fldChar w:fldCharType="begin"/>
        </w:r>
        <w:r>
          <w:rPr>
            <w:noProof/>
            <w:webHidden/>
          </w:rPr>
          <w:instrText xml:space="preserve"> PAGEREF _Toc424899439 \h </w:instrText>
        </w:r>
        <w:r>
          <w:rPr>
            <w:noProof/>
            <w:webHidden/>
          </w:rPr>
        </w:r>
        <w:r>
          <w:rPr>
            <w:noProof/>
            <w:webHidden/>
          </w:rPr>
          <w:fldChar w:fldCharType="separate"/>
        </w:r>
        <w:r>
          <w:rPr>
            <w:noProof/>
            <w:webHidden/>
          </w:rPr>
          <w:t>6</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40" w:history="1">
        <w:r w:rsidRPr="0023435C">
          <w:rPr>
            <w:rStyle w:val="Hyperlink"/>
            <w:noProof/>
          </w:rPr>
          <w:t>10  Modifications of certain sections of Defence Forces Retirement Benefits Act</w:t>
        </w:r>
        <w:r>
          <w:rPr>
            <w:noProof/>
            <w:webHidden/>
          </w:rPr>
          <w:tab/>
        </w:r>
        <w:r>
          <w:rPr>
            <w:noProof/>
            <w:webHidden/>
          </w:rPr>
          <w:fldChar w:fldCharType="begin"/>
        </w:r>
        <w:r>
          <w:rPr>
            <w:noProof/>
            <w:webHidden/>
          </w:rPr>
          <w:instrText xml:space="preserve"> PAGEREF _Toc424899440 \h </w:instrText>
        </w:r>
        <w:r>
          <w:rPr>
            <w:noProof/>
            <w:webHidden/>
          </w:rPr>
        </w:r>
        <w:r>
          <w:rPr>
            <w:noProof/>
            <w:webHidden/>
          </w:rPr>
          <w:fldChar w:fldCharType="separate"/>
        </w:r>
        <w:r>
          <w:rPr>
            <w:noProof/>
            <w:webHidden/>
          </w:rPr>
          <w:t>7</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41" w:history="1">
        <w:r w:rsidRPr="0023435C">
          <w:rPr>
            <w:rStyle w:val="Hyperlink"/>
            <w:noProof/>
          </w:rPr>
          <w:t>11  Rate of invalidity pension payable on re</w:t>
        </w:r>
        <w:r w:rsidRPr="0023435C">
          <w:rPr>
            <w:rStyle w:val="Hyperlink"/>
            <w:noProof/>
          </w:rPr>
          <w:noBreakHyphen/>
          <w:t>classification</w:t>
        </w:r>
        <w:r>
          <w:rPr>
            <w:noProof/>
            <w:webHidden/>
          </w:rPr>
          <w:tab/>
        </w:r>
        <w:r>
          <w:rPr>
            <w:noProof/>
            <w:webHidden/>
          </w:rPr>
          <w:fldChar w:fldCharType="begin"/>
        </w:r>
        <w:r>
          <w:rPr>
            <w:noProof/>
            <w:webHidden/>
          </w:rPr>
          <w:instrText xml:space="preserve"> PAGEREF _Toc424899441 \h </w:instrText>
        </w:r>
        <w:r>
          <w:rPr>
            <w:noProof/>
            <w:webHidden/>
          </w:rPr>
        </w:r>
        <w:r>
          <w:rPr>
            <w:noProof/>
            <w:webHidden/>
          </w:rPr>
          <w:fldChar w:fldCharType="separate"/>
        </w:r>
        <w:r>
          <w:rPr>
            <w:noProof/>
            <w:webHidden/>
          </w:rPr>
          <w:t>8</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42" w:history="1">
        <w:r w:rsidRPr="0023435C">
          <w:rPr>
            <w:rStyle w:val="Hyperlink"/>
            <w:noProof/>
          </w:rPr>
          <w:t>12  Commutation of pensions on and after 1 July 1974</w:t>
        </w:r>
        <w:r>
          <w:rPr>
            <w:noProof/>
            <w:webHidden/>
          </w:rPr>
          <w:tab/>
        </w:r>
        <w:r>
          <w:rPr>
            <w:noProof/>
            <w:webHidden/>
          </w:rPr>
          <w:fldChar w:fldCharType="begin"/>
        </w:r>
        <w:r>
          <w:rPr>
            <w:noProof/>
            <w:webHidden/>
          </w:rPr>
          <w:instrText xml:space="preserve"> PAGEREF _Toc424899442 \h </w:instrText>
        </w:r>
        <w:r>
          <w:rPr>
            <w:noProof/>
            <w:webHidden/>
          </w:rPr>
        </w:r>
        <w:r>
          <w:rPr>
            <w:noProof/>
            <w:webHidden/>
          </w:rPr>
          <w:fldChar w:fldCharType="separate"/>
        </w:r>
        <w:r>
          <w:rPr>
            <w:noProof/>
            <w:webHidden/>
          </w:rPr>
          <w:t>8</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43" w:history="1">
        <w:r w:rsidRPr="0023435C">
          <w:rPr>
            <w:rStyle w:val="Hyperlink"/>
            <w:noProof/>
          </w:rPr>
          <w:t>13  Date of effect of increases</w:t>
        </w:r>
        <w:r>
          <w:rPr>
            <w:noProof/>
            <w:webHidden/>
          </w:rPr>
          <w:tab/>
        </w:r>
        <w:r>
          <w:rPr>
            <w:noProof/>
            <w:webHidden/>
          </w:rPr>
          <w:fldChar w:fldCharType="begin"/>
        </w:r>
        <w:r>
          <w:rPr>
            <w:noProof/>
            <w:webHidden/>
          </w:rPr>
          <w:instrText xml:space="preserve"> PAGEREF _Toc424899443 \h </w:instrText>
        </w:r>
        <w:r>
          <w:rPr>
            <w:noProof/>
            <w:webHidden/>
          </w:rPr>
        </w:r>
        <w:r>
          <w:rPr>
            <w:noProof/>
            <w:webHidden/>
          </w:rPr>
          <w:fldChar w:fldCharType="separate"/>
        </w:r>
        <w:r>
          <w:rPr>
            <w:noProof/>
            <w:webHidden/>
          </w:rPr>
          <w:t>9</w:t>
        </w:r>
        <w:r>
          <w:rPr>
            <w:noProof/>
            <w:webHidden/>
          </w:rPr>
          <w:fldChar w:fldCharType="end"/>
        </w:r>
      </w:hyperlink>
    </w:p>
    <w:p w:rsidR="006D1583" w:rsidRDefault="006D1583">
      <w:pPr>
        <w:pStyle w:val="TOC2"/>
        <w:rPr>
          <w:rFonts w:asciiTheme="minorHAnsi" w:eastAsiaTheme="minorEastAsia" w:hAnsiTheme="minorHAnsi" w:cstheme="minorBidi"/>
          <w:b w:val="0"/>
          <w:iCs w:val="0"/>
          <w:noProof/>
          <w:kern w:val="0"/>
          <w:sz w:val="22"/>
          <w:szCs w:val="22"/>
        </w:rPr>
      </w:pPr>
      <w:hyperlink w:anchor="_Toc424899444" w:history="1">
        <w:r w:rsidRPr="0023435C">
          <w:rPr>
            <w:rStyle w:val="Hyperlink"/>
            <w:noProof/>
          </w:rPr>
          <w:t>Part III—Increases in certain pension benefits payable under Defence Force Retirement and Death Benefits Act 1973</w:t>
        </w:r>
        <w:r w:rsidRPr="0023435C">
          <w:rPr>
            <w:rStyle w:val="Hyperlink"/>
            <w:noProof/>
          </w:rPr>
          <w:noBreakHyphen/>
          <w:t>1974</w:t>
        </w:r>
        <w:r>
          <w:rPr>
            <w:noProof/>
            <w:webHidden/>
          </w:rPr>
          <w:tab/>
        </w:r>
        <w:r>
          <w:rPr>
            <w:noProof/>
            <w:webHidden/>
          </w:rPr>
          <w:fldChar w:fldCharType="begin"/>
        </w:r>
        <w:r>
          <w:rPr>
            <w:noProof/>
            <w:webHidden/>
          </w:rPr>
          <w:instrText xml:space="preserve"> PAGEREF _Toc424899444 \h </w:instrText>
        </w:r>
        <w:r>
          <w:rPr>
            <w:noProof/>
            <w:webHidden/>
          </w:rPr>
        </w:r>
        <w:r>
          <w:rPr>
            <w:noProof/>
            <w:webHidden/>
          </w:rPr>
          <w:fldChar w:fldCharType="separate"/>
        </w:r>
        <w:r>
          <w:rPr>
            <w:noProof/>
            <w:webHidden/>
          </w:rPr>
          <w:t>10</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45" w:history="1">
        <w:r w:rsidRPr="0023435C">
          <w:rPr>
            <w:rStyle w:val="Hyperlink"/>
            <w:noProof/>
          </w:rPr>
          <w:t>14  Incorporation with the Defence Force Retirement and Death Benefits Act</w:t>
        </w:r>
        <w:r>
          <w:rPr>
            <w:noProof/>
            <w:webHidden/>
          </w:rPr>
          <w:tab/>
        </w:r>
        <w:r>
          <w:rPr>
            <w:noProof/>
            <w:webHidden/>
          </w:rPr>
          <w:fldChar w:fldCharType="begin"/>
        </w:r>
        <w:r>
          <w:rPr>
            <w:noProof/>
            <w:webHidden/>
          </w:rPr>
          <w:instrText xml:space="preserve"> PAGEREF _Toc424899445 \h </w:instrText>
        </w:r>
        <w:r>
          <w:rPr>
            <w:noProof/>
            <w:webHidden/>
          </w:rPr>
        </w:r>
        <w:r>
          <w:rPr>
            <w:noProof/>
            <w:webHidden/>
          </w:rPr>
          <w:fldChar w:fldCharType="separate"/>
        </w:r>
        <w:r>
          <w:rPr>
            <w:noProof/>
            <w:webHidden/>
          </w:rPr>
          <w:t>10</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46" w:history="1">
        <w:r w:rsidRPr="0023435C">
          <w:rPr>
            <w:rStyle w:val="Hyperlink"/>
            <w:noProof/>
          </w:rPr>
          <w:t>15  Definition</w:t>
        </w:r>
        <w:r>
          <w:rPr>
            <w:noProof/>
            <w:webHidden/>
          </w:rPr>
          <w:tab/>
        </w:r>
        <w:r>
          <w:rPr>
            <w:noProof/>
            <w:webHidden/>
          </w:rPr>
          <w:fldChar w:fldCharType="begin"/>
        </w:r>
        <w:r>
          <w:rPr>
            <w:noProof/>
            <w:webHidden/>
          </w:rPr>
          <w:instrText xml:space="preserve"> PAGEREF _Toc424899446 \h </w:instrText>
        </w:r>
        <w:r>
          <w:rPr>
            <w:noProof/>
            <w:webHidden/>
          </w:rPr>
        </w:r>
        <w:r>
          <w:rPr>
            <w:noProof/>
            <w:webHidden/>
          </w:rPr>
          <w:fldChar w:fldCharType="separate"/>
        </w:r>
        <w:r>
          <w:rPr>
            <w:noProof/>
            <w:webHidden/>
          </w:rPr>
          <w:t>10</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47" w:history="1">
        <w:r w:rsidRPr="0023435C">
          <w:rPr>
            <w:rStyle w:val="Hyperlink"/>
            <w:noProof/>
          </w:rPr>
          <w:t>16  Increase in certain pension benefits</w:t>
        </w:r>
        <w:r>
          <w:rPr>
            <w:noProof/>
            <w:webHidden/>
          </w:rPr>
          <w:tab/>
        </w:r>
        <w:r>
          <w:rPr>
            <w:noProof/>
            <w:webHidden/>
          </w:rPr>
          <w:fldChar w:fldCharType="begin"/>
        </w:r>
        <w:r>
          <w:rPr>
            <w:noProof/>
            <w:webHidden/>
          </w:rPr>
          <w:instrText xml:space="preserve"> PAGEREF _Toc424899447 \h </w:instrText>
        </w:r>
        <w:r>
          <w:rPr>
            <w:noProof/>
            <w:webHidden/>
          </w:rPr>
        </w:r>
        <w:r>
          <w:rPr>
            <w:noProof/>
            <w:webHidden/>
          </w:rPr>
          <w:fldChar w:fldCharType="separate"/>
        </w:r>
        <w:r>
          <w:rPr>
            <w:noProof/>
            <w:webHidden/>
          </w:rPr>
          <w:t>10</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48" w:history="1">
        <w:r w:rsidRPr="0023435C">
          <w:rPr>
            <w:rStyle w:val="Hyperlink"/>
            <w:noProof/>
          </w:rPr>
          <w:t>17  Amount of increase in certain pension benefits</w:t>
        </w:r>
        <w:r>
          <w:rPr>
            <w:noProof/>
            <w:webHidden/>
          </w:rPr>
          <w:tab/>
        </w:r>
        <w:r>
          <w:rPr>
            <w:noProof/>
            <w:webHidden/>
          </w:rPr>
          <w:fldChar w:fldCharType="begin"/>
        </w:r>
        <w:r>
          <w:rPr>
            <w:noProof/>
            <w:webHidden/>
          </w:rPr>
          <w:instrText xml:space="preserve"> PAGEREF _Toc424899448 \h </w:instrText>
        </w:r>
        <w:r>
          <w:rPr>
            <w:noProof/>
            <w:webHidden/>
          </w:rPr>
        </w:r>
        <w:r>
          <w:rPr>
            <w:noProof/>
            <w:webHidden/>
          </w:rPr>
          <w:fldChar w:fldCharType="separate"/>
        </w:r>
        <w:r>
          <w:rPr>
            <w:noProof/>
            <w:webHidden/>
          </w:rPr>
          <w:t>11</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49" w:history="1">
        <w:r w:rsidRPr="0023435C">
          <w:rPr>
            <w:rStyle w:val="Hyperlink"/>
            <w:noProof/>
          </w:rPr>
          <w:t>18  Amount of increase in certain pension benefits to which section 17 does not apply</w:t>
        </w:r>
        <w:r>
          <w:rPr>
            <w:noProof/>
            <w:webHidden/>
          </w:rPr>
          <w:tab/>
        </w:r>
        <w:r>
          <w:rPr>
            <w:noProof/>
            <w:webHidden/>
          </w:rPr>
          <w:fldChar w:fldCharType="begin"/>
        </w:r>
        <w:r>
          <w:rPr>
            <w:noProof/>
            <w:webHidden/>
          </w:rPr>
          <w:instrText xml:space="preserve"> PAGEREF _Toc424899449 \h </w:instrText>
        </w:r>
        <w:r>
          <w:rPr>
            <w:noProof/>
            <w:webHidden/>
          </w:rPr>
        </w:r>
        <w:r>
          <w:rPr>
            <w:noProof/>
            <w:webHidden/>
          </w:rPr>
          <w:fldChar w:fldCharType="separate"/>
        </w:r>
        <w:r>
          <w:rPr>
            <w:noProof/>
            <w:webHidden/>
          </w:rPr>
          <w:t>11</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50" w:history="1">
        <w:r w:rsidRPr="0023435C">
          <w:rPr>
            <w:rStyle w:val="Hyperlink"/>
            <w:noProof/>
          </w:rPr>
          <w:t>19  Application of increase to suspended pension benefits</w:t>
        </w:r>
        <w:r>
          <w:rPr>
            <w:noProof/>
            <w:webHidden/>
          </w:rPr>
          <w:tab/>
        </w:r>
        <w:r>
          <w:rPr>
            <w:noProof/>
            <w:webHidden/>
          </w:rPr>
          <w:fldChar w:fldCharType="begin"/>
        </w:r>
        <w:r>
          <w:rPr>
            <w:noProof/>
            <w:webHidden/>
          </w:rPr>
          <w:instrText xml:space="preserve"> PAGEREF _Toc424899450 \h </w:instrText>
        </w:r>
        <w:r>
          <w:rPr>
            <w:noProof/>
            <w:webHidden/>
          </w:rPr>
        </w:r>
        <w:r>
          <w:rPr>
            <w:noProof/>
            <w:webHidden/>
          </w:rPr>
          <w:fldChar w:fldCharType="separate"/>
        </w:r>
        <w:r>
          <w:rPr>
            <w:noProof/>
            <w:webHidden/>
          </w:rPr>
          <w:t>13</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51" w:history="1">
        <w:r w:rsidRPr="0023435C">
          <w:rPr>
            <w:rStyle w:val="Hyperlink"/>
            <w:noProof/>
          </w:rPr>
          <w:t>20  Rate of invalidity pension benefit payable on re</w:t>
        </w:r>
        <w:r w:rsidRPr="0023435C">
          <w:rPr>
            <w:rStyle w:val="Hyperlink"/>
            <w:noProof/>
          </w:rPr>
          <w:noBreakHyphen/>
          <w:t>classification</w:t>
        </w:r>
        <w:r>
          <w:rPr>
            <w:noProof/>
            <w:webHidden/>
          </w:rPr>
          <w:tab/>
        </w:r>
        <w:r>
          <w:rPr>
            <w:noProof/>
            <w:webHidden/>
          </w:rPr>
          <w:fldChar w:fldCharType="begin"/>
        </w:r>
        <w:r>
          <w:rPr>
            <w:noProof/>
            <w:webHidden/>
          </w:rPr>
          <w:instrText xml:space="preserve"> PAGEREF _Toc424899451 \h </w:instrText>
        </w:r>
        <w:r>
          <w:rPr>
            <w:noProof/>
            <w:webHidden/>
          </w:rPr>
        </w:r>
        <w:r>
          <w:rPr>
            <w:noProof/>
            <w:webHidden/>
          </w:rPr>
          <w:fldChar w:fldCharType="separate"/>
        </w:r>
        <w:r>
          <w:rPr>
            <w:noProof/>
            <w:webHidden/>
          </w:rPr>
          <w:t>14</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52" w:history="1">
        <w:r w:rsidRPr="0023435C">
          <w:rPr>
            <w:rStyle w:val="Hyperlink"/>
            <w:noProof/>
          </w:rPr>
          <w:t>21  Commutation of pension benefits on and after 1 July 1974</w:t>
        </w:r>
        <w:r>
          <w:rPr>
            <w:noProof/>
            <w:webHidden/>
          </w:rPr>
          <w:tab/>
        </w:r>
        <w:r>
          <w:rPr>
            <w:noProof/>
            <w:webHidden/>
          </w:rPr>
          <w:fldChar w:fldCharType="begin"/>
        </w:r>
        <w:r>
          <w:rPr>
            <w:noProof/>
            <w:webHidden/>
          </w:rPr>
          <w:instrText xml:space="preserve"> PAGEREF _Toc424899452 \h </w:instrText>
        </w:r>
        <w:r>
          <w:rPr>
            <w:noProof/>
            <w:webHidden/>
          </w:rPr>
        </w:r>
        <w:r>
          <w:rPr>
            <w:noProof/>
            <w:webHidden/>
          </w:rPr>
          <w:fldChar w:fldCharType="separate"/>
        </w:r>
        <w:r>
          <w:rPr>
            <w:noProof/>
            <w:webHidden/>
          </w:rPr>
          <w:t>14</w:t>
        </w:r>
        <w:r>
          <w:rPr>
            <w:noProof/>
            <w:webHidden/>
          </w:rPr>
          <w:fldChar w:fldCharType="end"/>
        </w:r>
      </w:hyperlink>
    </w:p>
    <w:p w:rsidR="006D1583" w:rsidRDefault="006D1583">
      <w:pPr>
        <w:pStyle w:val="TOC5"/>
        <w:rPr>
          <w:rFonts w:asciiTheme="minorHAnsi" w:eastAsiaTheme="minorEastAsia" w:hAnsiTheme="minorHAnsi" w:cstheme="minorBidi"/>
          <w:iCs w:val="0"/>
          <w:noProof/>
          <w:kern w:val="0"/>
          <w:sz w:val="22"/>
          <w:szCs w:val="22"/>
        </w:rPr>
      </w:pPr>
      <w:hyperlink w:anchor="_Toc424899453" w:history="1">
        <w:r w:rsidRPr="0023435C">
          <w:rPr>
            <w:rStyle w:val="Hyperlink"/>
            <w:noProof/>
          </w:rPr>
          <w:t>22  Date of effect of increases</w:t>
        </w:r>
        <w:r>
          <w:rPr>
            <w:noProof/>
            <w:webHidden/>
          </w:rPr>
          <w:tab/>
        </w:r>
        <w:r>
          <w:rPr>
            <w:noProof/>
            <w:webHidden/>
          </w:rPr>
          <w:fldChar w:fldCharType="begin"/>
        </w:r>
        <w:r>
          <w:rPr>
            <w:noProof/>
            <w:webHidden/>
          </w:rPr>
          <w:instrText xml:space="preserve"> PAGEREF _Toc424899453 \h </w:instrText>
        </w:r>
        <w:r>
          <w:rPr>
            <w:noProof/>
            <w:webHidden/>
          </w:rPr>
        </w:r>
        <w:r>
          <w:rPr>
            <w:noProof/>
            <w:webHidden/>
          </w:rPr>
          <w:fldChar w:fldCharType="separate"/>
        </w:r>
        <w:r>
          <w:rPr>
            <w:noProof/>
            <w:webHidden/>
          </w:rPr>
          <w:t>14</w:t>
        </w:r>
        <w:r>
          <w:rPr>
            <w:noProof/>
            <w:webHidden/>
          </w:rPr>
          <w:fldChar w:fldCharType="end"/>
        </w:r>
      </w:hyperlink>
    </w:p>
    <w:p w:rsidR="00A87342" w:rsidRDefault="006D1583" w:rsidP="0041140B">
      <w:pPr>
        <w:sectPr w:rsidR="00A87342" w:rsidSect="002C48E1">
          <w:headerReference w:type="even" r:id="rId13"/>
          <w:headerReference w:type="default" r:id="rId14"/>
          <w:footerReference w:type="default" r:id="rId15"/>
          <w:headerReference w:type="first" r:id="rId16"/>
          <w:footerReference w:type="first" r:id="rId17"/>
          <w:pgSz w:w="11906" w:h="16838" w:code="9"/>
          <w:pgMar w:top="2268" w:right="2410" w:bottom="3827" w:left="2410" w:header="567" w:footer="3119" w:gutter="0"/>
          <w:pgNumType w:fmt="lowerRoman" w:start="1"/>
          <w:cols w:space="720"/>
        </w:sectPr>
      </w:pPr>
      <w:r>
        <w:rPr>
          <w:kern w:val="28"/>
          <w:sz w:val="24"/>
          <w:szCs w:val="28"/>
        </w:rPr>
        <w:fldChar w:fldCharType="end"/>
      </w:r>
      <w:bookmarkStart w:id="1" w:name="_GoBack"/>
      <w:bookmarkEnd w:id="1"/>
    </w:p>
    <w:p w:rsidR="00334C1D" w:rsidRPr="00FA3B0C" w:rsidRDefault="00334C1D" w:rsidP="00334C1D">
      <w:pPr>
        <w:rPr>
          <w:webHidden/>
        </w:rPr>
      </w:pPr>
      <w:r w:rsidRPr="00FA3B0C">
        <w:rPr>
          <w:webHidden/>
          <w:sz w:val="24"/>
        </w:rPr>
        <w:object w:dxaOrig="2146" w:dyaOrig="1561">
          <v:shape id="_x0000_i1026" type="#_x0000_t75" style="width:107.45pt;height:77.35pt" o:ole="" fillcolor="window">
            <v:imagedata r:id="rId18" o:title=""/>
          </v:shape>
          <o:OLEObject Type="Embed" ProgID="Msxml2.SAXXMLReader.5.0" ShapeID="_x0000_i1026" DrawAspect="Content" ObjectID="_1498641415" r:id="rId19"/>
        </w:object>
      </w:r>
    </w:p>
    <w:p w:rsidR="00334C1D" w:rsidRPr="00FA3B0C" w:rsidRDefault="00334C1D" w:rsidP="00334C1D">
      <w:pPr>
        <w:rPr>
          <w:webHidden/>
        </w:rPr>
      </w:pPr>
    </w:p>
    <w:p w:rsidR="00334C1D" w:rsidRPr="00FA3B0C" w:rsidRDefault="00334C1D" w:rsidP="00334C1D">
      <w:pPr>
        <w:spacing w:line="240" w:lineRule="auto"/>
        <w:rPr>
          <w:webHidden/>
        </w:rPr>
      </w:pPr>
    </w:p>
    <w:p w:rsidR="00A62D64" w:rsidRDefault="00A62D64" w:rsidP="00A62D64">
      <w:pPr>
        <w:pStyle w:val="ShortT"/>
        <w:spacing w:before="800"/>
      </w:pPr>
      <w:r>
        <w:t>Defence Force Retirement and Death Benefits (Pension Increases) Act 1974</w:t>
      </w:r>
    </w:p>
    <w:p w:rsidR="008A31ED" w:rsidRPr="00DF2DFC" w:rsidRDefault="008A31ED" w:rsidP="008A31ED">
      <w:pPr>
        <w:spacing w:before="800"/>
        <w:rPr>
          <w:b/>
          <w:sz w:val="28"/>
        </w:rPr>
      </w:pPr>
      <w:r w:rsidRPr="00DF2DFC">
        <w:rPr>
          <w:b/>
          <w:sz w:val="28"/>
        </w:rPr>
        <w:t>No. 21, 1977</w:t>
      </w:r>
    </w:p>
    <w:p w:rsidR="008A31ED" w:rsidRDefault="008A31ED" w:rsidP="008A31ED">
      <w:pPr>
        <w:pStyle w:val="p1LinesBef"/>
      </w:pPr>
    </w:p>
    <w:p w:rsidR="008A31ED" w:rsidRDefault="008A31ED" w:rsidP="008A31ED">
      <w:pPr>
        <w:spacing w:line="40" w:lineRule="exact"/>
        <w:rPr>
          <w:b/>
          <w:sz w:val="28"/>
          <w:szCs w:val="28"/>
        </w:rPr>
      </w:pPr>
    </w:p>
    <w:p w:rsidR="008A31ED" w:rsidRDefault="008A31ED" w:rsidP="008A31ED">
      <w:pPr>
        <w:pStyle w:val="p1LinesAfter"/>
      </w:pPr>
    </w:p>
    <w:p w:rsidR="008A31ED" w:rsidRDefault="008A31ED" w:rsidP="008A31ED">
      <w:pPr>
        <w:pStyle w:val="LongT"/>
        <w:spacing w:before="400"/>
      </w:pPr>
      <w:r>
        <w:t xml:space="preserve">An Act to provide for Increases in certain Defence Force Retirement and Death Benefit Pensions </w:t>
      </w:r>
    </w:p>
    <w:p w:rsidR="008A31ED" w:rsidRDefault="008A31ED" w:rsidP="008A31ED">
      <w:pPr>
        <w:pStyle w:val="AssentDt"/>
        <w:spacing w:before="240"/>
        <w:rPr>
          <w:sz w:val="24"/>
          <w:szCs w:val="24"/>
        </w:rPr>
      </w:pPr>
      <w:r>
        <w:rPr>
          <w:sz w:val="24"/>
          <w:szCs w:val="24"/>
        </w:rPr>
        <w:t>[</w:t>
      </w:r>
      <w:r>
        <w:rPr>
          <w:i/>
          <w:sz w:val="24"/>
          <w:szCs w:val="24"/>
        </w:rPr>
        <w:t>Assented to 28 Nov 1974</w:t>
      </w:r>
      <w:r>
        <w:rPr>
          <w:sz w:val="24"/>
          <w:szCs w:val="24"/>
        </w:rPr>
        <w:t>]</w:t>
      </w:r>
    </w:p>
    <w:p w:rsidR="008A31ED" w:rsidRPr="00D41BBF" w:rsidRDefault="008A31ED" w:rsidP="008A31ED">
      <w:pPr>
        <w:spacing w:before="240" w:line="240" w:lineRule="auto"/>
        <w:rPr>
          <w:sz w:val="32"/>
          <w:szCs w:val="32"/>
        </w:rPr>
      </w:pPr>
      <w:r w:rsidRPr="00D41BBF">
        <w:rPr>
          <w:sz w:val="32"/>
          <w:szCs w:val="32"/>
        </w:rPr>
        <w:t>The Parliament of Australia enacts:</w:t>
      </w:r>
    </w:p>
    <w:p w:rsidR="008A31ED" w:rsidRDefault="008A31ED" w:rsidP="008A31ED">
      <w:pPr>
        <w:pStyle w:val="Heading2"/>
      </w:pPr>
      <w:bookmarkStart w:id="2" w:name="_Toc424899429"/>
      <w:r>
        <w:rPr>
          <w:rStyle w:val="CharPartNo"/>
        </w:rPr>
        <w:t>Part I</w:t>
      </w:r>
      <w:r>
        <w:t>—</w:t>
      </w:r>
      <w:r>
        <w:rPr>
          <w:rStyle w:val="CharPartText"/>
        </w:rPr>
        <w:t>Preliminary</w:t>
      </w:r>
      <w:bookmarkEnd w:id="2"/>
    </w:p>
    <w:p w:rsidR="008A31ED" w:rsidRDefault="008A31ED" w:rsidP="008A31ED">
      <w:pPr>
        <w:pStyle w:val="Heading5"/>
      </w:pPr>
      <w:bookmarkStart w:id="3" w:name="_Toc424899430"/>
      <w:r>
        <w:rPr>
          <w:rStyle w:val="CharSectno"/>
        </w:rPr>
        <w:t>1</w:t>
      </w:r>
      <w:r>
        <w:t xml:space="preserve">  Short title</w:t>
      </w:r>
      <w:bookmarkEnd w:id="3"/>
    </w:p>
    <w:p w:rsidR="008A31ED" w:rsidRDefault="008A31ED" w:rsidP="008A31ED">
      <w:pPr>
        <w:pStyle w:val="subsection"/>
      </w:pPr>
      <w:r>
        <w:tab/>
      </w:r>
      <w:r>
        <w:tab/>
        <w:t xml:space="preserve">This Act may be cited as the </w:t>
      </w:r>
      <w:r>
        <w:rPr>
          <w:i/>
        </w:rPr>
        <w:t>Defence Force Retirement and Death Benefits (Pension Increases) Act 1974</w:t>
      </w:r>
      <w:r>
        <w:t xml:space="preserve">. </w:t>
      </w:r>
    </w:p>
    <w:p w:rsidR="008A31ED" w:rsidRDefault="008A31ED" w:rsidP="008A31ED">
      <w:pPr>
        <w:pStyle w:val="Heading5"/>
      </w:pPr>
      <w:bookmarkStart w:id="4" w:name="_Toc424899431"/>
      <w:r>
        <w:rPr>
          <w:rStyle w:val="CharSectno"/>
        </w:rPr>
        <w:lastRenderedPageBreak/>
        <w:t>2</w:t>
      </w:r>
      <w:r>
        <w:t xml:space="preserve">  Commencement</w:t>
      </w:r>
      <w:bookmarkEnd w:id="4"/>
    </w:p>
    <w:p w:rsidR="008A31ED" w:rsidRDefault="008A31ED" w:rsidP="008A31ED">
      <w:pPr>
        <w:pStyle w:val="subsection"/>
      </w:pPr>
      <w:r>
        <w:tab/>
      </w:r>
      <w:r>
        <w:tab/>
        <w:t xml:space="preserve">This Act shall be deemed to have come into operation on 1 July 1974. </w:t>
      </w:r>
    </w:p>
    <w:p w:rsidR="008A31ED" w:rsidRDefault="008A31ED" w:rsidP="008A31ED">
      <w:pPr>
        <w:pStyle w:val="Heading5"/>
      </w:pPr>
      <w:bookmarkStart w:id="5" w:name="_Toc424899432"/>
      <w:r>
        <w:rPr>
          <w:rStyle w:val="CharSectno"/>
        </w:rPr>
        <w:t>3</w:t>
      </w:r>
      <w:r>
        <w:t xml:space="preserve">  Interpretation</w:t>
      </w:r>
      <w:bookmarkEnd w:id="5"/>
    </w:p>
    <w:p w:rsidR="008A31ED" w:rsidRDefault="008A31ED" w:rsidP="008A31ED">
      <w:pPr>
        <w:pStyle w:val="subsection"/>
      </w:pPr>
      <w:r>
        <w:tab/>
        <w:t>(1)</w:t>
      </w:r>
      <w:r>
        <w:tab/>
        <w:t>For the purposes of this Act, the prescribed percentage is whichever is the lower of:</w:t>
      </w:r>
    </w:p>
    <w:p w:rsidR="008A31ED" w:rsidRDefault="008A31ED" w:rsidP="008A31ED">
      <w:pPr>
        <w:pStyle w:val="paragraph"/>
      </w:pPr>
      <w:r>
        <w:tab/>
        <w:t>(a)</w:t>
      </w:r>
      <w:r>
        <w:tab/>
        <w:t>1.4 times the percentage that represents A—B expressed as a percentage of B; or</w:t>
      </w:r>
    </w:p>
    <w:p w:rsidR="008A31ED" w:rsidRDefault="008A31ED" w:rsidP="008A31ED">
      <w:pPr>
        <w:pStyle w:val="paragraph"/>
      </w:pPr>
      <w:r>
        <w:tab/>
        <w:t>(b)</w:t>
      </w:r>
      <w:r>
        <w:tab/>
        <w:t>the percentage that represents C—D expressed as a percentage of D;</w:t>
      </w:r>
    </w:p>
    <w:p w:rsidR="008A31ED" w:rsidRDefault="008A31ED" w:rsidP="008A31ED">
      <w:pPr>
        <w:pStyle w:val="subsection2"/>
      </w:pPr>
      <w:r>
        <w:t>where:</w:t>
      </w:r>
    </w:p>
    <w:p w:rsidR="008A31ED" w:rsidRDefault="008A31ED" w:rsidP="008A31ED">
      <w:pPr>
        <w:pStyle w:val="subsection2"/>
      </w:pPr>
      <w:r>
        <w:rPr>
          <w:b/>
        </w:rPr>
        <w:t>A</w:t>
      </w:r>
      <w:r>
        <w:t xml:space="preserve"> is the all groups consumer price index number for the weighted average of the 6 State capital cities published by the Statistician in respect of the March quarter of the year 1974;</w:t>
      </w:r>
    </w:p>
    <w:p w:rsidR="008A31ED" w:rsidRDefault="008A31ED" w:rsidP="008A31ED">
      <w:pPr>
        <w:pStyle w:val="subsection2"/>
      </w:pPr>
      <w:r>
        <w:rPr>
          <w:b/>
        </w:rPr>
        <w:t>B</w:t>
      </w:r>
      <w:r>
        <w:t xml:space="preserve"> is the all groups consumer price index number for the weighted average of the 6 State capital cities published by the Statistician in respect of the March quarter of the year 1973;</w:t>
      </w:r>
    </w:p>
    <w:p w:rsidR="008A31ED" w:rsidRDefault="008A31ED" w:rsidP="008A31ED">
      <w:pPr>
        <w:pStyle w:val="subsection2"/>
      </w:pPr>
      <w:r>
        <w:rPr>
          <w:b/>
        </w:rPr>
        <w:t>C</w:t>
      </w:r>
      <w:r>
        <w:t xml:space="preserve"> is the estimate of the seasonally adjusted average weekly earnings per employed male unit throughout Australia published by the Statistician in respect of the March quarter of the year 1974; and</w:t>
      </w:r>
    </w:p>
    <w:p w:rsidR="008A31ED" w:rsidRDefault="008A31ED" w:rsidP="008A31ED">
      <w:pPr>
        <w:pStyle w:val="subsection2"/>
      </w:pPr>
      <w:r>
        <w:rPr>
          <w:b/>
        </w:rPr>
        <w:t>D</w:t>
      </w:r>
      <w:r>
        <w:t xml:space="preserve"> is the estimate of the seasonally adjusted average weekly earnings per employed male unit throughout Australia published by the Statistician in respect of the March quarter of the year 1973. </w:t>
      </w:r>
    </w:p>
    <w:p w:rsidR="008A31ED" w:rsidRDefault="008A31ED" w:rsidP="008A31ED">
      <w:pPr>
        <w:pStyle w:val="subsection"/>
      </w:pPr>
      <w:r>
        <w:tab/>
        <w:t>(2)</w:t>
      </w:r>
      <w:r>
        <w:tab/>
        <w:t xml:space="preserve">If, at any time, whether before or after the commencement of this Act, the Statistician has published in respect of the March quarter of the year 1974 or the March quarter of the year 1973, an all groups consumer price index number for the weighted average of the 6 State capital cities or an estimate of the seasonally adjusted average weekly earnings per employed male unit throughout Australia in substitution for an index number or estimate previously published by him in respect of that quarter, the publication of the later index number or estimate shall be disregarded for the purposes of this Act. </w:t>
      </w:r>
    </w:p>
    <w:p w:rsidR="008A31ED" w:rsidRDefault="008A31ED" w:rsidP="008A31ED">
      <w:pPr>
        <w:pStyle w:val="subsection"/>
      </w:pPr>
      <w:r>
        <w:tab/>
        <w:t>(3)</w:t>
      </w:r>
      <w:r>
        <w:tab/>
        <w:t>If the prescribed percentage for the purposes of this Act is or includes a fraction of one</w:t>
      </w:r>
      <w:r>
        <w:noBreakHyphen/>
        <w:t>tenth of 1 per centum:</w:t>
      </w:r>
    </w:p>
    <w:p w:rsidR="008A31ED" w:rsidRDefault="008A31ED" w:rsidP="008A31ED">
      <w:pPr>
        <w:pStyle w:val="paragraph"/>
      </w:pPr>
      <w:r>
        <w:lastRenderedPageBreak/>
        <w:tab/>
        <w:t>(a)</w:t>
      </w:r>
      <w:r>
        <w:tab/>
        <w:t>if that fraction is less than one</w:t>
      </w:r>
      <w:r>
        <w:noBreakHyphen/>
        <w:t>half of one</w:t>
      </w:r>
      <w:r>
        <w:noBreakHyphen/>
        <w:t>tenth—that fraction shall be disregarded; and</w:t>
      </w:r>
    </w:p>
    <w:p w:rsidR="008A31ED" w:rsidRDefault="008A31ED" w:rsidP="008A31ED">
      <w:pPr>
        <w:pStyle w:val="paragraph"/>
      </w:pPr>
      <w:r>
        <w:tab/>
        <w:t>(b)</w:t>
      </w:r>
      <w:r>
        <w:tab/>
        <w:t>if that fraction is not less than one</w:t>
      </w:r>
      <w:r>
        <w:noBreakHyphen/>
        <w:t>half of one</w:t>
      </w:r>
      <w:r>
        <w:noBreakHyphen/>
        <w:t>tenth—that fraction shall be treated as one</w:t>
      </w:r>
      <w:r>
        <w:noBreakHyphen/>
        <w:t xml:space="preserve">tenth. </w:t>
      </w:r>
    </w:p>
    <w:p w:rsidR="008A31ED" w:rsidRDefault="008A31ED" w:rsidP="008A31ED">
      <w:pPr>
        <w:pStyle w:val="subsection"/>
      </w:pPr>
      <w:r>
        <w:tab/>
        <w:t>(4)</w:t>
      </w:r>
      <w:r>
        <w:tab/>
        <w:t xml:space="preserve">A reference in this Act to the Statistician shall be read as a reference to the Commonwealth Statistician. </w:t>
      </w:r>
    </w:p>
    <w:p w:rsidR="008A31ED" w:rsidRDefault="008A31ED" w:rsidP="008A31ED">
      <w:pPr>
        <w:pStyle w:val="Heading5"/>
      </w:pPr>
      <w:bookmarkStart w:id="6" w:name="_Toc424899433"/>
      <w:r>
        <w:rPr>
          <w:rStyle w:val="CharSectno"/>
        </w:rPr>
        <w:t>4</w:t>
      </w:r>
      <w:r>
        <w:t xml:space="preserve">  Increases to be paid out of Consolidated Revenue Fund</w:t>
      </w:r>
      <w:bookmarkEnd w:id="6"/>
    </w:p>
    <w:p w:rsidR="008A31ED" w:rsidRDefault="008A31ED" w:rsidP="008A31ED">
      <w:pPr>
        <w:pStyle w:val="subsection"/>
      </w:pPr>
      <w:r>
        <w:tab/>
      </w:r>
      <w:r>
        <w:tab/>
        <w:t xml:space="preserve">Amounts by which payments of pensions, or pension benefits, are increased by virtue of this Act are payable out of the Consolidated Revenue Fund, which is appropriated accordingly. </w:t>
      </w:r>
    </w:p>
    <w:p w:rsidR="008A31ED" w:rsidRDefault="008A31ED" w:rsidP="008A31ED">
      <w:pPr>
        <w:pStyle w:val="PageBreak"/>
      </w:pPr>
      <w:r>
        <w:br w:type="page"/>
      </w:r>
    </w:p>
    <w:p w:rsidR="008A31ED" w:rsidRDefault="008A31ED" w:rsidP="008A31ED">
      <w:pPr>
        <w:pStyle w:val="Heading2"/>
      </w:pPr>
      <w:bookmarkStart w:id="7" w:name="_Toc424899434"/>
      <w:r>
        <w:rPr>
          <w:rStyle w:val="CharPartNo"/>
        </w:rPr>
        <w:t>Part II</w:t>
      </w:r>
      <w:r>
        <w:t>—</w:t>
      </w:r>
      <w:r>
        <w:rPr>
          <w:rStyle w:val="CharPartText"/>
        </w:rPr>
        <w:t>Increases in certain pensions payable under Defence Forces Retirement Benefits Act 1948</w:t>
      </w:r>
      <w:r>
        <w:rPr>
          <w:rStyle w:val="CharPartText"/>
        </w:rPr>
        <w:noBreakHyphen/>
        <w:t>1973</w:t>
      </w:r>
      <w:bookmarkEnd w:id="7"/>
    </w:p>
    <w:p w:rsidR="008A31ED" w:rsidRDefault="008A31ED" w:rsidP="008A31ED">
      <w:pPr>
        <w:pStyle w:val="Heading5"/>
      </w:pPr>
      <w:bookmarkStart w:id="8" w:name="_Toc424899435"/>
      <w:r>
        <w:rPr>
          <w:rStyle w:val="CharSectno"/>
        </w:rPr>
        <w:t>5</w:t>
      </w:r>
      <w:r>
        <w:t xml:space="preserve">  Incorporation with the Defence Forces Retirement Benefits Act</w:t>
      </w:r>
      <w:bookmarkEnd w:id="8"/>
    </w:p>
    <w:p w:rsidR="008A31ED" w:rsidRDefault="008A31ED" w:rsidP="008A31ED">
      <w:pPr>
        <w:pStyle w:val="subsection"/>
        <w:rPr>
          <w:i/>
        </w:rPr>
      </w:pPr>
      <w:r>
        <w:tab/>
      </w:r>
      <w:r>
        <w:tab/>
        <w:t xml:space="preserve">This part is incorporated, and shall be read as one, with the </w:t>
      </w:r>
      <w:r>
        <w:rPr>
          <w:i/>
        </w:rPr>
        <w:t>Defence Forces Retirement Benefits Act 1948</w:t>
      </w:r>
      <w:r>
        <w:rPr>
          <w:i/>
        </w:rPr>
        <w:noBreakHyphen/>
        <w:t>1973</w:t>
      </w:r>
      <w:r>
        <w:t>.</w:t>
      </w:r>
      <w:r>
        <w:rPr>
          <w:i/>
        </w:rPr>
        <w:t xml:space="preserve"> </w:t>
      </w:r>
    </w:p>
    <w:p w:rsidR="008A31ED" w:rsidRDefault="008A31ED" w:rsidP="008A31ED">
      <w:pPr>
        <w:pStyle w:val="Heading5"/>
      </w:pPr>
      <w:bookmarkStart w:id="9" w:name="_Toc424899436"/>
      <w:r>
        <w:rPr>
          <w:rStyle w:val="CharSectno"/>
        </w:rPr>
        <w:t>6</w:t>
      </w:r>
      <w:r>
        <w:t xml:space="preserve">  Interpretation</w:t>
      </w:r>
      <w:bookmarkEnd w:id="9"/>
    </w:p>
    <w:p w:rsidR="008A31ED" w:rsidRDefault="008A31ED" w:rsidP="008A31ED">
      <w:pPr>
        <w:pStyle w:val="subsection"/>
      </w:pPr>
      <w:r>
        <w:tab/>
      </w:r>
      <w:r>
        <w:tab/>
        <w:t>In this Part, unless the contrary intention appears:</w:t>
      </w:r>
    </w:p>
    <w:p w:rsidR="008A31ED" w:rsidRDefault="008A31ED" w:rsidP="008A31ED">
      <w:pPr>
        <w:pStyle w:val="Definition"/>
      </w:pPr>
      <w:r>
        <w:rPr>
          <w:b/>
          <w:i/>
        </w:rPr>
        <w:t>Defence Forces Retirement Benefits Act</w:t>
      </w:r>
      <w:r>
        <w:t xml:space="preserve"> means the </w:t>
      </w:r>
      <w:r>
        <w:rPr>
          <w:i/>
        </w:rPr>
        <w:t>Defence Forces Retirement Benefits Act 1948</w:t>
      </w:r>
      <w:r>
        <w:rPr>
          <w:i/>
        </w:rPr>
        <w:noBreakHyphen/>
        <w:t>1973</w:t>
      </w:r>
      <w:r>
        <w:t xml:space="preserve">, and includes any other Act relating to retirement benefits for members of the Defence Force that came into operation before 1 October 1972 and that modifies or affects the provisions of the </w:t>
      </w:r>
      <w:r>
        <w:rPr>
          <w:i/>
        </w:rPr>
        <w:t>Defence Forces</w:t>
      </w:r>
      <w:r>
        <w:t xml:space="preserve"> </w:t>
      </w:r>
      <w:r>
        <w:rPr>
          <w:i/>
        </w:rPr>
        <w:t>Retirement Benefits Act 1948</w:t>
      </w:r>
      <w:r>
        <w:t xml:space="preserve"> or that Act as amended and in force from time to time.</w:t>
      </w:r>
    </w:p>
    <w:p w:rsidR="008A31ED" w:rsidRDefault="008A31ED" w:rsidP="008A31ED">
      <w:pPr>
        <w:pStyle w:val="Definition"/>
      </w:pPr>
      <w:r>
        <w:rPr>
          <w:b/>
          <w:i/>
        </w:rPr>
        <w:t>pension</w:t>
      </w:r>
      <w:r>
        <w:t xml:space="preserve"> means a pension payable under the Defence Forces Retirement Benefits Act. </w:t>
      </w:r>
    </w:p>
    <w:p w:rsidR="008A31ED" w:rsidRDefault="008A31ED" w:rsidP="008A31ED">
      <w:pPr>
        <w:pStyle w:val="Heading5"/>
      </w:pPr>
      <w:bookmarkStart w:id="10" w:name="_Toc424899437"/>
      <w:r>
        <w:rPr>
          <w:rStyle w:val="CharSectno"/>
        </w:rPr>
        <w:t>7</w:t>
      </w:r>
      <w:r>
        <w:t xml:space="preserve">  Increase in certain pensions</w:t>
      </w:r>
      <w:bookmarkEnd w:id="10"/>
    </w:p>
    <w:p w:rsidR="008A31ED" w:rsidRDefault="008A31ED" w:rsidP="008A31ED">
      <w:pPr>
        <w:pStyle w:val="subsection"/>
      </w:pPr>
      <w:r>
        <w:tab/>
      </w:r>
      <w:r>
        <w:tab/>
        <w:t>If:</w:t>
      </w:r>
    </w:p>
    <w:p w:rsidR="008A31ED" w:rsidRDefault="008A31ED" w:rsidP="008A31ED">
      <w:pPr>
        <w:pStyle w:val="paragraph"/>
      </w:pPr>
      <w:r>
        <w:tab/>
        <w:t>(a)</w:t>
      </w:r>
      <w:r>
        <w:tab/>
        <w:t>the all groups consumer price index number for the weighted average of the 6 State capital cities published by the Statistician in respect of the March quarter of the year 1974 exceeds the all groups consumer price index number for the weighted average of the 6 State capital cities published by the Statistician in respect of the March quarter of the year 1973; and</w:t>
      </w:r>
    </w:p>
    <w:p w:rsidR="008A31ED" w:rsidRDefault="008A31ED" w:rsidP="008A31ED">
      <w:pPr>
        <w:pStyle w:val="paragraph"/>
      </w:pPr>
      <w:r>
        <w:tab/>
        <w:t>(b)</w:t>
      </w:r>
      <w:r>
        <w:tab/>
        <w:t xml:space="preserve">the estimate of the seasonally adjusted average weekly earnings per employed male unit throughout Australia published by the Statistician in respect of the March quarter of the year 1974 exceeds the estimate of the seasonally adjusted average weekly earnings per employed male unit </w:t>
      </w:r>
      <w:r>
        <w:lastRenderedPageBreak/>
        <w:t>throughout Australia published by the Statistician in respect of the March quarter of the year 1973;</w:t>
      </w:r>
    </w:p>
    <w:p w:rsidR="008A31ED" w:rsidRDefault="008A31ED" w:rsidP="008A31ED">
      <w:pPr>
        <w:pStyle w:val="subsection2"/>
      </w:pPr>
      <w:r>
        <w:t xml:space="preserve">a person to whom a pension (not being a pension payable to or in respect of an eligible child) was payable immediately before 1 July 1974 is entitled to an increase, as ascertained in accordance with section 8 or 9, in the annual amount of that pension. </w:t>
      </w:r>
    </w:p>
    <w:p w:rsidR="008A31ED" w:rsidRDefault="008A31ED" w:rsidP="008A31ED">
      <w:pPr>
        <w:pStyle w:val="Heading5"/>
      </w:pPr>
      <w:bookmarkStart w:id="11" w:name="_Toc424899438"/>
      <w:r>
        <w:rPr>
          <w:rStyle w:val="CharSectno"/>
        </w:rPr>
        <w:t>8</w:t>
      </w:r>
      <w:r>
        <w:t xml:space="preserve">  Amount of increase in certain pensions</w:t>
      </w:r>
      <w:bookmarkEnd w:id="11"/>
      <w:r>
        <w:t xml:space="preserve"> </w:t>
      </w:r>
    </w:p>
    <w:p w:rsidR="008A31ED" w:rsidRDefault="008A31ED" w:rsidP="008A31ED">
      <w:pPr>
        <w:pStyle w:val="subsection"/>
      </w:pPr>
      <w:r>
        <w:tab/>
        <w:t>(1)</w:t>
      </w:r>
      <w:r>
        <w:tab/>
        <w:t>Where, immediately before 1 July 1974, a pension was payable to a person:</w:t>
      </w:r>
    </w:p>
    <w:p w:rsidR="008A31ED" w:rsidRDefault="008A31ED" w:rsidP="008A31ED">
      <w:pPr>
        <w:pStyle w:val="paragraph"/>
      </w:pPr>
      <w:r>
        <w:tab/>
        <w:t>(a)</w:t>
      </w:r>
      <w:r>
        <w:tab/>
        <w:t>being a pension that became payable to the person before 1 July 1973; or</w:t>
      </w:r>
    </w:p>
    <w:p w:rsidR="008A31ED" w:rsidRDefault="008A31ED" w:rsidP="008A31ED">
      <w:pPr>
        <w:pStyle w:val="paragraph"/>
      </w:pPr>
      <w:r>
        <w:tab/>
        <w:t>(b)</w:t>
      </w:r>
      <w:r>
        <w:tab/>
        <w:t>being a pension that became payable, on or after 1 July 1973, to the person as a widow by reason of the death of a contributor who retired before 1 October 1972;</w:t>
      </w:r>
    </w:p>
    <w:p w:rsidR="008A31ED" w:rsidRDefault="008A31ED" w:rsidP="008A31ED">
      <w:pPr>
        <w:pStyle w:val="subsection2"/>
      </w:pPr>
      <w:r>
        <w:t xml:space="preserve">this section applies to the person. </w:t>
      </w:r>
    </w:p>
    <w:p w:rsidR="008A31ED" w:rsidRDefault="008A31ED" w:rsidP="008A31ED">
      <w:pPr>
        <w:pStyle w:val="subsection"/>
      </w:pPr>
      <w:r>
        <w:tab/>
        <w:t>(2)</w:t>
      </w:r>
      <w:r>
        <w:tab/>
        <w:t>The increase provided for by section 7 in the annual amount of the pension payable to a person to whom this section applies is the prescribed percentage of an amount equal to the annual amount of the pension payable immediately before 1 July 1974 less:</w:t>
      </w:r>
    </w:p>
    <w:p w:rsidR="008A31ED" w:rsidRDefault="008A31ED" w:rsidP="008A31ED">
      <w:pPr>
        <w:pStyle w:val="paragraph"/>
      </w:pPr>
      <w:r>
        <w:tab/>
        <w:t>(a)</w:t>
      </w:r>
      <w:r>
        <w:tab/>
        <w:t>in the case of a pension referred to in paragraph (1)(a):</w:t>
      </w:r>
    </w:p>
    <w:p w:rsidR="008A31ED" w:rsidRDefault="008A31ED" w:rsidP="008A31ED">
      <w:pPr>
        <w:pStyle w:val="paragraphsub"/>
      </w:pPr>
      <w:r>
        <w:tab/>
        <w:t>(i)</w:t>
      </w:r>
      <w:r>
        <w:tab/>
        <w:t>subject to subparagraph (ii) or (iii)—22.5 per centum of the annual amount of the pension payable immediately before 1 July 1973;</w:t>
      </w:r>
    </w:p>
    <w:p w:rsidR="008A31ED" w:rsidRDefault="008A31ED" w:rsidP="008A31ED">
      <w:pPr>
        <w:pStyle w:val="paragraphsub"/>
      </w:pPr>
      <w:r>
        <w:tab/>
        <w:t>(ii)</w:t>
      </w:r>
      <w:r>
        <w:tab/>
        <w:t xml:space="preserve">if the pension is payable to the person under section 52 of the </w:t>
      </w:r>
      <w:r>
        <w:rPr>
          <w:i/>
        </w:rPr>
        <w:t>Defence Forces Retirement Benefits Act 1948</w:t>
      </w:r>
      <w:r>
        <w:rPr>
          <w:i/>
        </w:rPr>
        <w:noBreakHyphen/>
        <w:t>1973</w:t>
      </w:r>
      <w:r>
        <w:t xml:space="preserve"> and the person has been re</w:t>
      </w:r>
      <w:r>
        <w:noBreakHyphen/>
        <w:t>classified under section 53 of that Act on or after 1 July 1973 but before 1 July 1974 and his classification immediately before 1 July 1974 is different from his classification immediately before 1 July 1973—22.5 per centum of the annual amount of the pension that would have been payable to the person immediately before 1 July 1973 if his classification immediately before 1 July 1974 had been his classification on 30 June 1973; or</w:t>
      </w:r>
    </w:p>
    <w:p w:rsidR="008A31ED" w:rsidRDefault="008A31ED" w:rsidP="008A31ED">
      <w:pPr>
        <w:pStyle w:val="paragraphsub"/>
      </w:pPr>
      <w:r>
        <w:tab/>
        <w:t>(iii)</w:t>
      </w:r>
      <w:r>
        <w:tab/>
        <w:t xml:space="preserve">if a portion of the person’s pension has been commuted, or several portions of the person's pension have been commuted, on or after 1 July 1973 but before 1 July </w:t>
      </w:r>
      <w:r>
        <w:lastRenderedPageBreak/>
        <w:t>1974—22.5 per centum of the annual amount of the pension that would have been payable to the person immediately before 1 July 1973 if that portion or those portions of his pension had been commuted on 29 June 1973; or</w:t>
      </w:r>
    </w:p>
    <w:p w:rsidR="008A31ED" w:rsidRDefault="008A31ED" w:rsidP="008A31ED">
      <w:pPr>
        <w:pStyle w:val="paragraph"/>
      </w:pPr>
      <w:r>
        <w:tab/>
        <w:t>(b)</w:t>
      </w:r>
      <w:r>
        <w:tab/>
        <w:t xml:space="preserve">in the case of a pension referred to in paragraph (1)(b)—22.5 per centum of the annual amount of the pension that would have been payable to the widow immediately before 1 July 1973 if her husband had died on 29 June 1973. </w:t>
      </w:r>
    </w:p>
    <w:p w:rsidR="008A31ED" w:rsidRDefault="008A31ED" w:rsidP="008A31ED">
      <w:pPr>
        <w:pStyle w:val="subsection"/>
      </w:pPr>
      <w:r>
        <w:tab/>
        <w:t xml:space="preserve">(3) </w:t>
      </w:r>
      <w:r>
        <w:tab/>
        <w:t xml:space="preserve">Where a pension would, but for its suspension under section 53B of the </w:t>
      </w:r>
      <w:r>
        <w:rPr>
          <w:i/>
        </w:rPr>
        <w:t>Defence Forces Retirement Benefits Act 1948</w:t>
      </w:r>
      <w:r>
        <w:rPr>
          <w:i/>
        </w:rPr>
        <w:noBreakHyphen/>
        <w:t>1973</w:t>
      </w:r>
      <w:r>
        <w:t xml:space="preserve">, have been payable to a person immediately before 1 July 1973 or immediately before 1 July 1974, that pension shall, for the purposes of this section, be deemed to have been payable to that person immediately before whichever of those dates is relevant, but any increase in that pension by virtue of this section does not take effect in respect of any part of that period of suspension. </w:t>
      </w:r>
    </w:p>
    <w:p w:rsidR="008A31ED" w:rsidRDefault="008A31ED" w:rsidP="008A31ED">
      <w:pPr>
        <w:pStyle w:val="Heading5"/>
      </w:pPr>
      <w:bookmarkStart w:id="12" w:name="_Toc424899439"/>
      <w:r>
        <w:rPr>
          <w:rStyle w:val="CharSectno"/>
        </w:rPr>
        <w:t>9</w:t>
      </w:r>
      <w:r>
        <w:t xml:space="preserve">  Amount of increase in certain pensions to which section 8 does not apply</w:t>
      </w:r>
      <w:bookmarkEnd w:id="12"/>
    </w:p>
    <w:p w:rsidR="008A31ED" w:rsidRDefault="008A31ED" w:rsidP="008A31ED">
      <w:pPr>
        <w:pStyle w:val="subsection"/>
      </w:pPr>
      <w:r>
        <w:tab/>
      </w:r>
      <w:r>
        <w:tab/>
        <w:t xml:space="preserve">Where, immediately before 1 July 1974, a pension was payable to a person in accordance with section 82ZB of the </w:t>
      </w:r>
      <w:r>
        <w:rPr>
          <w:i/>
        </w:rPr>
        <w:t>Defence Forces Retirement Benefits Act 1948</w:t>
      </w:r>
      <w:r>
        <w:rPr>
          <w:i/>
        </w:rPr>
        <w:noBreakHyphen/>
        <w:t>1973</w:t>
      </w:r>
      <w:r>
        <w:t xml:space="preserve"> (not being a pension that became payable after 15 June 1974) and:</w:t>
      </w:r>
    </w:p>
    <w:p w:rsidR="008A31ED" w:rsidRDefault="008A31ED" w:rsidP="008A31ED">
      <w:pPr>
        <w:pStyle w:val="paragraph"/>
      </w:pPr>
      <w:r>
        <w:tab/>
        <w:t>(a)</w:t>
      </w:r>
      <w:r>
        <w:tab/>
        <w:t>if the pension became payable to the person otherwise than as a widow—it became payable on or after 1 July 1973; or</w:t>
      </w:r>
    </w:p>
    <w:p w:rsidR="008A31ED" w:rsidRDefault="008A31ED" w:rsidP="008A31ED">
      <w:pPr>
        <w:pStyle w:val="paragraph"/>
      </w:pPr>
      <w:r>
        <w:tab/>
        <w:t>(b)</w:t>
      </w:r>
      <w:r>
        <w:tab/>
        <w:t>if the pension became payable to the person as a widow:</w:t>
      </w:r>
    </w:p>
    <w:p w:rsidR="008A31ED" w:rsidRDefault="008A31ED" w:rsidP="008A31ED">
      <w:pPr>
        <w:pStyle w:val="paragraphsub"/>
      </w:pPr>
      <w:r>
        <w:tab/>
        <w:t>(i)</w:t>
      </w:r>
      <w:r>
        <w:tab/>
        <w:t>if a pension in accordance with that section was not payable to the person’s husband immediately before his death—the pension became payable on or after 1 July 1973; or</w:t>
      </w:r>
    </w:p>
    <w:p w:rsidR="008A31ED" w:rsidRDefault="008A31ED" w:rsidP="008A31ED">
      <w:pPr>
        <w:pStyle w:val="paragraphsub"/>
      </w:pPr>
      <w:r>
        <w:tab/>
        <w:t>(ii)</w:t>
      </w:r>
      <w:r>
        <w:tab/>
        <w:t>if a pension in accordance with that section was payable to the person’s husband immediately before his death—the husband’s pension became payable on or after 1 July 1973;</w:t>
      </w:r>
    </w:p>
    <w:p w:rsidR="008A31ED" w:rsidRDefault="008A31ED" w:rsidP="008A31ED">
      <w:pPr>
        <w:pStyle w:val="subsection2"/>
      </w:pPr>
      <w:r>
        <w:t xml:space="preserve">this section applies to the person. </w:t>
      </w:r>
    </w:p>
    <w:p w:rsidR="008A31ED" w:rsidRDefault="008A31ED" w:rsidP="008A31ED">
      <w:pPr>
        <w:pStyle w:val="subsection"/>
      </w:pPr>
      <w:r>
        <w:tab/>
        <w:t>(2)</w:t>
      </w:r>
      <w:r>
        <w:tab/>
        <w:t xml:space="preserve">Subject to the succeeding provisions of this section, the increase provided for by section 7 in the annual amount of the pension </w:t>
      </w:r>
      <w:r>
        <w:lastRenderedPageBreak/>
        <w:t xml:space="preserve">payable immediately before 1 July 1974 to a person to whom this section applies is an amount that bears to the amount determined in accordance with subsection (3) the same proportion as the number of months in the period that commenced on the day on which the pension referred to in paragraph (1)(a), or subparagraph (1)(b)(i) or (ii), as the case may be, became payable and ended on 30 June 1974 bears to 12. </w:t>
      </w:r>
    </w:p>
    <w:p w:rsidR="008A31ED" w:rsidRDefault="008A31ED" w:rsidP="008A31ED">
      <w:pPr>
        <w:pStyle w:val="subsection"/>
      </w:pPr>
      <w:r>
        <w:tab/>
        <w:t>(3)</w:t>
      </w:r>
      <w:r>
        <w:tab/>
        <w:t xml:space="preserve">The amount to be determined in accordance with this subsection in relation to the pension payable to a person to whom this section applies is the prescribed percentage of 77.5 per centum of an amount equal to the annual amount of the pension immediately before 1 July 1974. </w:t>
      </w:r>
    </w:p>
    <w:p w:rsidR="008A31ED" w:rsidRDefault="008A31ED" w:rsidP="008A31ED">
      <w:pPr>
        <w:pStyle w:val="subsection"/>
      </w:pPr>
      <w:r>
        <w:tab/>
        <w:t>(4)</w:t>
      </w:r>
      <w:r>
        <w:tab/>
        <w:t xml:space="preserve">If the period referred to in subsection (2) is less than 1 month, that period shall be treated as 1 month. </w:t>
      </w:r>
    </w:p>
    <w:p w:rsidR="008A31ED" w:rsidRDefault="008A31ED" w:rsidP="008A31ED">
      <w:pPr>
        <w:pStyle w:val="subsection"/>
      </w:pPr>
      <w:r>
        <w:tab/>
        <w:t>(5)</w:t>
      </w:r>
      <w:r>
        <w:tab/>
        <w:t>If the period referred to in subsection (2) consists of a number of whole months and a part of a month:</w:t>
      </w:r>
    </w:p>
    <w:p w:rsidR="008A31ED" w:rsidRDefault="008A31ED" w:rsidP="008A31ED">
      <w:pPr>
        <w:pStyle w:val="paragraph"/>
      </w:pPr>
      <w:r>
        <w:tab/>
        <w:t>(a)</w:t>
      </w:r>
      <w:r>
        <w:tab/>
        <w:t>where the number of days in that part of a month is less than one</w:t>
      </w:r>
      <w:r>
        <w:noBreakHyphen/>
        <w:t>half of the number of days in that month—that part of a month shall be disregarded; and</w:t>
      </w:r>
    </w:p>
    <w:p w:rsidR="008A31ED" w:rsidRDefault="008A31ED" w:rsidP="008A31ED">
      <w:pPr>
        <w:pStyle w:val="paragraph"/>
      </w:pPr>
      <w:r>
        <w:tab/>
        <w:t>(b)</w:t>
      </w:r>
      <w:r>
        <w:tab/>
        <w:t>where the number of days in that part of a month is not less than one</w:t>
      </w:r>
      <w:r>
        <w:noBreakHyphen/>
        <w:t xml:space="preserve">half of the number of days in that month—that part of a month shall be treated as a whole month. </w:t>
      </w:r>
    </w:p>
    <w:p w:rsidR="008A31ED" w:rsidRDefault="008A31ED" w:rsidP="008A31ED">
      <w:pPr>
        <w:pStyle w:val="Heading5"/>
      </w:pPr>
      <w:bookmarkStart w:id="13" w:name="_Toc424899440"/>
      <w:r>
        <w:rPr>
          <w:rStyle w:val="CharSectno"/>
        </w:rPr>
        <w:t>10</w:t>
      </w:r>
      <w:r>
        <w:t xml:space="preserve">  Modifications of certain sections of Defence Forces Retirement Benefits Act</w:t>
      </w:r>
      <w:bookmarkEnd w:id="13"/>
    </w:p>
    <w:p w:rsidR="008A31ED" w:rsidRDefault="008A31ED" w:rsidP="008A31ED">
      <w:pPr>
        <w:pStyle w:val="subsection"/>
      </w:pPr>
      <w:r>
        <w:tab/>
        <w:t>(1)</w:t>
      </w:r>
      <w:r>
        <w:tab/>
        <w:t xml:space="preserve">In calculating, for the purposes of pension payable under paragraph 55(1)(b) or 57(1)(b) of the </w:t>
      </w:r>
      <w:r>
        <w:rPr>
          <w:i/>
        </w:rPr>
        <w:t>Defence Forces Retirement Benefits Act 1948</w:t>
      </w:r>
      <w:r>
        <w:rPr>
          <w:i/>
        </w:rPr>
        <w:noBreakHyphen/>
        <w:t>1973</w:t>
      </w:r>
      <w:r>
        <w:t xml:space="preserve">, the amount of the annual rate of the pension, being a pension under paragraph 55(1)(a) or 57(1)(a) of that Act, that is, or is to be deemed, by virtue of subsection 55(3) or 57(5) of that Act, to be, payable to a widow, any amount by which that amount is, or would have been, increased by virtue of the operation of this Part shall be taken into account. </w:t>
      </w:r>
    </w:p>
    <w:p w:rsidR="008A31ED" w:rsidRDefault="008A31ED" w:rsidP="008A31ED">
      <w:pPr>
        <w:pStyle w:val="subsection"/>
      </w:pPr>
      <w:r>
        <w:tab/>
        <w:t>(2)</w:t>
      </w:r>
      <w:r>
        <w:tab/>
        <w:t xml:space="preserve">In calculating, for the purposes of pension payable under subsection 55(2) or 57(4) of the </w:t>
      </w:r>
      <w:r>
        <w:rPr>
          <w:i/>
        </w:rPr>
        <w:t>Defence Forces Retirement Benefits Act 1948</w:t>
      </w:r>
      <w:r>
        <w:rPr>
          <w:i/>
        </w:rPr>
        <w:noBreakHyphen/>
        <w:t>1973</w:t>
      </w:r>
      <w:r>
        <w:t xml:space="preserve">, the amount of the annual rate of the pension, being a pension under paragraph 55(1)(a) or 57(1)(a) of </w:t>
      </w:r>
      <w:r>
        <w:lastRenderedPageBreak/>
        <w:t xml:space="preserve">that Act, that, but for the death of a widow, would have been payable, or would, by virtue of subsection 55(3) or 57(5) of that Act, have been deemed to have been payable, to the widow, any amount by which that amount would have been increased by virtue of the operation of this Part shall be taken into account. </w:t>
      </w:r>
    </w:p>
    <w:p w:rsidR="008A31ED" w:rsidRDefault="008A31ED" w:rsidP="008A31ED">
      <w:pPr>
        <w:pStyle w:val="subsection"/>
      </w:pPr>
      <w:r>
        <w:tab/>
        <w:t>(3)</w:t>
      </w:r>
      <w:r>
        <w:tab/>
        <w:t xml:space="preserve">In calculating, for the purposes of pension payable under subsection 58(1) of the </w:t>
      </w:r>
      <w:r>
        <w:rPr>
          <w:i/>
        </w:rPr>
        <w:t>Defence Forces Retirement Benefits Act 1948</w:t>
      </w:r>
      <w:r>
        <w:rPr>
          <w:i/>
        </w:rPr>
        <w:noBreakHyphen/>
        <w:t>1973</w:t>
      </w:r>
      <w:r>
        <w:t xml:space="preserve">, the amount of the annual rate of the pension, being a pension under paragraph 55(1)(a) or 57(1)(a) of that Act, that, but for the death or divorce of the wife of a contributor or pensioner, would have been payable to the wife, any amount by which that amount would have been increased by virtue of the operation of this Part shall be taken into account. </w:t>
      </w:r>
    </w:p>
    <w:p w:rsidR="008A31ED" w:rsidRDefault="008A31ED" w:rsidP="008A31ED">
      <w:pPr>
        <w:pStyle w:val="Heading5"/>
      </w:pPr>
      <w:bookmarkStart w:id="14" w:name="_Toc424899441"/>
      <w:r>
        <w:rPr>
          <w:rStyle w:val="CharSectno"/>
        </w:rPr>
        <w:t>11</w:t>
      </w:r>
      <w:r>
        <w:t xml:space="preserve">  Rate of invalidity pension payable on re</w:t>
      </w:r>
      <w:r>
        <w:noBreakHyphen/>
        <w:t>classification</w:t>
      </w:r>
      <w:bookmarkEnd w:id="14"/>
    </w:p>
    <w:p w:rsidR="008A31ED" w:rsidRDefault="008A31ED" w:rsidP="008A31ED">
      <w:pPr>
        <w:pStyle w:val="subsection"/>
      </w:pPr>
      <w:r>
        <w:tab/>
      </w:r>
      <w:r>
        <w:tab/>
        <w:t xml:space="preserve">Where, on or after 1 July 1974, a person to whom pension is payable under section 52 of the </w:t>
      </w:r>
      <w:r>
        <w:rPr>
          <w:i/>
        </w:rPr>
        <w:t>Defence Forces Retirement Benefits Act 1948</w:t>
      </w:r>
      <w:r>
        <w:rPr>
          <w:i/>
        </w:rPr>
        <w:noBreakHyphen/>
        <w:t xml:space="preserve">1973 </w:t>
      </w:r>
      <w:r>
        <w:t>and who is entitled to an increase in the rate of his pension under this Part is re</w:t>
      </w:r>
      <w:r>
        <w:noBreakHyphen/>
        <w:t>classified under section 53 of that Act, the rate at which pension is payable to him on and after the date from which the re</w:t>
      </w:r>
      <w:r>
        <w:noBreakHyphen/>
        <w:t>classification has effect is the rate at which pension would have been payable to him on 1 July 1974 if he had been so re</w:t>
      </w:r>
      <w:r>
        <w:noBreakHyphen/>
        <w:t xml:space="preserve">classified with effect on and from 30 June 1974. </w:t>
      </w:r>
    </w:p>
    <w:p w:rsidR="008A31ED" w:rsidRDefault="008A31ED" w:rsidP="008A31ED">
      <w:pPr>
        <w:pStyle w:val="Heading5"/>
      </w:pPr>
      <w:bookmarkStart w:id="15" w:name="_Toc424899442"/>
      <w:r>
        <w:rPr>
          <w:rStyle w:val="CharSectno"/>
        </w:rPr>
        <w:t>12</w:t>
      </w:r>
      <w:r>
        <w:t xml:space="preserve">  Commutation of pensions on and after 1 July 1974</w:t>
      </w:r>
      <w:bookmarkEnd w:id="15"/>
    </w:p>
    <w:p w:rsidR="008A31ED" w:rsidRDefault="008A31ED" w:rsidP="008A31ED">
      <w:pPr>
        <w:pStyle w:val="subsection"/>
      </w:pPr>
      <w:r>
        <w:tab/>
        <w:t>(1)</w:t>
      </w:r>
      <w:r>
        <w:tab/>
        <w:t xml:space="preserve">Section 74 of the </w:t>
      </w:r>
      <w:r>
        <w:rPr>
          <w:i/>
        </w:rPr>
        <w:t>Defence Forces Retirement Benefits Act 1948</w:t>
      </w:r>
      <w:r>
        <w:rPr>
          <w:i/>
        </w:rPr>
        <w:noBreakHyphen/>
        <w:t>1973</w:t>
      </w:r>
      <w:r>
        <w:t xml:space="preserve"> does not authorize the commutation of a pension in so far as the pension has been increased by virtue of this Part. </w:t>
      </w:r>
    </w:p>
    <w:p w:rsidR="008A31ED" w:rsidRDefault="008A31ED" w:rsidP="008A31ED">
      <w:pPr>
        <w:pStyle w:val="subsection"/>
      </w:pPr>
      <w:r>
        <w:tab/>
        <w:t>(2)</w:t>
      </w:r>
      <w:r>
        <w:tab/>
        <w:t xml:space="preserve">Where, on or after 1 July 1974, a portion of the pension of a person who is entitled to an increase in the rate of his pension under this Part is commuted, then, as from the date on which that portion of his pension is so commuted, the annual amount of his pension shall be reduced to such amount as would, on 1 July 1974, have been the annual amount of the pension if he had commuted that portion of his pension on 29 June 1974. </w:t>
      </w:r>
    </w:p>
    <w:p w:rsidR="008A31ED" w:rsidRDefault="008A31ED" w:rsidP="008A31ED">
      <w:pPr>
        <w:pStyle w:val="Heading5"/>
      </w:pPr>
      <w:bookmarkStart w:id="16" w:name="_Toc424899443"/>
      <w:r>
        <w:rPr>
          <w:rStyle w:val="CharSectno"/>
        </w:rPr>
        <w:lastRenderedPageBreak/>
        <w:t>13</w:t>
      </w:r>
      <w:r>
        <w:t xml:space="preserve">  Date of effect of increases</w:t>
      </w:r>
      <w:bookmarkEnd w:id="16"/>
    </w:p>
    <w:p w:rsidR="008A31ED" w:rsidRDefault="008A31ED" w:rsidP="008A31ED">
      <w:pPr>
        <w:pStyle w:val="subsection"/>
      </w:pPr>
      <w:r>
        <w:tab/>
      </w:r>
      <w:r>
        <w:tab/>
        <w:t>An increase payable by virtue of this Part in the pension payable to a person applies in relation to the instalment of pension falling due on the pension pay</w:t>
      </w:r>
      <w:r>
        <w:noBreakHyphen/>
        <w:t xml:space="preserve">day that occurred on 4 July 1974, and in relation to all subsequent instalments. </w:t>
      </w:r>
    </w:p>
    <w:p w:rsidR="008A31ED" w:rsidRDefault="008A31ED" w:rsidP="008A31ED">
      <w:pPr>
        <w:pStyle w:val="PageBreak"/>
      </w:pPr>
      <w:r>
        <w:br w:type="page"/>
      </w:r>
    </w:p>
    <w:p w:rsidR="008A31ED" w:rsidRDefault="008A31ED" w:rsidP="008A31ED">
      <w:pPr>
        <w:pStyle w:val="Heading2"/>
      </w:pPr>
      <w:bookmarkStart w:id="17" w:name="_Toc424899444"/>
      <w:r>
        <w:rPr>
          <w:rStyle w:val="CharPartNo"/>
        </w:rPr>
        <w:t>Part III</w:t>
      </w:r>
      <w:r>
        <w:t>—</w:t>
      </w:r>
      <w:r>
        <w:rPr>
          <w:rStyle w:val="CharPartText"/>
        </w:rPr>
        <w:t>Increases in certain pension benefits payable under Defence Force Retirement and Death Benefits Act 1973</w:t>
      </w:r>
      <w:r>
        <w:rPr>
          <w:rStyle w:val="CharPartText"/>
        </w:rPr>
        <w:noBreakHyphen/>
        <w:t>1974</w:t>
      </w:r>
      <w:bookmarkEnd w:id="17"/>
    </w:p>
    <w:p w:rsidR="008A31ED" w:rsidRDefault="008A31ED" w:rsidP="008A31ED">
      <w:pPr>
        <w:pStyle w:val="Heading5"/>
      </w:pPr>
      <w:bookmarkStart w:id="18" w:name="_Toc424899445"/>
      <w:r>
        <w:rPr>
          <w:rStyle w:val="CharSectno"/>
        </w:rPr>
        <w:t>14</w:t>
      </w:r>
      <w:r>
        <w:t xml:space="preserve">  Incorporation with the Defence Force Retirement and Death Benefits Act</w:t>
      </w:r>
      <w:bookmarkEnd w:id="18"/>
    </w:p>
    <w:p w:rsidR="008A31ED" w:rsidRDefault="008A31ED" w:rsidP="008A31ED">
      <w:pPr>
        <w:pStyle w:val="subsection"/>
        <w:rPr>
          <w:i/>
        </w:rPr>
      </w:pPr>
      <w:r>
        <w:tab/>
      </w:r>
      <w:r>
        <w:tab/>
        <w:t xml:space="preserve">This Part is incorporated, and shall be read as one, with the </w:t>
      </w:r>
      <w:r>
        <w:rPr>
          <w:i/>
        </w:rPr>
        <w:t>Defence Force Retirement and Death Benefits Act 1973</w:t>
      </w:r>
      <w:r>
        <w:rPr>
          <w:i/>
        </w:rPr>
        <w:noBreakHyphen/>
        <w:t>1974</w:t>
      </w:r>
      <w:r>
        <w:t>.</w:t>
      </w:r>
      <w:r>
        <w:rPr>
          <w:i/>
        </w:rPr>
        <w:t xml:space="preserve"> </w:t>
      </w:r>
    </w:p>
    <w:p w:rsidR="008A31ED" w:rsidRDefault="008A31ED" w:rsidP="008A31ED">
      <w:pPr>
        <w:pStyle w:val="Heading5"/>
      </w:pPr>
      <w:bookmarkStart w:id="19" w:name="_Toc424899446"/>
      <w:r>
        <w:rPr>
          <w:rStyle w:val="CharSectno"/>
        </w:rPr>
        <w:t>15</w:t>
      </w:r>
      <w:r>
        <w:t xml:space="preserve">  Definition</w:t>
      </w:r>
      <w:bookmarkEnd w:id="19"/>
    </w:p>
    <w:p w:rsidR="008A31ED" w:rsidRDefault="008A31ED" w:rsidP="008A31ED">
      <w:pPr>
        <w:pStyle w:val="subsection"/>
        <w:rPr>
          <w:i/>
        </w:rPr>
      </w:pPr>
      <w:r>
        <w:tab/>
      </w:r>
      <w:r>
        <w:tab/>
        <w:t xml:space="preserve">In this Part, unless the contrary intention appears, </w:t>
      </w:r>
      <w:r>
        <w:rPr>
          <w:b/>
          <w:i/>
        </w:rPr>
        <w:t>pension benefit</w:t>
      </w:r>
      <w:r>
        <w:t xml:space="preserve"> means a pension benefit payable under the </w:t>
      </w:r>
      <w:r>
        <w:rPr>
          <w:i/>
        </w:rPr>
        <w:t>Defence Force Retirement and Death Benefits Act 1973</w:t>
      </w:r>
      <w:r>
        <w:rPr>
          <w:i/>
        </w:rPr>
        <w:noBreakHyphen/>
        <w:t>1974</w:t>
      </w:r>
      <w:r>
        <w:t>.</w:t>
      </w:r>
      <w:r>
        <w:rPr>
          <w:i/>
        </w:rPr>
        <w:t xml:space="preserve"> </w:t>
      </w:r>
    </w:p>
    <w:p w:rsidR="008A31ED" w:rsidRDefault="008A31ED" w:rsidP="008A31ED">
      <w:pPr>
        <w:pStyle w:val="Heading5"/>
      </w:pPr>
      <w:bookmarkStart w:id="20" w:name="_Toc424899447"/>
      <w:r>
        <w:rPr>
          <w:rStyle w:val="CharSectno"/>
        </w:rPr>
        <w:t>16</w:t>
      </w:r>
      <w:r>
        <w:t xml:space="preserve">  Increase in certain pension benefits</w:t>
      </w:r>
      <w:bookmarkEnd w:id="20"/>
    </w:p>
    <w:p w:rsidR="008A31ED" w:rsidRDefault="008A31ED" w:rsidP="008A31ED">
      <w:pPr>
        <w:pStyle w:val="subsection"/>
      </w:pPr>
      <w:r>
        <w:tab/>
      </w:r>
      <w:r>
        <w:tab/>
        <w:t>If:</w:t>
      </w:r>
    </w:p>
    <w:p w:rsidR="008A31ED" w:rsidRDefault="008A31ED" w:rsidP="008A31ED">
      <w:pPr>
        <w:pStyle w:val="paragraph"/>
      </w:pPr>
      <w:r>
        <w:tab/>
        <w:t>(a)</w:t>
      </w:r>
      <w:r>
        <w:tab/>
        <w:t>the all groups consumer price index number for the weighted average of the 6 State capital cities published by the Statistician in respect of the March quarter of the year 1974 exceeds the all groups consumer price index number for the weighted average of the 6 State capital cities published by the Statistician in respect of the March quarter of the year 1973; and</w:t>
      </w:r>
    </w:p>
    <w:p w:rsidR="008A31ED" w:rsidRDefault="008A31ED" w:rsidP="008A31ED">
      <w:pPr>
        <w:pStyle w:val="paragraph"/>
      </w:pPr>
      <w:r>
        <w:tab/>
        <w:t>(b)</w:t>
      </w:r>
      <w:r>
        <w:tab/>
        <w:t>the estimate of the seasonally adjusted average weekly earnings per employed male unit throughout Australia published by the Statistician in respect of the March quarter of the year 1974 exceeds the estimate of the seasonally adjusted average weekly earnings per employed male unit throughout Australia published by the Statistician in respect of the March quarter of the year 1973;</w:t>
      </w:r>
    </w:p>
    <w:p w:rsidR="008A31ED" w:rsidRDefault="008A31ED" w:rsidP="008A31ED">
      <w:pPr>
        <w:pStyle w:val="subsection2"/>
      </w:pPr>
      <w:r>
        <w:t xml:space="preserve">a person to whom a pension benefit was payable immediately before 1 July 1974 is entitled to an increase, as ascertained in accordance with section 17 or 18, in the amount of the annual pension benefit that was payable to him immediately before that date. </w:t>
      </w:r>
    </w:p>
    <w:p w:rsidR="008A31ED" w:rsidRDefault="008A31ED" w:rsidP="008A31ED">
      <w:pPr>
        <w:pStyle w:val="Heading5"/>
      </w:pPr>
      <w:bookmarkStart w:id="21" w:name="_Toc424899448"/>
      <w:r>
        <w:rPr>
          <w:rStyle w:val="CharSectno"/>
        </w:rPr>
        <w:lastRenderedPageBreak/>
        <w:t>17</w:t>
      </w:r>
      <w:r>
        <w:t xml:space="preserve">  Amount of increase in certain pension benefits</w:t>
      </w:r>
      <w:bookmarkEnd w:id="21"/>
    </w:p>
    <w:p w:rsidR="008A31ED" w:rsidRDefault="008A31ED" w:rsidP="008A31ED">
      <w:pPr>
        <w:pStyle w:val="subsection"/>
      </w:pPr>
      <w:r>
        <w:tab/>
        <w:t>(1)</w:t>
      </w:r>
      <w:r>
        <w:tab/>
        <w:t>Where, immediately before 1 July 1974, a pension benefit was payable to a person:</w:t>
      </w:r>
    </w:p>
    <w:p w:rsidR="008A31ED" w:rsidRDefault="008A31ED" w:rsidP="008A31ED">
      <w:pPr>
        <w:pStyle w:val="paragraph"/>
      </w:pPr>
      <w:r>
        <w:tab/>
        <w:t>(a)</w:t>
      </w:r>
      <w:r>
        <w:tab/>
        <w:t>being a pension benefit that became payable to the person before 1 July 1973; or</w:t>
      </w:r>
    </w:p>
    <w:p w:rsidR="008A31ED" w:rsidRDefault="008A31ED" w:rsidP="008A31ED">
      <w:pPr>
        <w:pStyle w:val="paragraph"/>
      </w:pPr>
      <w:r>
        <w:tab/>
        <w:t>(b)</w:t>
      </w:r>
      <w:r>
        <w:tab/>
        <w:t>being a pension benefit that became payable, on or after 1 July 1973, to the person as a widow, or as an eligible child, by reason of the death of a member of the scheme who retired before 1 July 1973;</w:t>
      </w:r>
    </w:p>
    <w:p w:rsidR="008A31ED" w:rsidRDefault="008A31ED" w:rsidP="008A31ED">
      <w:pPr>
        <w:pStyle w:val="subsection2"/>
      </w:pPr>
      <w:r>
        <w:t xml:space="preserve">this section applies to the person. </w:t>
      </w:r>
    </w:p>
    <w:p w:rsidR="008A31ED" w:rsidRDefault="008A31ED" w:rsidP="008A31ED">
      <w:pPr>
        <w:pStyle w:val="subsection"/>
      </w:pPr>
      <w:r>
        <w:tab/>
        <w:t>(2)</w:t>
      </w:r>
      <w:r>
        <w:tab/>
        <w:t xml:space="preserve">The increase provided for by section 16 in the annual amount of the pension benefit payable to a person to whom this section applies is the prescribed percentage of 71.43 per centum of the annual amount of the pension benefit payable immediately before 1 July 1974 or, if the pension benefit is a child’s pension, so much of the annual amount of that benefit so payable as is referred to as additional pension in whichever of subsections 42(2), 42(3), 43(2) or 43(3) of the </w:t>
      </w:r>
      <w:r>
        <w:rPr>
          <w:i/>
        </w:rPr>
        <w:t>Defence Force Retirement and Death Benefits Act 1973</w:t>
      </w:r>
      <w:r>
        <w:rPr>
          <w:i/>
        </w:rPr>
        <w:noBreakHyphen/>
        <w:t xml:space="preserve">1974 </w:t>
      </w:r>
      <w:r>
        <w:t xml:space="preserve">as is applicable. </w:t>
      </w:r>
    </w:p>
    <w:p w:rsidR="008A31ED" w:rsidRDefault="008A31ED" w:rsidP="008A31ED">
      <w:pPr>
        <w:pStyle w:val="Heading5"/>
      </w:pPr>
      <w:bookmarkStart w:id="22" w:name="_Toc424899449"/>
      <w:r>
        <w:rPr>
          <w:rStyle w:val="CharSectno"/>
        </w:rPr>
        <w:t>18</w:t>
      </w:r>
      <w:r>
        <w:t xml:space="preserve">  Amount of increase in certain pension benefits to which section 17 does not apply</w:t>
      </w:r>
      <w:bookmarkEnd w:id="22"/>
    </w:p>
    <w:p w:rsidR="008A31ED" w:rsidRDefault="008A31ED" w:rsidP="008A31ED">
      <w:pPr>
        <w:pStyle w:val="subsection"/>
      </w:pPr>
      <w:r>
        <w:tab/>
        <w:t>(1)</w:t>
      </w:r>
      <w:r>
        <w:tab/>
        <w:t>Where:</w:t>
      </w:r>
    </w:p>
    <w:p w:rsidR="008A31ED" w:rsidRDefault="008A31ED" w:rsidP="008A31ED">
      <w:pPr>
        <w:pStyle w:val="paragraph"/>
      </w:pPr>
      <w:r>
        <w:tab/>
        <w:t>(a)</w:t>
      </w:r>
      <w:r>
        <w:tab/>
        <w:t>immediately before 1 July 1974, a pension benefit (not being a pension benefit that became payable after 15 June 1974) was payable to a person in respect of:</w:t>
      </w:r>
    </w:p>
    <w:p w:rsidR="008A31ED" w:rsidRDefault="008A31ED" w:rsidP="008A31ED">
      <w:pPr>
        <w:pStyle w:val="paragraphsub"/>
      </w:pPr>
      <w:r>
        <w:tab/>
        <w:t>(i)</w:t>
      </w:r>
      <w:r>
        <w:tab/>
        <w:t>the retirement, on or after 1 July 1973, of a member of the scheme; or</w:t>
      </w:r>
    </w:p>
    <w:p w:rsidR="008A31ED" w:rsidRDefault="008A31ED" w:rsidP="008A31ED">
      <w:pPr>
        <w:pStyle w:val="paragraphsub"/>
      </w:pPr>
      <w:r>
        <w:tab/>
        <w:t>(ii)</w:t>
      </w:r>
      <w:r>
        <w:tab/>
        <w:t>the death, on or after 1 July 1973, of a member of the scheme who was a contributing member on 30 June 1973; or</w:t>
      </w:r>
    </w:p>
    <w:p w:rsidR="008A31ED" w:rsidRDefault="008A31ED" w:rsidP="008A31ED">
      <w:pPr>
        <w:pStyle w:val="paragraph"/>
      </w:pPr>
      <w:r>
        <w:tab/>
        <w:t>(b)</w:t>
      </w:r>
      <w:r>
        <w:tab/>
        <w:t xml:space="preserve">immediately before 1 July 1974, a pension benefit was payable to a person in accordance with section 78 of the </w:t>
      </w:r>
      <w:r>
        <w:rPr>
          <w:i/>
        </w:rPr>
        <w:t>Defence Force Retirement and Death Benefits Act 1973</w:t>
      </w:r>
      <w:r>
        <w:rPr>
          <w:i/>
        </w:rPr>
        <w:noBreakHyphen/>
        <w:t>1974</w:t>
      </w:r>
      <w:r>
        <w:t xml:space="preserve"> (not being a pension benefit that became payable after 15 June 1974) and:</w:t>
      </w:r>
    </w:p>
    <w:p w:rsidR="008A31ED" w:rsidRDefault="008A31ED" w:rsidP="008A31ED">
      <w:pPr>
        <w:pStyle w:val="paragraphsub"/>
      </w:pPr>
      <w:r>
        <w:lastRenderedPageBreak/>
        <w:tab/>
        <w:t>(i)</w:t>
      </w:r>
      <w:r>
        <w:tab/>
        <w:t>if the pension benefit became payable to the person otherwise than as a widow or as an eligible child—it became payable on or after 1 July 1973;</w:t>
      </w:r>
    </w:p>
    <w:p w:rsidR="008A31ED" w:rsidRDefault="008A31ED" w:rsidP="008A31ED">
      <w:pPr>
        <w:pStyle w:val="paragraphsub"/>
      </w:pPr>
      <w:r>
        <w:tab/>
        <w:t>(ii)</w:t>
      </w:r>
      <w:r>
        <w:tab/>
        <w:t>if the pension benefit became payable to the person as a widow:</w:t>
      </w:r>
    </w:p>
    <w:p w:rsidR="008A31ED" w:rsidRDefault="008A31ED" w:rsidP="008A31ED">
      <w:pPr>
        <w:pStyle w:val="paragraphsub-sub"/>
      </w:pPr>
      <w:r>
        <w:tab/>
        <w:t>(A)</w:t>
      </w:r>
      <w:r>
        <w:tab/>
        <w:t>if a pension benefit in accordance with that section was not payable to the person’s husband immediately before his death—the pension became payable on or after 1 July 1973;</w:t>
      </w:r>
    </w:p>
    <w:p w:rsidR="008A31ED" w:rsidRDefault="008A31ED" w:rsidP="008A31ED">
      <w:pPr>
        <w:pStyle w:val="paragraphsub-sub"/>
      </w:pPr>
      <w:r>
        <w:tab/>
        <w:t>(B)</w:t>
      </w:r>
      <w:r>
        <w:tab/>
        <w:t>if a pension benefit in accordance with that section was payable to the person’s husband immediately before his death—the husband’s pension became payable on or after 1 July 1973; or</w:t>
      </w:r>
    </w:p>
    <w:p w:rsidR="008A31ED" w:rsidRDefault="008A31ED" w:rsidP="008A31ED">
      <w:pPr>
        <w:pStyle w:val="paragraphsub"/>
      </w:pPr>
      <w:r>
        <w:tab/>
        <w:t>(iii)</w:t>
      </w:r>
      <w:r>
        <w:tab/>
        <w:t>if the pension benefit became payable to the person as an eligible child:</w:t>
      </w:r>
    </w:p>
    <w:p w:rsidR="008A31ED" w:rsidRDefault="008A31ED" w:rsidP="008A31ED">
      <w:pPr>
        <w:pStyle w:val="paragraphsub-sub"/>
      </w:pPr>
      <w:r>
        <w:tab/>
        <w:t>(A)</w:t>
      </w:r>
      <w:r>
        <w:tab/>
        <w:t>if a pension benefit in accordance with that section was not payable to the member of the scheme in relation to whom that person is a child—the pension benefit became payable on or after 1 July 1973; or</w:t>
      </w:r>
    </w:p>
    <w:p w:rsidR="008A31ED" w:rsidRDefault="008A31ED" w:rsidP="008A31ED">
      <w:pPr>
        <w:pStyle w:val="paragraphsub-sub"/>
      </w:pPr>
      <w:r>
        <w:tab/>
        <w:t>(B)</w:t>
      </w:r>
      <w:r>
        <w:tab/>
        <w:t>if a pension benefit in accordance with that section was payable to the member of the scheme in relation to whom that person is a child—the member’s pension benefit became payable on or after 1 July 1973,</w:t>
      </w:r>
    </w:p>
    <w:p w:rsidR="008A31ED" w:rsidRDefault="008A31ED" w:rsidP="008A31ED">
      <w:pPr>
        <w:pStyle w:val="subsection2"/>
      </w:pPr>
      <w:r>
        <w:t xml:space="preserve">this section applies to the person. </w:t>
      </w:r>
    </w:p>
    <w:p w:rsidR="008A31ED" w:rsidRDefault="008A31ED" w:rsidP="008A31ED">
      <w:pPr>
        <w:pStyle w:val="subsection"/>
      </w:pPr>
      <w:r>
        <w:tab/>
        <w:t>(2)</w:t>
      </w:r>
      <w:r>
        <w:tab/>
        <w:t xml:space="preserve">For the purposes of the application of subparagraph (1)(b)(ii) to a person who is a widow for the purposes of the </w:t>
      </w:r>
      <w:r>
        <w:rPr>
          <w:i/>
        </w:rPr>
        <w:t>Defence Force Retirement and Death Benefits Act 1973</w:t>
      </w:r>
      <w:r>
        <w:rPr>
          <w:i/>
        </w:rPr>
        <w:noBreakHyphen/>
        <w:t xml:space="preserve">1974 </w:t>
      </w:r>
      <w:r>
        <w:t xml:space="preserve">by reason of her having been a dependent female, the member of the scheme with whom she had, immediately before his death, lived as his wife shall be deemed to have been her husband. </w:t>
      </w:r>
    </w:p>
    <w:p w:rsidR="008A31ED" w:rsidRDefault="008A31ED" w:rsidP="008A31ED">
      <w:pPr>
        <w:pStyle w:val="subsection"/>
      </w:pPr>
      <w:r>
        <w:tab/>
        <w:t>(3)</w:t>
      </w:r>
      <w:r>
        <w:tab/>
        <w:t xml:space="preserve">Subject to the succeeding provisions of this section, the increase provided for by section 16 in the annual amount of the pension benefit payable to a person immediately before 1 July 1974 is, in the case of a person to whom this section applies, an amount that bears to an amount determined in accordance with subsection (4) the same proportion as the number of months in the period that </w:t>
      </w:r>
      <w:r>
        <w:lastRenderedPageBreak/>
        <w:t xml:space="preserve">commenced on the day after the day on which the relevant retirement or death referred to in paragraph (1)(a) took place, or the period that commenced on the day on which the pension benefit referred to in subparagraph (1)(b)(i), clause (1)(b)(ii)(A) , clause (1)(b)(ii)(B), clause (1)(b)(iii)(A) or clause (1)(b)(iii)(B), as the case may be, became payable and ended on 30 June 1974 bears to 12. </w:t>
      </w:r>
    </w:p>
    <w:p w:rsidR="008A31ED" w:rsidRDefault="008A31ED" w:rsidP="008A31ED">
      <w:pPr>
        <w:pStyle w:val="subsection"/>
      </w:pPr>
      <w:r>
        <w:tab/>
        <w:t>(4)</w:t>
      </w:r>
      <w:r>
        <w:tab/>
        <w:t xml:space="preserve">The amount to be determined in accordance with this subsection in relation to the pension benefit payable to a person to whom this section applies is the prescribed percentage of 71.43 per centum of an amount equal to the annual amount of the pension benefit immediately before 1 July 1974 or, if the pension benefit is a child’s pension, so much of the annual amount of that benefit so payable as is referred to as additional pension in whichever of subsections 42(2), 42(3), 43(2) or 43(3) of the </w:t>
      </w:r>
      <w:r>
        <w:rPr>
          <w:i/>
        </w:rPr>
        <w:t>Defence Force Retirement and Death Benefits Act 1973</w:t>
      </w:r>
      <w:r>
        <w:rPr>
          <w:i/>
        </w:rPr>
        <w:noBreakHyphen/>
        <w:t>1974</w:t>
      </w:r>
      <w:r>
        <w:t xml:space="preserve"> as is applicable. </w:t>
      </w:r>
    </w:p>
    <w:p w:rsidR="008A31ED" w:rsidRDefault="008A31ED" w:rsidP="008A31ED">
      <w:pPr>
        <w:pStyle w:val="subsection"/>
      </w:pPr>
      <w:r>
        <w:tab/>
        <w:t>(5)</w:t>
      </w:r>
      <w:r>
        <w:tab/>
        <w:t xml:space="preserve">If the period referred to in subsection (3) is less than 1 month, that period shall be treated as 1 month. </w:t>
      </w:r>
    </w:p>
    <w:p w:rsidR="008A31ED" w:rsidRDefault="008A31ED" w:rsidP="008A31ED">
      <w:pPr>
        <w:pStyle w:val="subsection"/>
      </w:pPr>
      <w:r>
        <w:tab/>
        <w:t>(6)</w:t>
      </w:r>
      <w:r>
        <w:tab/>
        <w:t>If the period referred to in subsection (3) consists of a number of whole months and a part of a month:</w:t>
      </w:r>
    </w:p>
    <w:p w:rsidR="008A31ED" w:rsidRDefault="008A31ED" w:rsidP="008A31ED">
      <w:pPr>
        <w:pStyle w:val="paragraph"/>
      </w:pPr>
      <w:r>
        <w:tab/>
        <w:t>(a)</w:t>
      </w:r>
      <w:r>
        <w:tab/>
        <w:t>where the number of days in that part of a month is less than one</w:t>
      </w:r>
      <w:r>
        <w:noBreakHyphen/>
        <w:t>half of the number of days in that month—that part of a month shall be disregarded; and</w:t>
      </w:r>
    </w:p>
    <w:p w:rsidR="008A31ED" w:rsidRDefault="008A31ED" w:rsidP="008A31ED">
      <w:pPr>
        <w:pStyle w:val="paragraph"/>
      </w:pPr>
      <w:r>
        <w:tab/>
        <w:t>(b)</w:t>
      </w:r>
      <w:r>
        <w:tab/>
        <w:t>where the number of days in that part of a month is not less than one</w:t>
      </w:r>
      <w:r>
        <w:noBreakHyphen/>
        <w:t>half of the number of days in that month—that part of a month shall be treated as a whole month.</w:t>
      </w:r>
    </w:p>
    <w:p w:rsidR="008A31ED" w:rsidRDefault="008A31ED" w:rsidP="008A31ED">
      <w:pPr>
        <w:pStyle w:val="Heading5"/>
      </w:pPr>
      <w:bookmarkStart w:id="23" w:name="_Toc424899450"/>
      <w:r>
        <w:rPr>
          <w:rStyle w:val="CharSectno"/>
        </w:rPr>
        <w:t>19</w:t>
      </w:r>
      <w:r>
        <w:t xml:space="preserve">  Application of increase to suspended pension benefits</w:t>
      </w:r>
      <w:bookmarkEnd w:id="23"/>
    </w:p>
    <w:p w:rsidR="008A31ED" w:rsidRDefault="008A31ED" w:rsidP="008A31ED">
      <w:pPr>
        <w:pStyle w:val="subsection"/>
      </w:pPr>
      <w:r>
        <w:tab/>
      </w:r>
      <w:r>
        <w:tab/>
        <w:t xml:space="preserve">Where a pension benefit would, but for its suspension under section 35 of the </w:t>
      </w:r>
      <w:r>
        <w:rPr>
          <w:i/>
        </w:rPr>
        <w:t>Defence Force Retirement and Death Benefits Act 1973</w:t>
      </w:r>
      <w:r>
        <w:rPr>
          <w:i/>
        </w:rPr>
        <w:noBreakHyphen/>
        <w:t>1974</w:t>
      </w:r>
      <w:r>
        <w:t xml:space="preserve">, have been payable to a person immediately before 1 July 1973 or immediately before 1 July 1974, that pension benefit shall, for the purposes of this Part, be deemed to have been payable to that person immediately before whichever of those dates is relevant, but any increase in that pension benefit by virtue of this Part does not have effect in respect of any part of that period of suspension. </w:t>
      </w:r>
    </w:p>
    <w:p w:rsidR="008A31ED" w:rsidRDefault="008A31ED" w:rsidP="008A31ED">
      <w:pPr>
        <w:pStyle w:val="Heading5"/>
      </w:pPr>
      <w:bookmarkStart w:id="24" w:name="_Toc424899451"/>
      <w:r>
        <w:rPr>
          <w:rStyle w:val="CharSectno"/>
        </w:rPr>
        <w:lastRenderedPageBreak/>
        <w:t>20</w:t>
      </w:r>
      <w:r>
        <w:t xml:space="preserve">  Rate of invalidity pension benefit payable on re</w:t>
      </w:r>
      <w:r>
        <w:noBreakHyphen/>
        <w:t>classification</w:t>
      </w:r>
      <w:bookmarkEnd w:id="24"/>
    </w:p>
    <w:p w:rsidR="008A31ED" w:rsidRDefault="008A31ED" w:rsidP="008A31ED">
      <w:pPr>
        <w:pStyle w:val="subsection"/>
      </w:pPr>
      <w:r>
        <w:tab/>
      </w:r>
      <w:r>
        <w:tab/>
        <w:t xml:space="preserve">Where, on or after 1 July 1974, a person to whom pension benefit, being invalidity pay, is payable under the </w:t>
      </w:r>
      <w:r>
        <w:rPr>
          <w:i/>
        </w:rPr>
        <w:t>Defence Force Retirement and Death Benefits Act 1973</w:t>
      </w:r>
      <w:r>
        <w:rPr>
          <w:i/>
        </w:rPr>
        <w:noBreakHyphen/>
        <w:t>1974</w:t>
      </w:r>
      <w:r>
        <w:t xml:space="preserve"> and who is entitled to an increase in the rate of his pension benefit under this Part is re</w:t>
      </w:r>
      <w:r>
        <w:noBreakHyphen/>
        <w:t>classified under section 34 of that Act, the rate at which pension benefit is payable to him on and after the date from which the re</w:t>
      </w:r>
      <w:r>
        <w:noBreakHyphen/>
        <w:t>classification has effect is the rate at which pension benefit would have been payable to him on 1 July 1974 if he had been so re</w:t>
      </w:r>
      <w:r>
        <w:noBreakHyphen/>
        <w:t xml:space="preserve">classified with effect on and from 30 June 1974. </w:t>
      </w:r>
    </w:p>
    <w:p w:rsidR="008A31ED" w:rsidRDefault="008A31ED" w:rsidP="008A31ED">
      <w:pPr>
        <w:pStyle w:val="Heading5"/>
      </w:pPr>
      <w:bookmarkStart w:id="25" w:name="_Toc424899452"/>
      <w:r>
        <w:rPr>
          <w:rStyle w:val="CharSectno"/>
        </w:rPr>
        <w:t>21</w:t>
      </w:r>
      <w:r>
        <w:t xml:space="preserve">  Commutation of pension benefits on and after 1 July 1974</w:t>
      </w:r>
      <w:bookmarkEnd w:id="25"/>
    </w:p>
    <w:p w:rsidR="008A31ED" w:rsidRDefault="008A31ED" w:rsidP="008A31ED">
      <w:pPr>
        <w:pStyle w:val="subsection"/>
      </w:pPr>
      <w:r>
        <w:tab/>
        <w:t>(1)</w:t>
      </w:r>
      <w:r>
        <w:tab/>
        <w:t xml:space="preserve">Section 24 of the </w:t>
      </w:r>
      <w:r>
        <w:rPr>
          <w:i/>
        </w:rPr>
        <w:t>Defence Force Retirement and Death Benefits Act 1973</w:t>
      </w:r>
      <w:r>
        <w:rPr>
          <w:i/>
        </w:rPr>
        <w:noBreakHyphen/>
        <w:t xml:space="preserve">1974 </w:t>
      </w:r>
      <w:r>
        <w:t xml:space="preserve">does not authorize the commutation of a pension benefit in so far as the pension benefit has been increased by virtue of this Part. </w:t>
      </w:r>
    </w:p>
    <w:p w:rsidR="008A31ED" w:rsidRDefault="008A31ED" w:rsidP="008A31ED">
      <w:pPr>
        <w:pStyle w:val="subsection"/>
      </w:pPr>
      <w:r>
        <w:tab/>
        <w:t>(2)</w:t>
      </w:r>
      <w:r>
        <w:tab/>
        <w:t>Where, on or after 1 July 1974, a portion of the pension benefit of a person who is entitled to an increase in the rate of his pension benefit under this Part is commuted, then, as from the date on which that portion of his pension benefit is so commuted, the annual amount of his pension benefit shall be reduced to such amount as would, on 1 July 1974, have been the annual amount of his pension benefit if:</w:t>
      </w:r>
    </w:p>
    <w:p w:rsidR="008A31ED" w:rsidRDefault="008A31ED" w:rsidP="008A31ED">
      <w:pPr>
        <w:pStyle w:val="paragraph"/>
      </w:pPr>
      <w:r>
        <w:tab/>
        <w:t>(a)</w:t>
      </w:r>
      <w:r>
        <w:tab/>
        <w:t>he had commuted that portion of his pension benefit on 29 June 1974; and</w:t>
      </w:r>
    </w:p>
    <w:p w:rsidR="008A31ED" w:rsidRDefault="008A31ED" w:rsidP="008A31ED">
      <w:pPr>
        <w:pStyle w:val="paragraph"/>
      </w:pPr>
      <w:r>
        <w:tab/>
        <w:t>(b)</w:t>
      </w:r>
      <w:r>
        <w:tab/>
        <w:t xml:space="preserve">in a case where an anniversary of his birth occurs after 30 June 1974 and on or before the date of commutation—he had, on 29 June 1974, attained the age that is his age on the date of commutation. </w:t>
      </w:r>
    </w:p>
    <w:p w:rsidR="008A31ED" w:rsidRDefault="008A31ED" w:rsidP="008A31ED">
      <w:r>
        <w:t xml:space="preserve"> </w:t>
      </w:r>
    </w:p>
    <w:p w:rsidR="008A31ED" w:rsidRDefault="008A31ED" w:rsidP="008A31ED">
      <w:pPr>
        <w:pStyle w:val="Heading5"/>
      </w:pPr>
      <w:bookmarkStart w:id="26" w:name="_Toc424899453"/>
      <w:r>
        <w:rPr>
          <w:rStyle w:val="CharSectno"/>
        </w:rPr>
        <w:t>22</w:t>
      </w:r>
      <w:r>
        <w:t xml:space="preserve">  Date of effect of increases</w:t>
      </w:r>
      <w:bookmarkEnd w:id="26"/>
    </w:p>
    <w:p w:rsidR="008A31ED" w:rsidRDefault="008A31ED" w:rsidP="008A31ED">
      <w:pPr>
        <w:pStyle w:val="subsection"/>
      </w:pPr>
      <w:r>
        <w:tab/>
      </w:r>
      <w:r>
        <w:tab/>
        <w:t>An increase payable by virtue of this Part in the pension benefit payable to a person applies in relation to the instalment of pension benefit falling due on the pension pay</w:t>
      </w:r>
      <w:r>
        <w:noBreakHyphen/>
        <w:t xml:space="preserve">day that occurred on 4 July 1974, and in relation to all subsequent instalments. </w:t>
      </w:r>
    </w:p>
    <w:p w:rsidR="008C2ACF" w:rsidRDefault="008C2ACF" w:rsidP="008C2ACF">
      <w:pPr>
        <w:sectPr w:rsidR="008C2ACF" w:rsidSect="008C2ACF">
          <w:headerReference w:type="even" r:id="rId20"/>
          <w:headerReference w:type="default" r:id="rId21"/>
          <w:footerReference w:type="even" r:id="rId22"/>
          <w:footerReference w:type="default" r:id="rId23"/>
          <w:headerReference w:type="first" r:id="rId24"/>
          <w:type w:val="oddPage"/>
          <w:pgSz w:w="11906" w:h="16838" w:code="9"/>
          <w:pgMar w:top="2268" w:right="2410" w:bottom="3827" w:left="2410" w:header="567" w:footer="3118" w:gutter="0"/>
          <w:pgNumType w:start="1"/>
          <w:cols w:space="709"/>
          <w:titlePg/>
          <w:docGrid w:linePitch="299"/>
        </w:sectPr>
      </w:pPr>
    </w:p>
    <w:p w:rsidR="00334C1D" w:rsidRPr="00334C1D" w:rsidRDefault="00334C1D" w:rsidP="008C2ACF"/>
    <w:sectPr w:rsidR="00334C1D" w:rsidRPr="00334C1D" w:rsidSect="008C2ACF">
      <w:headerReference w:type="even" r:id="rId25"/>
      <w:headerReference w:type="default" r:id="rId26"/>
      <w:footerReference w:type="even" r:id="rId27"/>
      <w:footerReference w:type="default" r:id="rId28"/>
      <w:type w:val="continuous"/>
      <w:pgSz w:w="11906" w:h="16838" w:code="9"/>
      <w:pgMar w:top="2268" w:right="2410" w:bottom="3827" w:left="2410" w:header="567" w:footer="3118" w:gutter="0"/>
      <w:pgNumType w:start="1"/>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18F" w:rsidRDefault="0059018F" w:rsidP="00CA01CE">
      <w:r>
        <w:separator/>
      </w:r>
    </w:p>
  </w:endnote>
  <w:endnote w:type="continuationSeparator" w:id="0">
    <w:p w:rsidR="0059018F" w:rsidRDefault="0059018F" w:rsidP="00CA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2A5BF5" w:rsidRDefault="00334C1D">
    <w:pPr>
      <w:pBdr>
        <w:top w:val="single" w:sz="6" w:space="1" w:color="auto"/>
      </w:pBdr>
      <w:rPr>
        <w:sz w:val="18"/>
        <w:szCs w:val="18"/>
      </w:rPr>
    </w:pPr>
  </w:p>
  <w:p w:rsidR="00334C1D" w:rsidRPr="002A5BF5" w:rsidRDefault="001F4B2D">
    <w:pPr>
      <w:rPr>
        <w:i/>
        <w:szCs w:val="22"/>
      </w:rPr>
    </w:pPr>
    <w:r w:rsidRPr="002A5BF5">
      <w:rPr>
        <w:i/>
      </w:rPr>
      <w:fldChar w:fldCharType="begin"/>
    </w:r>
    <w:r w:rsidR="00334C1D" w:rsidRPr="002A5BF5">
      <w:rPr>
        <w:i/>
      </w:rPr>
      <w:instrText xml:space="preserve">PAGE  </w:instrText>
    </w:r>
    <w:r w:rsidRPr="002A5BF5">
      <w:rPr>
        <w:i/>
      </w:rPr>
      <w:fldChar w:fldCharType="separate"/>
    </w:r>
    <w:r w:rsidR="005D220C">
      <w:rPr>
        <w:i/>
        <w:noProof/>
      </w:rPr>
      <w:t>2</w:t>
    </w:r>
    <w:r w:rsidRPr="002A5BF5">
      <w:rPr>
        <w:i/>
      </w:rPr>
      <w:fldChar w:fldCharType="end"/>
    </w:r>
    <w:r w:rsidR="00334C1D">
      <w:rPr>
        <w:i/>
      </w:rPr>
      <w:t xml:space="preserve">            </w:t>
    </w:r>
    <w:r w:rsidRPr="002A5BF5">
      <w:rPr>
        <w:i/>
        <w:szCs w:val="22"/>
      </w:rPr>
      <w:fldChar w:fldCharType="begin"/>
    </w:r>
    <w:r w:rsidR="00334C1D" w:rsidRPr="002A5BF5">
      <w:rPr>
        <w:i/>
        <w:szCs w:val="22"/>
      </w:rPr>
      <w:instrText xml:space="preserve"> STYLEREF ShortT \* </w:instrText>
    </w:r>
    <w:r w:rsidR="00334C1D">
      <w:rPr>
        <w:i/>
        <w:szCs w:val="22"/>
      </w:rPr>
      <w:instrText>CHAR</w:instrText>
    </w:r>
    <w:r w:rsidR="00334C1D" w:rsidRPr="002A5BF5">
      <w:rPr>
        <w:i/>
        <w:szCs w:val="22"/>
      </w:rPr>
      <w:instrText xml:space="preserve">FORMAT </w:instrText>
    </w:r>
    <w:r w:rsidRPr="002A5BF5">
      <w:rPr>
        <w:i/>
        <w:szCs w:val="22"/>
      </w:rPr>
      <w:fldChar w:fldCharType="separate"/>
    </w:r>
    <w:r w:rsidR="005D220C">
      <w:rPr>
        <w:i/>
        <w:noProof/>
        <w:szCs w:val="22"/>
      </w:rPr>
      <w:t>Asian Development Bank (Additional Subscription) Act 1972</w:t>
    </w:r>
    <w:r w:rsidRPr="002A5BF5">
      <w:rPr>
        <w:i/>
        <w:szCs w:val="22"/>
      </w:rPr>
      <w:fldChar w:fldCharType="end"/>
    </w:r>
    <w:r w:rsidR="00334C1D">
      <w:rPr>
        <w:i/>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8C2ACF">
    <w:pPr>
      <w:pBdr>
        <w:top w:val="single" w:sz="6" w:space="1" w:color="auto"/>
      </w:pBdr>
      <w:spacing w:before="120"/>
      <w:rPr>
        <w:sz w:val="18"/>
      </w:rPr>
    </w:pPr>
  </w:p>
  <w:p w:rsidR="00A87342" w:rsidRPr="008C2ACF" w:rsidRDefault="001F4B2D" w:rsidP="008C2ACF">
    <w:pPr>
      <w:rPr>
        <w:i/>
        <w:sz w:val="18"/>
      </w:rPr>
    </w:pPr>
    <w:r>
      <w:rPr>
        <w:i/>
        <w:sz w:val="18"/>
      </w:rPr>
      <w:fldChar w:fldCharType="begin"/>
    </w:r>
    <w:r w:rsidR="008C2ACF">
      <w:rPr>
        <w:i/>
        <w:sz w:val="18"/>
      </w:rPr>
      <w:instrText xml:space="preserve"> PAGE  \* roman </w:instrText>
    </w:r>
    <w:r>
      <w:rPr>
        <w:i/>
        <w:sz w:val="18"/>
      </w:rPr>
      <w:fldChar w:fldCharType="separate"/>
    </w:r>
    <w:r w:rsidR="006D1583">
      <w:rPr>
        <w:i/>
        <w:noProof/>
        <w:sz w:val="18"/>
      </w:rPr>
      <w:t>i</w:t>
    </w:r>
    <w:r>
      <w:rPr>
        <w:i/>
        <w:sz w:val="18"/>
      </w:rPr>
      <w:fldChar w:fldCharType="end"/>
    </w:r>
    <w:r w:rsidR="008C2ACF" w:rsidRPr="00ED79B6">
      <w:rPr>
        <w:i/>
        <w:sz w:val="18"/>
      </w:rPr>
      <w:t xml:space="preserve">       </w:t>
    </w:r>
    <w:r>
      <w:rPr>
        <w:i/>
        <w:sz w:val="18"/>
      </w:rPr>
      <w:fldChar w:fldCharType="begin"/>
    </w:r>
    <w:r w:rsidR="008C2ACF">
      <w:rPr>
        <w:i/>
        <w:sz w:val="18"/>
      </w:rPr>
      <w:instrText xml:space="preserve"> STYLEREF  ShortT </w:instrText>
    </w:r>
    <w:r>
      <w:rPr>
        <w:i/>
        <w:sz w:val="18"/>
      </w:rPr>
      <w:fldChar w:fldCharType="separate"/>
    </w:r>
    <w:r w:rsidR="006D1583">
      <w:rPr>
        <w:i/>
        <w:noProof/>
        <w:sz w:val="18"/>
      </w:rPr>
      <w:t>Defence Force Retirement and Death Benefits (Pension Increases) Act 1974</w:t>
    </w:r>
    <w:r>
      <w:rPr>
        <w:i/>
        <w:sz w:val="18"/>
      </w:rPr>
      <w:fldChar w:fldCharType="end"/>
    </w:r>
    <w:r w:rsidR="008C2ACF" w:rsidRPr="00ED79B6">
      <w:rPr>
        <w:i/>
        <w:sz w:val="18"/>
      </w:rPr>
      <w:t xml:space="preserve">       </w:t>
    </w:r>
    <w:r>
      <w:rPr>
        <w:i/>
        <w:sz w:val="18"/>
      </w:rPr>
      <w:fldChar w:fldCharType="begin"/>
    </w:r>
    <w:r w:rsidR="008C2ACF">
      <w:rPr>
        <w:i/>
        <w:sz w:val="18"/>
      </w:rPr>
      <w:instrText xml:space="preserve"> STYLEREF  Actno </w:instrText>
    </w:r>
    <w:r>
      <w:rPr>
        <w:i/>
        <w:sz w:val="18"/>
      </w:rPr>
      <w:fldChar w:fldCharType="separate"/>
    </w:r>
    <w:r w:rsidR="006D1583">
      <w:rPr>
        <w:i/>
        <w:noProof/>
        <w:sz w:val="18"/>
      </w:rPr>
      <w:t>No. 105, 1974</w:t>
    </w:r>
    <w:r>
      <w:rPr>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342" w:rsidRDefault="00A87342">
    <w:pPr>
      <w:pBdr>
        <w:top w:val="single" w:sz="6" w:space="1" w:color="auto"/>
      </w:pBdr>
      <w:rPr>
        <w:sz w:val="18"/>
      </w:rPr>
    </w:pPr>
  </w:p>
  <w:p w:rsidR="00A87342" w:rsidRDefault="001F4B2D">
    <w:pPr>
      <w:jc w:val="right"/>
      <w:rPr>
        <w:i/>
        <w:sz w:val="18"/>
      </w:rPr>
    </w:pPr>
    <w:r>
      <w:rPr>
        <w:i/>
        <w:sz w:val="18"/>
      </w:rPr>
      <w:fldChar w:fldCharType="begin"/>
    </w:r>
    <w:r w:rsidR="00A87342">
      <w:rPr>
        <w:i/>
        <w:sz w:val="18"/>
      </w:rPr>
      <w:instrText xml:space="preserve"> STYLEREF ShortT </w:instrText>
    </w:r>
    <w:r>
      <w:rPr>
        <w:i/>
        <w:sz w:val="18"/>
      </w:rPr>
      <w:fldChar w:fldCharType="separate"/>
    </w:r>
    <w:r w:rsidR="006D1583">
      <w:rPr>
        <w:i/>
        <w:noProof/>
        <w:sz w:val="18"/>
      </w:rPr>
      <w:t>Defence Force Retirement and Death Benefits (Pension Increases) Act 1974</w:t>
    </w:r>
    <w:r>
      <w:rPr>
        <w:i/>
        <w:sz w:val="18"/>
      </w:rPr>
      <w:fldChar w:fldCharType="end"/>
    </w:r>
    <w:r w:rsidR="00A87342">
      <w:rPr>
        <w:i/>
        <w:sz w:val="18"/>
      </w:rPr>
      <w:t xml:space="preserve">       </w:t>
    </w:r>
    <w:r>
      <w:rPr>
        <w:i/>
        <w:sz w:val="18"/>
      </w:rPr>
      <w:fldChar w:fldCharType="begin"/>
    </w:r>
    <w:r w:rsidR="00A87342">
      <w:rPr>
        <w:i/>
        <w:sz w:val="18"/>
      </w:rPr>
      <w:instrText xml:space="preserve"> STYLEREF Actno </w:instrText>
    </w:r>
    <w:r>
      <w:rPr>
        <w:i/>
        <w:sz w:val="18"/>
      </w:rPr>
      <w:fldChar w:fldCharType="separate"/>
    </w:r>
    <w:r w:rsidR="006D1583">
      <w:rPr>
        <w:i/>
        <w:noProof/>
        <w:sz w:val="18"/>
      </w:rPr>
      <w:t>No. 105, 1974</w:t>
    </w:r>
    <w:r>
      <w:rPr>
        <w:i/>
        <w:sz w:val="18"/>
      </w:rPr>
      <w:fldChar w:fldCharType="end"/>
    </w:r>
    <w:r w:rsidR="00A87342">
      <w:rPr>
        <w:i/>
        <w:sz w:val="18"/>
      </w:rPr>
      <w:t xml:space="preserve">       </w:t>
    </w:r>
    <w:r>
      <w:rPr>
        <w:i/>
        <w:sz w:val="18"/>
      </w:rPr>
      <w:fldChar w:fldCharType="begin"/>
    </w:r>
    <w:r w:rsidR="00A87342">
      <w:rPr>
        <w:i/>
        <w:sz w:val="18"/>
      </w:rPr>
      <w:instrText xml:space="preserve"> PAGE </w:instrText>
    </w:r>
    <w:r>
      <w:rPr>
        <w:i/>
        <w:sz w:val="18"/>
      </w:rPr>
      <w:fldChar w:fldCharType="separate"/>
    </w:r>
    <w:r w:rsidR="006D1583">
      <w:rPr>
        <w:i/>
        <w:noProof/>
        <w:sz w:val="18"/>
      </w:rPr>
      <w:t>1</w:t>
    </w:r>
    <w:r>
      <w:rPr>
        <w:i/>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jc w:val="right"/>
      <w:rPr>
        <w:webHidden/>
        <w:sz w:val="18"/>
        <w:szCs w:val="18"/>
      </w:rPr>
    </w:pPr>
  </w:p>
  <w:p w:rsidR="00334C1D" w:rsidRPr="005767B8" w:rsidRDefault="001F4B2D" w:rsidP="00196180">
    <w:pPr>
      <w:rPr>
        <w:i/>
        <w:webHidden/>
        <w:sz w:val="18"/>
        <w:szCs w:val="18"/>
      </w:rPr>
    </w:pP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6D1583">
      <w:rPr>
        <w:i/>
        <w:noProof/>
        <w:webHidden/>
        <w:sz w:val="18"/>
        <w:szCs w:val="18"/>
      </w:rPr>
      <w:t>2</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ShortT </w:instrText>
    </w:r>
    <w:r w:rsidRPr="00ED79B6">
      <w:rPr>
        <w:i/>
        <w:webHidden/>
        <w:sz w:val="18"/>
        <w:szCs w:val="18"/>
      </w:rPr>
      <w:fldChar w:fldCharType="separate"/>
    </w:r>
    <w:r w:rsidR="006D1583">
      <w:rPr>
        <w:i/>
        <w:noProof/>
        <w:webHidden/>
        <w:sz w:val="18"/>
        <w:szCs w:val="18"/>
      </w:rPr>
      <w:t>Defence Force Retirement and Death Benefits (Pension Increases) Act 1974</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Actno </w:instrText>
    </w:r>
    <w:r w:rsidRPr="00ED79B6">
      <w:rPr>
        <w:i/>
        <w:webHidden/>
        <w:sz w:val="18"/>
        <w:szCs w:val="18"/>
      </w:rPr>
      <w:fldChar w:fldCharType="separate"/>
    </w:r>
    <w:r w:rsidR="006D1583">
      <w:rPr>
        <w:i/>
        <w:noProof/>
        <w:webHidden/>
        <w:sz w:val="18"/>
        <w:szCs w:val="18"/>
      </w:rPr>
      <w:t>No. 105, 1974</w:t>
    </w:r>
    <w:r w:rsidRPr="00ED79B6">
      <w:rPr>
        <w:i/>
        <w:webHidden/>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rPr>
        <w:webHidden/>
        <w:sz w:val="18"/>
        <w:szCs w:val="18"/>
      </w:rPr>
    </w:pPr>
  </w:p>
  <w:p w:rsidR="00334C1D" w:rsidRPr="00ED79B6" w:rsidRDefault="001F4B2D" w:rsidP="00196180">
    <w:pPr>
      <w:jc w:val="right"/>
      <w:rPr>
        <w:i/>
        <w:webHidden/>
        <w:sz w:val="18"/>
        <w:szCs w:val="18"/>
      </w:rPr>
    </w:pPr>
    <w:r>
      <w:rPr>
        <w:i/>
        <w:webHidden/>
        <w:sz w:val="18"/>
        <w:szCs w:val="18"/>
      </w:rPr>
      <w:fldChar w:fldCharType="begin"/>
    </w:r>
    <w:r w:rsidR="00334C1D">
      <w:rPr>
        <w:i/>
        <w:webHidden/>
        <w:sz w:val="18"/>
        <w:szCs w:val="18"/>
      </w:rPr>
      <w:instrText xml:space="preserve"> STYLEREF  ShortT </w:instrText>
    </w:r>
    <w:r>
      <w:rPr>
        <w:i/>
        <w:webHidden/>
        <w:sz w:val="18"/>
        <w:szCs w:val="18"/>
      </w:rPr>
      <w:fldChar w:fldCharType="separate"/>
    </w:r>
    <w:r w:rsidR="006D1583">
      <w:rPr>
        <w:i/>
        <w:noProof/>
        <w:webHidden/>
        <w:sz w:val="18"/>
        <w:szCs w:val="18"/>
      </w:rPr>
      <w:t>Defence Force Retirement and Death Benefits (Pension Increases) Act 1974</w:t>
    </w:r>
    <w:r>
      <w:rPr>
        <w:i/>
        <w:webHidden/>
        <w:sz w:val="18"/>
        <w:szCs w:val="18"/>
      </w:rPr>
      <w:fldChar w:fldCharType="end"/>
    </w:r>
    <w:r w:rsidR="00334C1D" w:rsidRPr="00ED79B6">
      <w:rPr>
        <w:i/>
        <w:webHidden/>
        <w:sz w:val="18"/>
        <w:szCs w:val="18"/>
      </w:rPr>
      <w:t xml:space="preserve">       </w:t>
    </w:r>
    <w:r>
      <w:rPr>
        <w:i/>
        <w:webHidden/>
        <w:sz w:val="18"/>
        <w:szCs w:val="18"/>
      </w:rPr>
      <w:fldChar w:fldCharType="begin"/>
    </w:r>
    <w:r w:rsidR="00334C1D">
      <w:rPr>
        <w:i/>
        <w:webHidden/>
        <w:sz w:val="18"/>
        <w:szCs w:val="18"/>
      </w:rPr>
      <w:instrText xml:space="preserve"> STYLEREF  Actno </w:instrText>
    </w:r>
    <w:r>
      <w:rPr>
        <w:i/>
        <w:webHidden/>
        <w:sz w:val="18"/>
        <w:szCs w:val="18"/>
      </w:rPr>
      <w:fldChar w:fldCharType="separate"/>
    </w:r>
    <w:r w:rsidR="006D1583">
      <w:rPr>
        <w:i/>
        <w:noProof/>
        <w:webHidden/>
        <w:sz w:val="18"/>
        <w:szCs w:val="18"/>
      </w:rPr>
      <w:t>No. 105, 1974</w:t>
    </w:r>
    <w:r>
      <w:rPr>
        <w:i/>
        <w:webHidden/>
        <w:sz w:val="18"/>
        <w:szCs w:val="18"/>
      </w:rPr>
      <w:fldChar w:fldCharType="end"/>
    </w:r>
    <w:r w:rsidR="00334C1D">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6D1583">
      <w:rPr>
        <w:i/>
        <w:noProof/>
        <w:webHidden/>
        <w:sz w:val="18"/>
        <w:szCs w:val="18"/>
      </w:rPr>
      <w:t>13</w:t>
    </w:r>
    <w:r w:rsidRPr="00ED79B6">
      <w:rPr>
        <w:i/>
        <w:webHidden/>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jc w:val="right"/>
      <w:rPr>
        <w:webHidden/>
        <w:sz w:val="18"/>
        <w:szCs w:val="18"/>
      </w:rPr>
    </w:pPr>
  </w:p>
  <w:p w:rsidR="008C2ACF" w:rsidRPr="005767B8" w:rsidRDefault="001F4B2D" w:rsidP="00196180">
    <w:pPr>
      <w:rPr>
        <w:i/>
        <w:webHidden/>
        <w:sz w:val="18"/>
        <w:szCs w:val="18"/>
      </w:rPr>
    </w:pP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ShortT </w:instrText>
    </w:r>
    <w:r w:rsidRPr="00ED79B6">
      <w:rPr>
        <w:i/>
        <w:webHidden/>
        <w:sz w:val="18"/>
        <w:szCs w:val="18"/>
      </w:rPr>
      <w:fldChar w:fldCharType="separate"/>
    </w:r>
    <w:r w:rsidR="008C2ACF">
      <w:rPr>
        <w:i/>
        <w:noProof/>
        <w:webHidden/>
        <w:sz w:val="18"/>
        <w:szCs w:val="18"/>
      </w:rPr>
      <w:t>Asian Development Bank (Additional Subscription) Act 1972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Actno </w:instrText>
    </w:r>
    <w:r w:rsidRPr="00ED79B6">
      <w:rPr>
        <w:i/>
        <w:webHidden/>
        <w:sz w:val="18"/>
        <w:szCs w:val="18"/>
      </w:rPr>
      <w:fldChar w:fldCharType="separate"/>
    </w:r>
    <w:r w:rsidR="008C2ACF">
      <w:rPr>
        <w:i/>
        <w:noProof/>
        <w:webHidden/>
        <w:sz w:val="18"/>
        <w:szCs w:val="18"/>
      </w:rPr>
      <w:t>No. 60, 1972</w:t>
    </w:r>
    <w:r w:rsidRPr="00ED79B6">
      <w:rPr>
        <w:i/>
        <w:webHidden/>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rPr>
        <w:webHidden/>
        <w:sz w:val="18"/>
        <w:szCs w:val="18"/>
      </w:rPr>
    </w:pPr>
  </w:p>
  <w:p w:rsidR="008C2ACF" w:rsidRPr="00ED79B6" w:rsidRDefault="001F4B2D" w:rsidP="00196180">
    <w:pPr>
      <w:jc w:val="right"/>
      <w:rPr>
        <w:i/>
        <w:webHidden/>
        <w:sz w:val="18"/>
        <w:szCs w:val="18"/>
      </w:rPr>
    </w:pPr>
    <w:r>
      <w:rPr>
        <w:i/>
        <w:webHidden/>
        <w:sz w:val="18"/>
        <w:szCs w:val="18"/>
      </w:rPr>
      <w:fldChar w:fldCharType="begin"/>
    </w:r>
    <w:r w:rsidR="008C2ACF">
      <w:rPr>
        <w:i/>
        <w:webHidden/>
        <w:sz w:val="18"/>
        <w:szCs w:val="18"/>
      </w:rPr>
      <w:instrText xml:space="preserve"> STYLEREF  ShortT </w:instrText>
    </w:r>
    <w:r>
      <w:rPr>
        <w:i/>
        <w:webHidden/>
        <w:sz w:val="18"/>
        <w:szCs w:val="18"/>
      </w:rPr>
      <w:fldChar w:fldCharType="separate"/>
    </w:r>
    <w:r w:rsidR="008C2ACF">
      <w:rPr>
        <w:i/>
        <w:noProof/>
        <w:webHidden/>
        <w:sz w:val="18"/>
        <w:szCs w:val="18"/>
      </w:rPr>
      <w:t>Asian Development Bank (Additional Subscription) Act 1972</w:t>
    </w:r>
    <w:r>
      <w:rPr>
        <w:i/>
        <w:webHidden/>
        <w:sz w:val="18"/>
        <w:szCs w:val="18"/>
      </w:rPr>
      <w:fldChar w:fldCharType="end"/>
    </w:r>
    <w:r w:rsidR="008C2ACF" w:rsidRPr="00ED79B6">
      <w:rPr>
        <w:i/>
        <w:webHidden/>
        <w:sz w:val="18"/>
        <w:szCs w:val="18"/>
      </w:rPr>
      <w:t xml:space="preserve">       </w:t>
    </w:r>
    <w:r>
      <w:rPr>
        <w:i/>
        <w:webHidden/>
        <w:sz w:val="18"/>
        <w:szCs w:val="18"/>
      </w:rPr>
      <w:fldChar w:fldCharType="begin"/>
    </w:r>
    <w:r w:rsidR="008C2ACF">
      <w:rPr>
        <w:i/>
        <w:webHidden/>
        <w:sz w:val="18"/>
        <w:szCs w:val="18"/>
      </w:rPr>
      <w:instrText xml:space="preserve"> STYLEREF  Actno </w:instrText>
    </w:r>
    <w:r>
      <w:rPr>
        <w:i/>
        <w:webHidden/>
        <w:sz w:val="18"/>
        <w:szCs w:val="18"/>
      </w:rPr>
      <w:fldChar w:fldCharType="separate"/>
    </w:r>
    <w:r w:rsidR="008C2ACF">
      <w:rPr>
        <w:i/>
        <w:noProof/>
        <w:webHidden/>
        <w:sz w:val="18"/>
        <w:szCs w:val="18"/>
      </w:rPr>
      <w:t>No. 60, 1972</w:t>
    </w:r>
    <w:r>
      <w:rPr>
        <w:i/>
        <w:webHidden/>
        <w:sz w:val="18"/>
        <w:szCs w:val="18"/>
      </w:rPr>
      <w:fldChar w:fldCharType="end"/>
    </w:r>
    <w:r w:rsidR="008C2ACF">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41</w:t>
    </w:r>
    <w:r w:rsidRPr="00ED79B6">
      <w:rPr>
        <w:i/>
        <w:webHidde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18F" w:rsidRDefault="0059018F" w:rsidP="00CA01CE">
      <w:r>
        <w:separator/>
      </w:r>
    </w:p>
  </w:footnote>
  <w:footnote w:type="continuationSeparator" w:id="0">
    <w:p w:rsidR="0059018F" w:rsidRDefault="0059018F" w:rsidP="00CA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8C6D62" w:rsidRDefault="00334C1D">
    <w:pPr>
      <w:keepNext/>
      <w:rPr>
        <w:sz w:val="20"/>
        <w:szCs w:val="20"/>
      </w:rPr>
    </w:pPr>
  </w:p>
  <w:p w:rsidR="00334C1D" w:rsidRPr="008C6D62" w:rsidRDefault="00334C1D">
    <w:pPr>
      <w:keepNext/>
      <w:rPr>
        <w:sz w:val="20"/>
        <w:szCs w:val="20"/>
      </w:rPr>
    </w:pPr>
  </w:p>
  <w:p w:rsidR="00334C1D" w:rsidRPr="008C6D62" w:rsidRDefault="00334C1D">
    <w:pPr>
      <w:keepNext/>
      <w:rPr>
        <w:sz w:val="20"/>
        <w:szCs w:val="20"/>
      </w:rPr>
    </w:pPr>
  </w:p>
  <w:p w:rsidR="00334C1D" w:rsidRPr="00E140E4" w:rsidRDefault="00334C1D">
    <w:pPr>
      <w:keepNext/>
    </w:pPr>
  </w:p>
  <w:p w:rsidR="00334C1D" w:rsidRPr="00E140E4" w:rsidRDefault="00334C1D">
    <w:pPr>
      <w:keepNext/>
    </w:pPr>
  </w:p>
  <w:p w:rsidR="00334C1D" w:rsidRPr="008C6D62" w:rsidRDefault="00334C1D">
    <w:pPr>
      <w:pStyle w:val="Header"/>
      <w:pBdr>
        <w:top w:val="single" w:sz="6"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342" w:rsidRDefault="00A87342">
    <w:pPr>
      <w:pStyle w:val="headerpartodd0"/>
      <w:jc w:val="right"/>
    </w:pPr>
  </w:p>
  <w:p w:rsidR="00A87342" w:rsidRDefault="00A87342">
    <w:pPr>
      <w:pStyle w:val="headerpartodd0"/>
      <w:jc w:val="right"/>
      <w:rPr>
        <w:i/>
      </w:rPr>
    </w:pPr>
  </w:p>
  <w:p w:rsidR="00A87342" w:rsidRDefault="00A87342">
    <w:pPr>
      <w:pStyle w:val="headerpartodd0"/>
      <w:jc w:val="right"/>
    </w:pPr>
  </w:p>
  <w:p w:rsidR="00A87342" w:rsidRDefault="00A87342">
    <w:pPr>
      <w:pStyle w:val="headerpartodd0"/>
      <w:jc w:val="right"/>
      <w:rPr>
        <w:sz w:val="24"/>
      </w:rPr>
    </w:pPr>
  </w:p>
  <w:p w:rsidR="00A87342" w:rsidRDefault="00A87342">
    <w:pPr>
      <w:pStyle w:val="headerpartodd0"/>
      <w:pBdr>
        <w:bottom w:val="single" w:sz="6" w:space="1" w:color="auto"/>
      </w:pBdr>
      <w:jc w:val="right"/>
      <w:rPr>
        <w:i/>
        <w:sz w:val="24"/>
      </w:rPr>
    </w:pPr>
  </w:p>
  <w:p w:rsidR="00A87342" w:rsidRDefault="00A873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A11" w:rsidRPr="00ED79B6" w:rsidRDefault="00D67A11" w:rsidP="00D67A11">
    <w:pPr>
      <w:pBdr>
        <w:bottom w:val="single" w:sz="12" w:space="1" w:color="auto"/>
      </w:pBdr>
      <w:spacing w:before="100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342" w:rsidRDefault="00A8734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Default="001F4B2D"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CharChapNo </w:instrText>
    </w:r>
    <w:r w:rsidRPr="007A1328">
      <w:rPr>
        <w:b/>
        <w:webHidden/>
        <w:sz w:val="20"/>
        <w:szCs w:val="20"/>
      </w:rPr>
      <w:fldChar w:fldCharType="end"/>
    </w:r>
    <w:r w:rsidR="000E0249" w:rsidRPr="007A1328">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CharChapText </w:instrText>
    </w:r>
    <w:r>
      <w:rPr>
        <w:webHidden/>
        <w:sz w:val="20"/>
        <w:szCs w:val="20"/>
      </w:rPr>
      <w:fldChar w:fldCharType="end"/>
    </w:r>
  </w:p>
  <w:p w:rsidR="000E0249" w:rsidRDefault="001F4B2D"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CharPartNo </w:instrText>
    </w:r>
    <w:r w:rsidRPr="007A1328">
      <w:rPr>
        <w:b/>
        <w:webHidden/>
        <w:sz w:val="20"/>
        <w:szCs w:val="20"/>
      </w:rPr>
      <w:fldChar w:fldCharType="separate"/>
    </w:r>
    <w:r w:rsidR="006D1583">
      <w:rPr>
        <w:b/>
        <w:noProof/>
        <w:webHidden/>
        <w:sz w:val="20"/>
        <w:szCs w:val="20"/>
      </w:rPr>
      <w:t>Part I</w:t>
    </w:r>
    <w:r w:rsidRPr="007A1328">
      <w:rPr>
        <w:b/>
        <w:webHidden/>
        <w:sz w:val="20"/>
        <w:szCs w:val="20"/>
      </w:rPr>
      <w:fldChar w:fldCharType="end"/>
    </w:r>
    <w:r w:rsidR="000E0249" w:rsidRPr="007A1328">
      <w:rPr>
        <w:b/>
        <w:webHidden/>
        <w:sz w:val="20"/>
        <w:szCs w:val="20"/>
      </w:rPr>
      <w:t xml:space="preserve"> </w:t>
    </w:r>
    <w:r w:rsidR="000E0249" w:rsidRPr="007A1328">
      <w:rPr>
        <w:webHidden/>
        <w:sz w:val="20"/>
        <w:szCs w:val="20"/>
      </w:rPr>
      <w:t xml:space="preserve"> </w:t>
    </w:r>
    <w:r>
      <w:rPr>
        <w:webHidden/>
        <w:sz w:val="20"/>
        <w:szCs w:val="20"/>
      </w:rPr>
      <w:fldChar w:fldCharType="begin"/>
    </w:r>
    <w:r w:rsidR="000E0249">
      <w:rPr>
        <w:webHidden/>
        <w:sz w:val="20"/>
        <w:szCs w:val="20"/>
      </w:rPr>
      <w:instrText xml:space="preserve"> STYLEREF CharPartText </w:instrText>
    </w:r>
    <w:r>
      <w:rPr>
        <w:webHidden/>
        <w:sz w:val="20"/>
        <w:szCs w:val="20"/>
      </w:rPr>
      <w:fldChar w:fldCharType="separate"/>
    </w:r>
    <w:r w:rsidR="006D1583">
      <w:rPr>
        <w:noProof/>
        <w:webHidden/>
        <w:sz w:val="20"/>
        <w:szCs w:val="20"/>
      </w:rPr>
      <w:t>Preliminary</w:t>
    </w:r>
    <w:r>
      <w:rPr>
        <w:webHidden/>
        <w:sz w:val="20"/>
        <w:szCs w:val="20"/>
      </w:rPr>
      <w:fldChar w:fldCharType="end"/>
    </w:r>
  </w:p>
  <w:p w:rsidR="000E0249" w:rsidRPr="007A1328" w:rsidRDefault="001F4B2D" w:rsidP="000E0249">
    <w:pPr>
      <w:rPr>
        <w:webHidden/>
        <w:sz w:val="20"/>
        <w:szCs w:val="20"/>
      </w:rPr>
    </w:pPr>
    <w:r>
      <w:rPr>
        <w:b/>
        <w:webHidden/>
        <w:sz w:val="20"/>
        <w:szCs w:val="20"/>
      </w:rPr>
      <w:fldChar w:fldCharType="begin"/>
    </w:r>
    <w:r w:rsidR="000E0249">
      <w:rPr>
        <w:b/>
        <w:webHidden/>
        <w:sz w:val="20"/>
        <w:szCs w:val="20"/>
      </w:rPr>
      <w:instrText xml:space="preserve"> STYLEREF CharDivNo </w:instrText>
    </w:r>
    <w:r>
      <w:rPr>
        <w:b/>
        <w:webHidden/>
        <w:sz w:val="20"/>
        <w:szCs w:val="20"/>
      </w:rPr>
      <w:fldChar w:fldCharType="end"/>
    </w:r>
    <w:r w:rsidR="000E0249">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CharDivText </w:instrText>
    </w:r>
    <w:r>
      <w:rPr>
        <w:webHidden/>
        <w:sz w:val="20"/>
        <w:szCs w:val="20"/>
      </w:rPr>
      <w:fldChar w:fldCharType="end"/>
    </w:r>
  </w:p>
  <w:p w:rsidR="000E0249" w:rsidRDefault="000E0249" w:rsidP="000E0249">
    <w:pPr>
      <w:pBdr>
        <w:bottom w:val="single" w:sz="6" w:space="1" w:color="auto"/>
      </w:pBdr>
      <w:rPr>
        <w:webHidden/>
      </w:rPr>
    </w:pPr>
  </w:p>
  <w:p w:rsidR="00334C1D" w:rsidRPr="000E0249" w:rsidRDefault="000E0249" w:rsidP="000E0249">
    <w:pPr>
      <w:pBdr>
        <w:bottom w:val="single" w:sz="6" w:space="1" w:color="auto"/>
      </w:pBdr>
      <w:rPr>
        <w:webHidden/>
        <w:sz w:val="24"/>
      </w:rPr>
    </w:pPr>
    <w:r w:rsidRPr="007A1328">
      <w:rPr>
        <w:webHidden/>
        <w:sz w:val="24"/>
      </w:rPr>
      <w:t xml:space="preserve">Section </w:t>
    </w:r>
    <w:r w:rsidR="001F4B2D" w:rsidRPr="007A1328">
      <w:rPr>
        <w:webHidden/>
        <w:sz w:val="24"/>
      </w:rPr>
      <w:fldChar w:fldCharType="begin"/>
    </w:r>
    <w:r w:rsidRPr="007A1328">
      <w:rPr>
        <w:webHidden/>
        <w:sz w:val="24"/>
      </w:rPr>
      <w:instrText xml:space="preserve"> STYLEREF CharSectno </w:instrText>
    </w:r>
    <w:r w:rsidR="001F4B2D" w:rsidRPr="007A1328">
      <w:rPr>
        <w:webHidden/>
        <w:sz w:val="24"/>
      </w:rPr>
      <w:fldChar w:fldCharType="separate"/>
    </w:r>
    <w:r w:rsidR="006D1583">
      <w:rPr>
        <w:noProof/>
        <w:webHidden/>
        <w:sz w:val="24"/>
      </w:rPr>
      <w:t>2</w:t>
    </w:r>
    <w:r w:rsidR="001F4B2D" w:rsidRPr="007A1328">
      <w:rPr>
        <w:webHidden/>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Pr="00FF4C0F" w:rsidRDefault="001F4B2D" w:rsidP="000E0249">
    <w:pPr>
      <w:keepNext/>
      <w:jc w:val="right"/>
      <w:rPr>
        <w:sz w:val="20"/>
        <w:szCs w:val="20"/>
      </w:rPr>
    </w:pPr>
    <w:r w:rsidRPr="00FF4C0F">
      <w:rPr>
        <w:sz w:val="20"/>
        <w:szCs w:val="20"/>
      </w:rPr>
      <w:fldChar w:fldCharType="begin"/>
    </w:r>
    <w:r w:rsidR="000E0249" w:rsidRPr="00FF4C0F">
      <w:rPr>
        <w:sz w:val="20"/>
        <w:szCs w:val="20"/>
      </w:rPr>
      <w:instrText xml:space="preserve"> STYLEREF  CharChapText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CharChapNo  \* CHARFORMAT </w:instrText>
    </w:r>
    <w:r w:rsidRPr="00FF4C0F">
      <w:rPr>
        <w:sz w:val="20"/>
        <w:szCs w:val="20"/>
      </w:rPr>
      <w:fldChar w:fldCharType="end"/>
    </w:r>
  </w:p>
  <w:p w:rsidR="000E0249" w:rsidRPr="00FF4C0F" w:rsidRDefault="001F4B2D" w:rsidP="000E0249">
    <w:pPr>
      <w:keepNext/>
      <w:jc w:val="right"/>
      <w:rPr>
        <w:sz w:val="20"/>
        <w:szCs w:val="20"/>
      </w:rPr>
    </w:pPr>
    <w:r w:rsidRPr="00FF4C0F">
      <w:rPr>
        <w:sz w:val="20"/>
        <w:szCs w:val="20"/>
      </w:rPr>
      <w:fldChar w:fldCharType="begin"/>
    </w:r>
    <w:r w:rsidR="000E0249" w:rsidRPr="00FF4C0F">
      <w:rPr>
        <w:sz w:val="20"/>
        <w:szCs w:val="20"/>
      </w:rPr>
      <w:instrText xml:space="preserve"> STYLEREF  CharPartText  \* CHARFORMAT </w:instrText>
    </w:r>
    <w:r w:rsidRPr="00FF4C0F">
      <w:rPr>
        <w:sz w:val="20"/>
        <w:szCs w:val="20"/>
      </w:rPr>
      <w:fldChar w:fldCharType="separate"/>
    </w:r>
    <w:r w:rsidR="006D1583">
      <w:rPr>
        <w:noProof/>
        <w:sz w:val="20"/>
        <w:szCs w:val="20"/>
      </w:rPr>
      <w:t>Increases in certain pension benefits payable under Defence Force Retirement and Death Benefits Act 1973-1974</w: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b/>
        <w:sz w:val="20"/>
        <w:szCs w:val="20"/>
      </w:rPr>
      <w:instrText xml:space="preserve"> S</w:instrText>
    </w:r>
    <w:r w:rsidR="000E0249" w:rsidRPr="00FF4C0F">
      <w:rPr>
        <w:sz w:val="20"/>
        <w:szCs w:val="20"/>
      </w:rPr>
      <w:instrText xml:space="preserve">TYLEREF  CharPartNo  \* CHARFORMAT </w:instrText>
    </w:r>
    <w:r w:rsidRPr="00FF4C0F">
      <w:rPr>
        <w:sz w:val="20"/>
        <w:szCs w:val="20"/>
      </w:rPr>
      <w:fldChar w:fldCharType="separate"/>
    </w:r>
    <w:r w:rsidR="006D1583">
      <w:rPr>
        <w:b/>
        <w:noProof/>
        <w:sz w:val="20"/>
        <w:szCs w:val="20"/>
      </w:rPr>
      <w:t>Part III</w:t>
    </w:r>
    <w:r w:rsidRPr="00FF4C0F">
      <w:rPr>
        <w:sz w:val="20"/>
        <w:szCs w:val="20"/>
      </w:rPr>
      <w:fldChar w:fldCharType="end"/>
    </w:r>
  </w:p>
  <w:p w:rsidR="000E0249" w:rsidRPr="00FF4C0F" w:rsidRDefault="001F4B2D" w:rsidP="000E0249">
    <w:pPr>
      <w:keepNext/>
      <w:jc w:val="right"/>
      <w:rPr>
        <w:sz w:val="20"/>
        <w:szCs w:val="20"/>
      </w:rPr>
    </w:pPr>
    <w:r w:rsidRPr="00FF4C0F">
      <w:rPr>
        <w:sz w:val="20"/>
        <w:szCs w:val="20"/>
      </w:rPr>
      <w:fldChar w:fldCharType="begin"/>
    </w:r>
    <w:r w:rsidR="000E0249" w:rsidRPr="00FF4C0F">
      <w:rPr>
        <w:sz w:val="20"/>
        <w:szCs w:val="20"/>
      </w:rPr>
      <w:instrText xml:space="preserve"> STYLEREF  CharDivText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CharDivNo  \* CHARFORMAT </w:instrText>
    </w:r>
    <w:r w:rsidRPr="00FF4C0F">
      <w:rPr>
        <w:sz w:val="20"/>
        <w:szCs w:val="20"/>
      </w:rPr>
      <w:fldChar w:fldCharType="end"/>
    </w:r>
  </w:p>
  <w:p w:rsidR="000E0249" w:rsidRPr="00E140E4" w:rsidRDefault="000E0249" w:rsidP="000E0249">
    <w:pPr>
      <w:keepNext/>
      <w:jc w:val="right"/>
      <w:rPr>
        <w:sz w:val="24"/>
      </w:rPr>
    </w:pPr>
  </w:p>
  <w:p w:rsidR="000E0249" w:rsidRPr="0037294E" w:rsidRDefault="000E0249" w:rsidP="000E0249">
    <w:pPr>
      <w:keepNext/>
      <w:jc w:val="right"/>
      <w:rPr>
        <w:sz w:val="24"/>
      </w:rPr>
    </w:pPr>
    <w:r>
      <w:rPr>
        <w:sz w:val="24"/>
      </w:rPr>
      <w:t>Sectio</w:t>
    </w:r>
    <w:r w:rsidRPr="0037294E">
      <w:rPr>
        <w:sz w:val="24"/>
      </w:rPr>
      <w:t xml:space="preserve">n </w:t>
    </w:r>
    <w:r w:rsidR="001F4B2D" w:rsidRPr="00FF4C0F">
      <w:rPr>
        <w:sz w:val="24"/>
      </w:rPr>
      <w:fldChar w:fldCharType="begin"/>
    </w:r>
    <w:r w:rsidRPr="00FF4C0F">
      <w:rPr>
        <w:sz w:val="24"/>
      </w:rPr>
      <w:instrText xml:space="preserve"> STYLEREF  CharSectno  \* CHARFORMAT </w:instrText>
    </w:r>
    <w:r w:rsidR="001F4B2D" w:rsidRPr="00FF4C0F">
      <w:rPr>
        <w:sz w:val="24"/>
      </w:rPr>
      <w:fldChar w:fldCharType="separate"/>
    </w:r>
    <w:r w:rsidR="006D1583">
      <w:rPr>
        <w:noProof/>
        <w:sz w:val="24"/>
      </w:rPr>
      <w:t>19</w:t>
    </w:r>
    <w:r w:rsidR="001F4B2D" w:rsidRPr="00FF4C0F">
      <w:rPr>
        <w:sz w:val="24"/>
      </w:rPr>
      <w:fldChar w:fldCharType="end"/>
    </w:r>
  </w:p>
  <w:p w:rsidR="000E0249" w:rsidRPr="008C6D62" w:rsidRDefault="000E0249" w:rsidP="000E0249">
    <w:pPr>
      <w:pStyle w:val="Header"/>
      <w:pBdr>
        <w:top w:val="single" w:sz="6" w:space="1" w:color="auto"/>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476DCF" w:rsidRDefault="008C2ACF" w:rsidP="00476DC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1F4B2D" w:rsidP="00196180">
    <w:pPr>
      <w:rPr>
        <w:webHidden/>
        <w:sz w:val="20"/>
        <w:szCs w:val="20"/>
      </w:rPr>
    </w:pPr>
    <w:r>
      <w:rPr>
        <w:b/>
        <w:webHidden/>
        <w:sz w:val="20"/>
        <w:szCs w:val="20"/>
      </w:rPr>
      <w:fldChar w:fldCharType="begin"/>
    </w:r>
    <w:r w:rsidR="008C2ACF">
      <w:rPr>
        <w:b/>
        <w:webHidden/>
        <w:sz w:val="20"/>
        <w:szCs w:val="20"/>
      </w:rPr>
      <w:instrText xml:space="preserve"> STYLEREF CharChapNo </w:instrText>
    </w:r>
    <w:r>
      <w:rPr>
        <w:b/>
        <w:webHidden/>
        <w:sz w:val="20"/>
        <w:szCs w:val="20"/>
      </w:rPr>
      <w:fldChar w:fldCharType="separate"/>
    </w:r>
    <w:r w:rsidR="008C2ACF">
      <w:rPr>
        <w:b/>
        <w:noProof/>
        <w:webHidden/>
        <w:sz w:val="20"/>
        <w:szCs w:val="20"/>
      </w:rPr>
      <w:t>The Schedule</w:t>
    </w:r>
    <w:r>
      <w:rPr>
        <w:b/>
        <w:webHidden/>
        <w:sz w:val="20"/>
        <w:szCs w:val="20"/>
      </w:rPr>
      <w:fldChar w:fldCharType="end"/>
    </w:r>
    <w:r w:rsidR="008C2ACF">
      <w:rPr>
        <w:b/>
        <w:webHidden/>
        <w:sz w:val="20"/>
        <w:szCs w:val="20"/>
      </w:rPr>
      <w:t xml:space="preserve">  </w:t>
    </w:r>
    <w:r>
      <w:rPr>
        <w:webHidden/>
        <w:sz w:val="20"/>
        <w:szCs w:val="20"/>
      </w:rPr>
      <w:fldChar w:fldCharType="begin"/>
    </w:r>
    <w:r w:rsidR="008C2ACF">
      <w:rPr>
        <w:webHidden/>
        <w:sz w:val="20"/>
        <w:szCs w:val="20"/>
      </w:rPr>
      <w:instrText xml:space="preserve"> STYLEREF CharChapText </w:instrText>
    </w:r>
    <w:r>
      <w:rPr>
        <w:webHidden/>
        <w:sz w:val="20"/>
        <w:szCs w:val="20"/>
      </w:rPr>
      <w:fldChar w:fldCharType="end"/>
    </w:r>
  </w:p>
  <w:p w:rsidR="008C2ACF" w:rsidRDefault="008C2ACF" w:rsidP="00196180">
    <w:pPr>
      <w:rPr>
        <w:b/>
        <w:webHidden/>
        <w:sz w:val="20"/>
        <w:szCs w:val="20"/>
      </w:rPr>
    </w:pPr>
  </w:p>
  <w:p w:rsidR="008C2ACF" w:rsidRDefault="008C2ACF" w:rsidP="00196180">
    <w:pPr>
      <w:rPr>
        <w:webHidden/>
        <w:sz w:val="20"/>
        <w:szCs w:val="20"/>
      </w:rPr>
    </w:pPr>
  </w:p>
  <w:p w:rsidR="008C2ACF" w:rsidRDefault="008C2ACF" w:rsidP="00196180">
    <w:pPr>
      <w:rPr>
        <w:b/>
        <w:webHidden/>
        <w:sz w:val="24"/>
      </w:rPr>
    </w:pPr>
  </w:p>
  <w:p w:rsidR="008C2ACF" w:rsidRDefault="008C2ACF" w:rsidP="00196180">
    <w:pPr>
      <w:pBdr>
        <w:bottom w:val="single" w:sz="6" w:space="1" w:color="auto"/>
      </w:pBdr>
      <w:rPr>
        <w:webHidden/>
        <w:sz w:val="24"/>
      </w:rPr>
    </w:pPr>
  </w:p>
  <w:p w:rsidR="008C2ACF" w:rsidRPr="00CB2DA7" w:rsidRDefault="008C2ACF" w:rsidP="00196180">
    <w:pPr>
      <w:pStyle w:val="Header"/>
      <w:rPr>
        <w:webHidde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8C2ACF" w:rsidP="00196180">
    <w:pPr>
      <w:jc w:val="right"/>
      <w:rPr>
        <w:webHidden/>
        <w:sz w:val="20"/>
        <w:szCs w:val="20"/>
      </w:rPr>
    </w:pPr>
    <w:r>
      <w:rPr>
        <w:webHidden/>
        <w:sz w:val="20"/>
        <w:szCs w:val="20"/>
      </w:rPr>
      <w:t xml:space="preserve">  </w:t>
    </w:r>
    <w:r w:rsidR="001F4B2D">
      <w:rPr>
        <w:b/>
        <w:webHidden/>
        <w:sz w:val="20"/>
        <w:szCs w:val="20"/>
      </w:rPr>
      <w:fldChar w:fldCharType="begin"/>
    </w:r>
    <w:r>
      <w:rPr>
        <w:b/>
        <w:webHidden/>
        <w:sz w:val="20"/>
        <w:szCs w:val="20"/>
      </w:rPr>
      <w:instrText xml:space="preserve"> STYLEREF  CharChapNo </w:instrText>
    </w:r>
    <w:r w:rsidR="001F4B2D">
      <w:rPr>
        <w:b/>
        <w:webHidden/>
        <w:sz w:val="20"/>
        <w:szCs w:val="20"/>
      </w:rPr>
      <w:fldChar w:fldCharType="separate"/>
    </w:r>
    <w:r>
      <w:rPr>
        <w:b/>
        <w:noProof/>
        <w:webHidden/>
        <w:sz w:val="20"/>
        <w:szCs w:val="20"/>
      </w:rPr>
      <w:t>The Schedule</w:t>
    </w:r>
    <w:r w:rsidR="001F4B2D">
      <w:rPr>
        <w:b/>
        <w:webHidden/>
        <w:sz w:val="20"/>
        <w:szCs w:val="20"/>
      </w:rPr>
      <w:fldChar w:fldCharType="end"/>
    </w:r>
  </w:p>
  <w:p w:rsidR="008C2ACF" w:rsidRDefault="008C2ACF" w:rsidP="00196180">
    <w:pPr>
      <w:jc w:val="right"/>
      <w:rPr>
        <w:b/>
        <w:webHidden/>
        <w:sz w:val="20"/>
        <w:szCs w:val="20"/>
      </w:rPr>
    </w:pPr>
  </w:p>
  <w:p w:rsidR="008C2ACF" w:rsidRDefault="008C2ACF" w:rsidP="00196180">
    <w:pPr>
      <w:jc w:val="right"/>
      <w:rPr>
        <w:webHidden/>
        <w:sz w:val="20"/>
        <w:szCs w:val="20"/>
      </w:rPr>
    </w:pPr>
  </w:p>
  <w:p w:rsidR="008C2ACF" w:rsidRDefault="008C2ACF" w:rsidP="00196180">
    <w:pPr>
      <w:jc w:val="right"/>
      <w:rPr>
        <w:b/>
        <w:webHidden/>
        <w:sz w:val="24"/>
      </w:rPr>
    </w:pPr>
  </w:p>
  <w:p w:rsidR="008C2ACF" w:rsidRDefault="008C2ACF" w:rsidP="00196180">
    <w:pPr>
      <w:pBdr>
        <w:bottom w:val="single" w:sz="6" w:space="1" w:color="auto"/>
      </w:pBdr>
      <w:jc w:val="right"/>
      <w:rPr>
        <w:webHidden/>
        <w:sz w:val="24"/>
      </w:rPr>
    </w:pPr>
  </w:p>
  <w:p w:rsidR="008C2ACF" w:rsidRDefault="008C2ACF" w:rsidP="00196180">
    <w:pPr>
      <w:pStyle w:val="Header"/>
      <w:rPr>
        <w:webHidd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1"/>
  </w:num>
  <w:num w:numId="14">
    <w:abstractNumId w:val="12"/>
  </w:num>
  <w:num w:numId="15">
    <w:abstractNumId w:val="16"/>
  </w:num>
  <w:num w:numId="16">
    <w:abstractNumId w:val="21"/>
  </w:num>
  <w:num w:numId="17">
    <w:abstractNumId w:val="13"/>
  </w:num>
  <w:num w:numId="18">
    <w:abstractNumId w:val="19"/>
  </w:num>
  <w:num w:numId="19">
    <w:abstractNumId w:val="15"/>
  </w:num>
  <w:num w:numId="20">
    <w:abstractNumId w:val="10"/>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GrammaticalErrors/>
  <w:activeWritingStyle w:appName="MSWord" w:lang="en-AU" w:vendorID="64" w:dllVersion="131078" w:nlCheck="1" w:checkStyle="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evenAndOddHeaders/>
  <w:drawingGridHorizontalSpacing w:val="11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C90"/>
    <w:rsid w:val="0000022F"/>
    <w:rsid w:val="000006E5"/>
    <w:rsid w:val="0000157A"/>
    <w:rsid w:val="000016F9"/>
    <w:rsid w:val="00001818"/>
    <w:rsid w:val="00003147"/>
    <w:rsid w:val="000050EB"/>
    <w:rsid w:val="00005122"/>
    <w:rsid w:val="00006B08"/>
    <w:rsid w:val="00006CD0"/>
    <w:rsid w:val="000076E0"/>
    <w:rsid w:val="0000788C"/>
    <w:rsid w:val="000101FC"/>
    <w:rsid w:val="00010816"/>
    <w:rsid w:val="00011BAF"/>
    <w:rsid w:val="00013AA2"/>
    <w:rsid w:val="0001498D"/>
    <w:rsid w:val="0001546F"/>
    <w:rsid w:val="00015B55"/>
    <w:rsid w:val="00016F0A"/>
    <w:rsid w:val="00017092"/>
    <w:rsid w:val="00017409"/>
    <w:rsid w:val="00017C2E"/>
    <w:rsid w:val="00021E4D"/>
    <w:rsid w:val="0002244F"/>
    <w:rsid w:val="000243EC"/>
    <w:rsid w:val="00025012"/>
    <w:rsid w:val="00025240"/>
    <w:rsid w:val="000252E9"/>
    <w:rsid w:val="00026016"/>
    <w:rsid w:val="00026372"/>
    <w:rsid w:val="0002784C"/>
    <w:rsid w:val="00027BDD"/>
    <w:rsid w:val="00030D11"/>
    <w:rsid w:val="000318E1"/>
    <w:rsid w:val="00031D96"/>
    <w:rsid w:val="00034054"/>
    <w:rsid w:val="00034825"/>
    <w:rsid w:val="00034A2B"/>
    <w:rsid w:val="00036CDC"/>
    <w:rsid w:val="00037507"/>
    <w:rsid w:val="00037D80"/>
    <w:rsid w:val="00041FBC"/>
    <w:rsid w:val="000424C7"/>
    <w:rsid w:val="00042925"/>
    <w:rsid w:val="00042C47"/>
    <w:rsid w:val="00043257"/>
    <w:rsid w:val="00043402"/>
    <w:rsid w:val="000434CD"/>
    <w:rsid w:val="00043CBD"/>
    <w:rsid w:val="00043DB4"/>
    <w:rsid w:val="0004412F"/>
    <w:rsid w:val="000457F5"/>
    <w:rsid w:val="00046550"/>
    <w:rsid w:val="00046A8A"/>
    <w:rsid w:val="00046C1D"/>
    <w:rsid w:val="000510B9"/>
    <w:rsid w:val="0005119D"/>
    <w:rsid w:val="00051A0F"/>
    <w:rsid w:val="000526CA"/>
    <w:rsid w:val="00053C2D"/>
    <w:rsid w:val="00054779"/>
    <w:rsid w:val="0005550A"/>
    <w:rsid w:val="00055675"/>
    <w:rsid w:val="00056C94"/>
    <w:rsid w:val="000570B8"/>
    <w:rsid w:val="00057107"/>
    <w:rsid w:val="00057E4B"/>
    <w:rsid w:val="0006021B"/>
    <w:rsid w:val="00060661"/>
    <w:rsid w:val="00060A65"/>
    <w:rsid w:val="00060D0F"/>
    <w:rsid w:val="00060E76"/>
    <w:rsid w:val="00062095"/>
    <w:rsid w:val="00062B9D"/>
    <w:rsid w:val="0006309E"/>
    <w:rsid w:val="0006354A"/>
    <w:rsid w:val="00063669"/>
    <w:rsid w:val="0006386F"/>
    <w:rsid w:val="00063880"/>
    <w:rsid w:val="00064DED"/>
    <w:rsid w:val="00064F4B"/>
    <w:rsid w:val="00066557"/>
    <w:rsid w:val="0006690D"/>
    <w:rsid w:val="00067189"/>
    <w:rsid w:val="000704C7"/>
    <w:rsid w:val="00070A38"/>
    <w:rsid w:val="00071582"/>
    <w:rsid w:val="00071DCD"/>
    <w:rsid w:val="0007300C"/>
    <w:rsid w:val="00073C71"/>
    <w:rsid w:val="000741BE"/>
    <w:rsid w:val="00074415"/>
    <w:rsid w:val="00074B5D"/>
    <w:rsid w:val="00074D9D"/>
    <w:rsid w:val="00075707"/>
    <w:rsid w:val="00075DD0"/>
    <w:rsid w:val="00075F22"/>
    <w:rsid w:val="000779A8"/>
    <w:rsid w:val="00080D38"/>
    <w:rsid w:val="00081217"/>
    <w:rsid w:val="000815C8"/>
    <w:rsid w:val="00081BF6"/>
    <w:rsid w:val="00082299"/>
    <w:rsid w:val="000829DF"/>
    <w:rsid w:val="00083504"/>
    <w:rsid w:val="00084164"/>
    <w:rsid w:val="00085361"/>
    <w:rsid w:val="0008575D"/>
    <w:rsid w:val="0008758E"/>
    <w:rsid w:val="000879C8"/>
    <w:rsid w:val="00087CA2"/>
    <w:rsid w:val="00090C0C"/>
    <w:rsid w:val="000917DF"/>
    <w:rsid w:val="00091D4E"/>
    <w:rsid w:val="00091D57"/>
    <w:rsid w:val="0009217A"/>
    <w:rsid w:val="00092FEE"/>
    <w:rsid w:val="00093321"/>
    <w:rsid w:val="00093903"/>
    <w:rsid w:val="00094032"/>
    <w:rsid w:val="00094549"/>
    <w:rsid w:val="00095C88"/>
    <w:rsid w:val="000965AF"/>
    <w:rsid w:val="00096662"/>
    <w:rsid w:val="000967F3"/>
    <w:rsid w:val="000A0D79"/>
    <w:rsid w:val="000A1110"/>
    <w:rsid w:val="000A111B"/>
    <w:rsid w:val="000A172E"/>
    <w:rsid w:val="000A30B6"/>
    <w:rsid w:val="000A4259"/>
    <w:rsid w:val="000A5246"/>
    <w:rsid w:val="000A58DD"/>
    <w:rsid w:val="000A5B68"/>
    <w:rsid w:val="000A62EC"/>
    <w:rsid w:val="000A7076"/>
    <w:rsid w:val="000A73AC"/>
    <w:rsid w:val="000A7944"/>
    <w:rsid w:val="000A7BA8"/>
    <w:rsid w:val="000B1487"/>
    <w:rsid w:val="000B1638"/>
    <w:rsid w:val="000B28B3"/>
    <w:rsid w:val="000B3E49"/>
    <w:rsid w:val="000B47E6"/>
    <w:rsid w:val="000B4F77"/>
    <w:rsid w:val="000B5270"/>
    <w:rsid w:val="000B55A3"/>
    <w:rsid w:val="000B5610"/>
    <w:rsid w:val="000B5742"/>
    <w:rsid w:val="000B5D8A"/>
    <w:rsid w:val="000B5F47"/>
    <w:rsid w:val="000B6C01"/>
    <w:rsid w:val="000C0531"/>
    <w:rsid w:val="000C0C32"/>
    <w:rsid w:val="000C0FF9"/>
    <w:rsid w:val="000C2A32"/>
    <w:rsid w:val="000C5D1E"/>
    <w:rsid w:val="000C5D54"/>
    <w:rsid w:val="000C6BC9"/>
    <w:rsid w:val="000C7539"/>
    <w:rsid w:val="000C7F06"/>
    <w:rsid w:val="000D0064"/>
    <w:rsid w:val="000D0AEE"/>
    <w:rsid w:val="000D0EAD"/>
    <w:rsid w:val="000D13B7"/>
    <w:rsid w:val="000D2E55"/>
    <w:rsid w:val="000D3141"/>
    <w:rsid w:val="000D3B5D"/>
    <w:rsid w:val="000D3D8F"/>
    <w:rsid w:val="000D437A"/>
    <w:rsid w:val="000D4486"/>
    <w:rsid w:val="000D51DD"/>
    <w:rsid w:val="000D55C8"/>
    <w:rsid w:val="000D59EA"/>
    <w:rsid w:val="000D7335"/>
    <w:rsid w:val="000D79D7"/>
    <w:rsid w:val="000D7DE3"/>
    <w:rsid w:val="000E0249"/>
    <w:rsid w:val="000E1031"/>
    <w:rsid w:val="000E1F5B"/>
    <w:rsid w:val="000E2C33"/>
    <w:rsid w:val="000E3FF6"/>
    <w:rsid w:val="000E4714"/>
    <w:rsid w:val="000E4E29"/>
    <w:rsid w:val="000E4F9F"/>
    <w:rsid w:val="000E5735"/>
    <w:rsid w:val="000E5D37"/>
    <w:rsid w:val="000E6046"/>
    <w:rsid w:val="000E6399"/>
    <w:rsid w:val="000E688B"/>
    <w:rsid w:val="000E6C3E"/>
    <w:rsid w:val="000E71DD"/>
    <w:rsid w:val="000E7669"/>
    <w:rsid w:val="000F07CF"/>
    <w:rsid w:val="000F0C83"/>
    <w:rsid w:val="000F11B5"/>
    <w:rsid w:val="000F1BE1"/>
    <w:rsid w:val="000F2343"/>
    <w:rsid w:val="000F2DBF"/>
    <w:rsid w:val="000F365E"/>
    <w:rsid w:val="000F3B76"/>
    <w:rsid w:val="000F53B6"/>
    <w:rsid w:val="000F65AB"/>
    <w:rsid w:val="000F6B09"/>
    <w:rsid w:val="000F7CF8"/>
    <w:rsid w:val="00100232"/>
    <w:rsid w:val="001006B2"/>
    <w:rsid w:val="00100720"/>
    <w:rsid w:val="00101354"/>
    <w:rsid w:val="00101B5A"/>
    <w:rsid w:val="00102464"/>
    <w:rsid w:val="0010247C"/>
    <w:rsid w:val="00102633"/>
    <w:rsid w:val="0010366C"/>
    <w:rsid w:val="00103D33"/>
    <w:rsid w:val="00103E6E"/>
    <w:rsid w:val="001058D3"/>
    <w:rsid w:val="00105D11"/>
    <w:rsid w:val="00105E38"/>
    <w:rsid w:val="001075DD"/>
    <w:rsid w:val="00107C7A"/>
    <w:rsid w:val="0011044B"/>
    <w:rsid w:val="00110C49"/>
    <w:rsid w:val="001122D5"/>
    <w:rsid w:val="001128BA"/>
    <w:rsid w:val="00112A30"/>
    <w:rsid w:val="00112C86"/>
    <w:rsid w:val="00113148"/>
    <w:rsid w:val="0011379C"/>
    <w:rsid w:val="00113EA5"/>
    <w:rsid w:val="00114C0C"/>
    <w:rsid w:val="00114E06"/>
    <w:rsid w:val="00115394"/>
    <w:rsid w:val="00115F3A"/>
    <w:rsid w:val="00116464"/>
    <w:rsid w:val="0012099D"/>
    <w:rsid w:val="0012280A"/>
    <w:rsid w:val="00123313"/>
    <w:rsid w:val="00123DC2"/>
    <w:rsid w:val="00124FBA"/>
    <w:rsid w:val="00124FCE"/>
    <w:rsid w:val="00125C6C"/>
    <w:rsid w:val="00126230"/>
    <w:rsid w:val="00126CDA"/>
    <w:rsid w:val="0012764D"/>
    <w:rsid w:val="001278D8"/>
    <w:rsid w:val="00127940"/>
    <w:rsid w:val="00127ED8"/>
    <w:rsid w:val="00130D74"/>
    <w:rsid w:val="00131667"/>
    <w:rsid w:val="001318CA"/>
    <w:rsid w:val="00131F78"/>
    <w:rsid w:val="0013256A"/>
    <w:rsid w:val="00132716"/>
    <w:rsid w:val="00133772"/>
    <w:rsid w:val="001337E7"/>
    <w:rsid w:val="00135ADE"/>
    <w:rsid w:val="00135B3B"/>
    <w:rsid w:val="00136B19"/>
    <w:rsid w:val="00137009"/>
    <w:rsid w:val="00142F5A"/>
    <w:rsid w:val="00143674"/>
    <w:rsid w:val="001442D6"/>
    <w:rsid w:val="00145982"/>
    <w:rsid w:val="00145D93"/>
    <w:rsid w:val="00147C2B"/>
    <w:rsid w:val="001508B3"/>
    <w:rsid w:val="0015092C"/>
    <w:rsid w:val="0015108F"/>
    <w:rsid w:val="00151A18"/>
    <w:rsid w:val="00151BC4"/>
    <w:rsid w:val="00151FF4"/>
    <w:rsid w:val="001524B2"/>
    <w:rsid w:val="00152669"/>
    <w:rsid w:val="00152D29"/>
    <w:rsid w:val="00153AF9"/>
    <w:rsid w:val="00154E33"/>
    <w:rsid w:val="00155056"/>
    <w:rsid w:val="00155078"/>
    <w:rsid w:val="00156B09"/>
    <w:rsid w:val="00157917"/>
    <w:rsid w:val="00157EA3"/>
    <w:rsid w:val="00157FA9"/>
    <w:rsid w:val="00157FE2"/>
    <w:rsid w:val="00160727"/>
    <w:rsid w:val="00160A5B"/>
    <w:rsid w:val="00161F6C"/>
    <w:rsid w:val="001623D6"/>
    <w:rsid w:val="0016268B"/>
    <w:rsid w:val="0016446F"/>
    <w:rsid w:val="00164628"/>
    <w:rsid w:val="0016553D"/>
    <w:rsid w:val="0016632E"/>
    <w:rsid w:val="00166C6A"/>
    <w:rsid w:val="00166F68"/>
    <w:rsid w:val="001671E5"/>
    <w:rsid w:val="00167256"/>
    <w:rsid w:val="00170A11"/>
    <w:rsid w:val="00170A65"/>
    <w:rsid w:val="00170CBE"/>
    <w:rsid w:val="00170CD5"/>
    <w:rsid w:val="00171542"/>
    <w:rsid w:val="00172480"/>
    <w:rsid w:val="00172D4C"/>
    <w:rsid w:val="00173B85"/>
    <w:rsid w:val="0017458F"/>
    <w:rsid w:val="00176FCF"/>
    <w:rsid w:val="00181C91"/>
    <w:rsid w:val="00182E81"/>
    <w:rsid w:val="001838E2"/>
    <w:rsid w:val="00184A90"/>
    <w:rsid w:val="00184B71"/>
    <w:rsid w:val="00184F4D"/>
    <w:rsid w:val="0018532F"/>
    <w:rsid w:val="0018582F"/>
    <w:rsid w:val="00186E6B"/>
    <w:rsid w:val="00187488"/>
    <w:rsid w:val="00187827"/>
    <w:rsid w:val="00187B34"/>
    <w:rsid w:val="0019047E"/>
    <w:rsid w:val="00191771"/>
    <w:rsid w:val="001918A0"/>
    <w:rsid w:val="00191B1E"/>
    <w:rsid w:val="00192747"/>
    <w:rsid w:val="001927CB"/>
    <w:rsid w:val="00192BA4"/>
    <w:rsid w:val="00192EAD"/>
    <w:rsid w:val="001950AB"/>
    <w:rsid w:val="0019532E"/>
    <w:rsid w:val="0019586F"/>
    <w:rsid w:val="001A129A"/>
    <w:rsid w:val="001A170E"/>
    <w:rsid w:val="001A1F53"/>
    <w:rsid w:val="001A2957"/>
    <w:rsid w:val="001A3374"/>
    <w:rsid w:val="001A3E08"/>
    <w:rsid w:val="001A3E28"/>
    <w:rsid w:val="001A4AA5"/>
    <w:rsid w:val="001A56A2"/>
    <w:rsid w:val="001A5EFA"/>
    <w:rsid w:val="001A6988"/>
    <w:rsid w:val="001A6AA2"/>
    <w:rsid w:val="001A7B22"/>
    <w:rsid w:val="001A7FC2"/>
    <w:rsid w:val="001B0220"/>
    <w:rsid w:val="001B08D8"/>
    <w:rsid w:val="001B1316"/>
    <w:rsid w:val="001B1523"/>
    <w:rsid w:val="001B1694"/>
    <w:rsid w:val="001B23CF"/>
    <w:rsid w:val="001B27FA"/>
    <w:rsid w:val="001B31BC"/>
    <w:rsid w:val="001B427E"/>
    <w:rsid w:val="001B4A11"/>
    <w:rsid w:val="001B5214"/>
    <w:rsid w:val="001B52CE"/>
    <w:rsid w:val="001B67E4"/>
    <w:rsid w:val="001B68D4"/>
    <w:rsid w:val="001C2C93"/>
    <w:rsid w:val="001C7313"/>
    <w:rsid w:val="001C74DF"/>
    <w:rsid w:val="001D09CA"/>
    <w:rsid w:val="001D0D82"/>
    <w:rsid w:val="001D1530"/>
    <w:rsid w:val="001D1A38"/>
    <w:rsid w:val="001D2501"/>
    <w:rsid w:val="001D25F4"/>
    <w:rsid w:val="001D311A"/>
    <w:rsid w:val="001D324D"/>
    <w:rsid w:val="001D33D3"/>
    <w:rsid w:val="001D4410"/>
    <w:rsid w:val="001D4AAC"/>
    <w:rsid w:val="001D5463"/>
    <w:rsid w:val="001D5FC2"/>
    <w:rsid w:val="001D6F00"/>
    <w:rsid w:val="001D7685"/>
    <w:rsid w:val="001E1B21"/>
    <w:rsid w:val="001E2298"/>
    <w:rsid w:val="001E271D"/>
    <w:rsid w:val="001E27E8"/>
    <w:rsid w:val="001E36D6"/>
    <w:rsid w:val="001E3C7F"/>
    <w:rsid w:val="001E40BE"/>
    <w:rsid w:val="001E5093"/>
    <w:rsid w:val="001E55FD"/>
    <w:rsid w:val="001E5BB2"/>
    <w:rsid w:val="001E5E44"/>
    <w:rsid w:val="001E6191"/>
    <w:rsid w:val="001E61F9"/>
    <w:rsid w:val="001E6458"/>
    <w:rsid w:val="001E6492"/>
    <w:rsid w:val="001E6972"/>
    <w:rsid w:val="001E69EA"/>
    <w:rsid w:val="001E6E33"/>
    <w:rsid w:val="001E73D8"/>
    <w:rsid w:val="001F0836"/>
    <w:rsid w:val="001F0EC4"/>
    <w:rsid w:val="001F232B"/>
    <w:rsid w:val="001F38BC"/>
    <w:rsid w:val="001F3C2E"/>
    <w:rsid w:val="001F3FEA"/>
    <w:rsid w:val="001F4B2D"/>
    <w:rsid w:val="001F621B"/>
    <w:rsid w:val="001F67DA"/>
    <w:rsid w:val="001F777F"/>
    <w:rsid w:val="00201359"/>
    <w:rsid w:val="00201969"/>
    <w:rsid w:val="00201AA9"/>
    <w:rsid w:val="0020395F"/>
    <w:rsid w:val="00203C00"/>
    <w:rsid w:val="002049DD"/>
    <w:rsid w:val="002057B7"/>
    <w:rsid w:val="00205BAE"/>
    <w:rsid w:val="00205F39"/>
    <w:rsid w:val="00207F68"/>
    <w:rsid w:val="002126A2"/>
    <w:rsid w:val="00213275"/>
    <w:rsid w:val="00213F76"/>
    <w:rsid w:val="002146BC"/>
    <w:rsid w:val="00215561"/>
    <w:rsid w:val="002155DC"/>
    <w:rsid w:val="00215955"/>
    <w:rsid w:val="00217089"/>
    <w:rsid w:val="00217628"/>
    <w:rsid w:val="002201A8"/>
    <w:rsid w:val="0022080A"/>
    <w:rsid w:val="002217E2"/>
    <w:rsid w:val="00221D45"/>
    <w:rsid w:val="00222A43"/>
    <w:rsid w:val="00223A64"/>
    <w:rsid w:val="00223D6C"/>
    <w:rsid w:val="00224279"/>
    <w:rsid w:val="0022492B"/>
    <w:rsid w:val="00225851"/>
    <w:rsid w:val="0022672E"/>
    <w:rsid w:val="00226847"/>
    <w:rsid w:val="0022785E"/>
    <w:rsid w:val="0023130A"/>
    <w:rsid w:val="002328D3"/>
    <w:rsid w:val="002329FE"/>
    <w:rsid w:val="00233229"/>
    <w:rsid w:val="002333BB"/>
    <w:rsid w:val="00234978"/>
    <w:rsid w:val="00235298"/>
    <w:rsid w:val="00235326"/>
    <w:rsid w:val="00235439"/>
    <w:rsid w:val="002357C7"/>
    <w:rsid w:val="0023624B"/>
    <w:rsid w:val="00236385"/>
    <w:rsid w:val="00236AE2"/>
    <w:rsid w:val="00236DBA"/>
    <w:rsid w:val="00237A7A"/>
    <w:rsid w:val="00241431"/>
    <w:rsid w:val="00243288"/>
    <w:rsid w:val="00245BCF"/>
    <w:rsid w:val="00246A6F"/>
    <w:rsid w:val="00246EED"/>
    <w:rsid w:val="00247704"/>
    <w:rsid w:val="00247B15"/>
    <w:rsid w:val="002500B5"/>
    <w:rsid w:val="00250296"/>
    <w:rsid w:val="002509B4"/>
    <w:rsid w:val="0025165B"/>
    <w:rsid w:val="00251A6D"/>
    <w:rsid w:val="00251D2F"/>
    <w:rsid w:val="00251E03"/>
    <w:rsid w:val="00251EFC"/>
    <w:rsid w:val="00252F88"/>
    <w:rsid w:val="002531F3"/>
    <w:rsid w:val="00253A73"/>
    <w:rsid w:val="002552A5"/>
    <w:rsid w:val="00255942"/>
    <w:rsid w:val="00255967"/>
    <w:rsid w:val="00255E82"/>
    <w:rsid w:val="00255F3F"/>
    <w:rsid w:val="00256254"/>
    <w:rsid w:val="00256782"/>
    <w:rsid w:val="002567A2"/>
    <w:rsid w:val="0025728A"/>
    <w:rsid w:val="00257539"/>
    <w:rsid w:val="00257994"/>
    <w:rsid w:val="00257E62"/>
    <w:rsid w:val="00257E96"/>
    <w:rsid w:val="00260089"/>
    <w:rsid w:val="00260E07"/>
    <w:rsid w:val="00262081"/>
    <w:rsid w:val="00262307"/>
    <w:rsid w:val="002623D6"/>
    <w:rsid w:val="00263CF4"/>
    <w:rsid w:val="00264302"/>
    <w:rsid w:val="00264BFC"/>
    <w:rsid w:val="002672ED"/>
    <w:rsid w:val="00267BF5"/>
    <w:rsid w:val="00270078"/>
    <w:rsid w:val="0027067A"/>
    <w:rsid w:val="002709AC"/>
    <w:rsid w:val="00271662"/>
    <w:rsid w:val="002716EB"/>
    <w:rsid w:val="0027196C"/>
    <w:rsid w:val="0027215E"/>
    <w:rsid w:val="00272997"/>
    <w:rsid w:val="002736A1"/>
    <w:rsid w:val="00273F10"/>
    <w:rsid w:val="00274B92"/>
    <w:rsid w:val="002752C9"/>
    <w:rsid w:val="00275F3B"/>
    <w:rsid w:val="00276D7F"/>
    <w:rsid w:val="00277036"/>
    <w:rsid w:val="00283026"/>
    <w:rsid w:val="00283118"/>
    <w:rsid w:val="0028342C"/>
    <w:rsid w:val="00284372"/>
    <w:rsid w:val="00285FC7"/>
    <w:rsid w:val="00286290"/>
    <w:rsid w:val="002869B6"/>
    <w:rsid w:val="002875B0"/>
    <w:rsid w:val="00292952"/>
    <w:rsid w:val="00292D5B"/>
    <w:rsid w:val="002934A8"/>
    <w:rsid w:val="00294C1C"/>
    <w:rsid w:val="00296138"/>
    <w:rsid w:val="00297CE2"/>
    <w:rsid w:val="00297FC5"/>
    <w:rsid w:val="002A0562"/>
    <w:rsid w:val="002A0624"/>
    <w:rsid w:val="002A354A"/>
    <w:rsid w:val="002A3E62"/>
    <w:rsid w:val="002A44A0"/>
    <w:rsid w:val="002A4D39"/>
    <w:rsid w:val="002A5C11"/>
    <w:rsid w:val="002A6101"/>
    <w:rsid w:val="002A67C1"/>
    <w:rsid w:val="002A6D4C"/>
    <w:rsid w:val="002B0181"/>
    <w:rsid w:val="002B03BE"/>
    <w:rsid w:val="002B0473"/>
    <w:rsid w:val="002B10E0"/>
    <w:rsid w:val="002B17E6"/>
    <w:rsid w:val="002B1914"/>
    <w:rsid w:val="002B1A63"/>
    <w:rsid w:val="002B2ADF"/>
    <w:rsid w:val="002B2C4A"/>
    <w:rsid w:val="002B2D25"/>
    <w:rsid w:val="002B3194"/>
    <w:rsid w:val="002B41CF"/>
    <w:rsid w:val="002B4D4E"/>
    <w:rsid w:val="002B65B5"/>
    <w:rsid w:val="002B676D"/>
    <w:rsid w:val="002B6B4F"/>
    <w:rsid w:val="002C1531"/>
    <w:rsid w:val="002C3516"/>
    <w:rsid w:val="002C3D59"/>
    <w:rsid w:val="002C45BD"/>
    <w:rsid w:val="002C46A2"/>
    <w:rsid w:val="002C48E1"/>
    <w:rsid w:val="002C5A6A"/>
    <w:rsid w:val="002C664D"/>
    <w:rsid w:val="002C77F1"/>
    <w:rsid w:val="002D03EB"/>
    <w:rsid w:val="002D0BA6"/>
    <w:rsid w:val="002D19BD"/>
    <w:rsid w:val="002D2EA8"/>
    <w:rsid w:val="002D3093"/>
    <w:rsid w:val="002D3212"/>
    <w:rsid w:val="002D34FD"/>
    <w:rsid w:val="002D49DF"/>
    <w:rsid w:val="002D4BC5"/>
    <w:rsid w:val="002D570E"/>
    <w:rsid w:val="002D5E2B"/>
    <w:rsid w:val="002D5ED9"/>
    <w:rsid w:val="002D6764"/>
    <w:rsid w:val="002D6A38"/>
    <w:rsid w:val="002E18F3"/>
    <w:rsid w:val="002E2FB1"/>
    <w:rsid w:val="002E3008"/>
    <w:rsid w:val="002E31D9"/>
    <w:rsid w:val="002E3B56"/>
    <w:rsid w:val="002E41EA"/>
    <w:rsid w:val="002E4C75"/>
    <w:rsid w:val="002E5983"/>
    <w:rsid w:val="002E5986"/>
    <w:rsid w:val="002E5A5E"/>
    <w:rsid w:val="002E5B37"/>
    <w:rsid w:val="002E7EC0"/>
    <w:rsid w:val="002F05FA"/>
    <w:rsid w:val="002F092A"/>
    <w:rsid w:val="002F11A8"/>
    <w:rsid w:val="002F1236"/>
    <w:rsid w:val="002F535B"/>
    <w:rsid w:val="002F5A36"/>
    <w:rsid w:val="002F6232"/>
    <w:rsid w:val="002F7CC5"/>
    <w:rsid w:val="0030133E"/>
    <w:rsid w:val="0030154C"/>
    <w:rsid w:val="00301EF9"/>
    <w:rsid w:val="00302727"/>
    <w:rsid w:val="003036BF"/>
    <w:rsid w:val="003040AC"/>
    <w:rsid w:val="003041CA"/>
    <w:rsid w:val="003052B8"/>
    <w:rsid w:val="00306D4A"/>
    <w:rsid w:val="00306FE4"/>
    <w:rsid w:val="003077FB"/>
    <w:rsid w:val="003079F0"/>
    <w:rsid w:val="00310617"/>
    <w:rsid w:val="0031095D"/>
    <w:rsid w:val="003110CC"/>
    <w:rsid w:val="003113F4"/>
    <w:rsid w:val="00313563"/>
    <w:rsid w:val="00314F0E"/>
    <w:rsid w:val="00315EF3"/>
    <w:rsid w:val="00316693"/>
    <w:rsid w:val="00316D1F"/>
    <w:rsid w:val="003175A3"/>
    <w:rsid w:val="00320F4C"/>
    <w:rsid w:val="003212BC"/>
    <w:rsid w:val="00321E28"/>
    <w:rsid w:val="00323F3C"/>
    <w:rsid w:val="00325D82"/>
    <w:rsid w:val="00325F5E"/>
    <w:rsid w:val="003268EC"/>
    <w:rsid w:val="00326F2B"/>
    <w:rsid w:val="00327594"/>
    <w:rsid w:val="003305B1"/>
    <w:rsid w:val="003305E1"/>
    <w:rsid w:val="0033064E"/>
    <w:rsid w:val="003307E9"/>
    <w:rsid w:val="00333131"/>
    <w:rsid w:val="003344ED"/>
    <w:rsid w:val="003348D3"/>
    <w:rsid w:val="00334C1D"/>
    <w:rsid w:val="003353F2"/>
    <w:rsid w:val="00335C53"/>
    <w:rsid w:val="00335CF8"/>
    <w:rsid w:val="00335F50"/>
    <w:rsid w:val="0033601F"/>
    <w:rsid w:val="00336935"/>
    <w:rsid w:val="00336CB6"/>
    <w:rsid w:val="0034083C"/>
    <w:rsid w:val="00340C38"/>
    <w:rsid w:val="00340CCD"/>
    <w:rsid w:val="003425A1"/>
    <w:rsid w:val="0034334F"/>
    <w:rsid w:val="00344880"/>
    <w:rsid w:val="00344BC6"/>
    <w:rsid w:val="00345105"/>
    <w:rsid w:val="00345990"/>
    <w:rsid w:val="00345A44"/>
    <w:rsid w:val="00346860"/>
    <w:rsid w:val="00350CF7"/>
    <w:rsid w:val="00350ECE"/>
    <w:rsid w:val="003515B7"/>
    <w:rsid w:val="00351D1D"/>
    <w:rsid w:val="00352BD9"/>
    <w:rsid w:val="00353182"/>
    <w:rsid w:val="00353EDA"/>
    <w:rsid w:val="00353EE3"/>
    <w:rsid w:val="00354EFD"/>
    <w:rsid w:val="00354F6C"/>
    <w:rsid w:val="003550C6"/>
    <w:rsid w:val="003555CC"/>
    <w:rsid w:val="00356B50"/>
    <w:rsid w:val="00357046"/>
    <w:rsid w:val="003573AE"/>
    <w:rsid w:val="00357884"/>
    <w:rsid w:val="00357E9D"/>
    <w:rsid w:val="003602A2"/>
    <w:rsid w:val="0036062B"/>
    <w:rsid w:val="003616BB"/>
    <w:rsid w:val="003621B8"/>
    <w:rsid w:val="0036255A"/>
    <w:rsid w:val="003631F4"/>
    <w:rsid w:val="003633D2"/>
    <w:rsid w:val="003633D3"/>
    <w:rsid w:val="003660B7"/>
    <w:rsid w:val="00367778"/>
    <w:rsid w:val="00370160"/>
    <w:rsid w:val="00372CCB"/>
    <w:rsid w:val="00373B3D"/>
    <w:rsid w:val="003749B3"/>
    <w:rsid w:val="0037508E"/>
    <w:rsid w:val="00376198"/>
    <w:rsid w:val="0037698C"/>
    <w:rsid w:val="00376BBA"/>
    <w:rsid w:val="0037768A"/>
    <w:rsid w:val="0037793C"/>
    <w:rsid w:val="00380113"/>
    <w:rsid w:val="00381601"/>
    <w:rsid w:val="0038206E"/>
    <w:rsid w:val="003830DD"/>
    <w:rsid w:val="003839A3"/>
    <w:rsid w:val="00383D57"/>
    <w:rsid w:val="003847CA"/>
    <w:rsid w:val="00385C17"/>
    <w:rsid w:val="00385CC4"/>
    <w:rsid w:val="00386656"/>
    <w:rsid w:val="00386D0A"/>
    <w:rsid w:val="003906C3"/>
    <w:rsid w:val="00390CCF"/>
    <w:rsid w:val="00391401"/>
    <w:rsid w:val="00391F92"/>
    <w:rsid w:val="00392DC1"/>
    <w:rsid w:val="00393A54"/>
    <w:rsid w:val="00395C23"/>
    <w:rsid w:val="00395EF1"/>
    <w:rsid w:val="0039744E"/>
    <w:rsid w:val="00397BA8"/>
    <w:rsid w:val="003A01D7"/>
    <w:rsid w:val="003A0AC1"/>
    <w:rsid w:val="003A2A51"/>
    <w:rsid w:val="003A2C98"/>
    <w:rsid w:val="003A33D8"/>
    <w:rsid w:val="003A46B8"/>
    <w:rsid w:val="003A53EF"/>
    <w:rsid w:val="003A6EC9"/>
    <w:rsid w:val="003A7C0E"/>
    <w:rsid w:val="003B01F7"/>
    <w:rsid w:val="003B02E8"/>
    <w:rsid w:val="003B0B24"/>
    <w:rsid w:val="003B0CCD"/>
    <w:rsid w:val="003B16BC"/>
    <w:rsid w:val="003B213D"/>
    <w:rsid w:val="003B2E74"/>
    <w:rsid w:val="003B3376"/>
    <w:rsid w:val="003B3456"/>
    <w:rsid w:val="003B3F97"/>
    <w:rsid w:val="003B3FD7"/>
    <w:rsid w:val="003B4A58"/>
    <w:rsid w:val="003B6622"/>
    <w:rsid w:val="003B6900"/>
    <w:rsid w:val="003B6D52"/>
    <w:rsid w:val="003C07DF"/>
    <w:rsid w:val="003C0AD0"/>
    <w:rsid w:val="003C1135"/>
    <w:rsid w:val="003C23D8"/>
    <w:rsid w:val="003C301A"/>
    <w:rsid w:val="003C374C"/>
    <w:rsid w:val="003C3AEA"/>
    <w:rsid w:val="003C5909"/>
    <w:rsid w:val="003C7C51"/>
    <w:rsid w:val="003D12CA"/>
    <w:rsid w:val="003D1728"/>
    <w:rsid w:val="003D2ABE"/>
    <w:rsid w:val="003D343B"/>
    <w:rsid w:val="003D37DC"/>
    <w:rsid w:val="003D399E"/>
    <w:rsid w:val="003D402D"/>
    <w:rsid w:val="003D4A45"/>
    <w:rsid w:val="003D4EF6"/>
    <w:rsid w:val="003D5733"/>
    <w:rsid w:val="003D6468"/>
    <w:rsid w:val="003D7B21"/>
    <w:rsid w:val="003E099B"/>
    <w:rsid w:val="003E1972"/>
    <w:rsid w:val="003E3870"/>
    <w:rsid w:val="003E4AEE"/>
    <w:rsid w:val="003E4CBC"/>
    <w:rsid w:val="003E6176"/>
    <w:rsid w:val="003E6BB1"/>
    <w:rsid w:val="003E773B"/>
    <w:rsid w:val="003F03CA"/>
    <w:rsid w:val="003F123C"/>
    <w:rsid w:val="003F1784"/>
    <w:rsid w:val="003F29D3"/>
    <w:rsid w:val="003F29F2"/>
    <w:rsid w:val="003F2A0C"/>
    <w:rsid w:val="003F3778"/>
    <w:rsid w:val="003F4160"/>
    <w:rsid w:val="003F4968"/>
    <w:rsid w:val="003F4A2A"/>
    <w:rsid w:val="003F4E55"/>
    <w:rsid w:val="003F653F"/>
    <w:rsid w:val="003F678A"/>
    <w:rsid w:val="003F6816"/>
    <w:rsid w:val="003F7654"/>
    <w:rsid w:val="003F770D"/>
    <w:rsid w:val="003F78CE"/>
    <w:rsid w:val="004000CE"/>
    <w:rsid w:val="0040095E"/>
    <w:rsid w:val="00404263"/>
    <w:rsid w:val="00404D37"/>
    <w:rsid w:val="00405671"/>
    <w:rsid w:val="00405EFA"/>
    <w:rsid w:val="00406314"/>
    <w:rsid w:val="004063A7"/>
    <w:rsid w:val="00406DF5"/>
    <w:rsid w:val="00406FE5"/>
    <w:rsid w:val="00407249"/>
    <w:rsid w:val="00410323"/>
    <w:rsid w:val="00410592"/>
    <w:rsid w:val="00411119"/>
    <w:rsid w:val="00411300"/>
    <w:rsid w:val="004116FD"/>
    <w:rsid w:val="004118C0"/>
    <w:rsid w:val="00411924"/>
    <w:rsid w:val="00412CE2"/>
    <w:rsid w:val="004140DD"/>
    <w:rsid w:val="00414B16"/>
    <w:rsid w:val="00415421"/>
    <w:rsid w:val="00416E2F"/>
    <w:rsid w:val="00416F90"/>
    <w:rsid w:val="00420084"/>
    <w:rsid w:val="0042041D"/>
    <w:rsid w:val="004206BC"/>
    <w:rsid w:val="00420760"/>
    <w:rsid w:val="004210F8"/>
    <w:rsid w:val="004228E1"/>
    <w:rsid w:val="00422CE6"/>
    <w:rsid w:val="0042488C"/>
    <w:rsid w:val="004250CB"/>
    <w:rsid w:val="004254FC"/>
    <w:rsid w:val="00425F76"/>
    <w:rsid w:val="00430984"/>
    <w:rsid w:val="00431A6E"/>
    <w:rsid w:val="00431BCC"/>
    <w:rsid w:val="0043259E"/>
    <w:rsid w:val="00432EB9"/>
    <w:rsid w:val="00433070"/>
    <w:rsid w:val="00433494"/>
    <w:rsid w:val="004336E2"/>
    <w:rsid w:val="00433F63"/>
    <w:rsid w:val="004342CB"/>
    <w:rsid w:val="004346AE"/>
    <w:rsid w:val="00435A70"/>
    <w:rsid w:val="00435D16"/>
    <w:rsid w:val="00435E95"/>
    <w:rsid w:val="00436A09"/>
    <w:rsid w:val="004371B3"/>
    <w:rsid w:val="0043775A"/>
    <w:rsid w:val="0044020F"/>
    <w:rsid w:val="004418A4"/>
    <w:rsid w:val="00441D9F"/>
    <w:rsid w:val="00442ABF"/>
    <w:rsid w:val="0044329D"/>
    <w:rsid w:val="00444A98"/>
    <w:rsid w:val="00445BF8"/>
    <w:rsid w:val="00446759"/>
    <w:rsid w:val="00446A7E"/>
    <w:rsid w:val="00447408"/>
    <w:rsid w:val="004474E0"/>
    <w:rsid w:val="00447620"/>
    <w:rsid w:val="00447A3D"/>
    <w:rsid w:val="00447CED"/>
    <w:rsid w:val="00450652"/>
    <w:rsid w:val="00450C8C"/>
    <w:rsid w:val="0045112D"/>
    <w:rsid w:val="00452AFC"/>
    <w:rsid w:val="00453A9C"/>
    <w:rsid w:val="004541A2"/>
    <w:rsid w:val="0045484A"/>
    <w:rsid w:val="00454F28"/>
    <w:rsid w:val="004560C0"/>
    <w:rsid w:val="004569BD"/>
    <w:rsid w:val="00456AE2"/>
    <w:rsid w:val="00460796"/>
    <w:rsid w:val="00461889"/>
    <w:rsid w:val="00461FD7"/>
    <w:rsid w:val="004639D1"/>
    <w:rsid w:val="00463AA9"/>
    <w:rsid w:val="00463AFA"/>
    <w:rsid w:val="00464FF2"/>
    <w:rsid w:val="004655F3"/>
    <w:rsid w:val="0046562A"/>
    <w:rsid w:val="00466130"/>
    <w:rsid w:val="00466565"/>
    <w:rsid w:val="00466CF1"/>
    <w:rsid w:val="00467131"/>
    <w:rsid w:val="00467A8C"/>
    <w:rsid w:val="00473321"/>
    <w:rsid w:val="0047386C"/>
    <w:rsid w:val="004745B7"/>
    <w:rsid w:val="004745E2"/>
    <w:rsid w:val="00474E2D"/>
    <w:rsid w:val="00474FAF"/>
    <w:rsid w:val="00476726"/>
    <w:rsid w:val="00476C14"/>
    <w:rsid w:val="00476DCF"/>
    <w:rsid w:val="00476ED4"/>
    <w:rsid w:val="00480BF7"/>
    <w:rsid w:val="00482FB0"/>
    <w:rsid w:val="00483CB2"/>
    <w:rsid w:val="004901D0"/>
    <w:rsid w:val="0049027B"/>
    <w:rsid w:val="00492FB3"/>
    <w:rsid w:val="00493D2D"/>
    <w:rsid w:val="004941A1"/>
    <w:rsid w:val="00494823"/>
    <w:rsid w:val="00495DF3"/>
    <w:rsid w:val="00495EAD"/>
    <w:rsid w:val="00496355"/>
    <w:rsid w:val="00496805"/>
    <w:rsid w:val="00497337"/>
    <w:rsid w:val="004977A5"/>
    <w:rsid w:val="004A0538"/>
    <w:rsid w:val="004A05F2"/>
    <w:rsid w:val="004A12E4"/>
    <w:rsid w:val="004A174F"/>
    <w:rsid w:val="004A275A"/>
    <w:rsid w:val="004A29E2"/>
    <w:rsid w:val="004A387D"/>
    <w:rsid w:val="004A494E"/>
    <w:rsid w:val="004A5469"/>
    <w:rsid w:val="004A778B"/>
    <w:rsid w:val="004A7BE7"/>
    <w:rsid w:val="004B2039"/>
    <w:rsid w:val="004B2976"/>
    <w:rsid w:val="004B2D04"/>
    <w:rsid w:val="004B394A"/>
    <w:rsid w:val="004B4768"/>
    <w:rsid w:val="004B62B0"/>
    <w:rsid w:val="004B6F00"/>
    <w:rsid w:val="004B6F37"/>
    <w:rsid w:val="004C1067"/>
    <w:rsid w:val="004C2BA2"/>
    <w:rsid w:val="004C2E83"/>
    <w:rsid w:val="004C35AC"/>
    <w:rsid w:val="004C375C"/>
    <w:rsid w:val="004C37DD"/>
    <w:rsid w:val="004C3E18"/>
    <w:rsid w:val="004C435B"/>
    <w:rsid w:val="004C446E"/>
    <w:rsid w:val="004C4778"/>
    <w:rsid w:val="004C4BCA"/>
    <w:rsid w:val="004C4BEF"/>
    <w:rsid w:val="004C5335"/>
    <w:rsid w:val="004C68B2"/>
    <w:rsid w:val="004C753C"/>
    <w:rsid w:val="004D0BF1"/>
    <w:rsid w:val="004D141A"/>
    <w:rsid w:val="004D176E"/>
    <w:rsid w:val="004D2195"/>
    <w:rsid w:val="004D2B40"/>
    <w:rsid w:val="004D373C"/>
    <w:rsid w:val="004D3B50"/>
    <w:rsid w:val="004D3C0E"/>
    <w:rsid w:val="004D3F6A"/>
    <w:rsid w:val="004D4766"/>
    <w:rsid w:val="004D4BB4"/>
    <w:rsid w:val="004D4BBF"/>
    <w:rsid w:val="004D52AB"/>
    <w:rsid w:val="004D57FF"/>
    <w:rsid w:val="004D6382"/>
    <w:rsid w:val="004D707E"/>
    <w:rsid w:val="004E09F2"/>
    <w:rsid w:val="004E1B71"/>
    <w:rsid w:val="004E1DAB"/>
    <w:rsid w:val="004E29FA"/>
    <w:rsid w:val="004E2B23"/>
    <w:rsid w:val="004E3631"/>
    <w:rsid w:val="004E44F4"/>
    <w:rsid w:val="004E48AB"/>
    <w:rsid w:val="004E4EAF"/>
    <w:rsid w:val="004E4F1F"/>
    <w:rsid w:val="004E5729"/>
    <w:rsid w:val="004E7AF9"/>
    <w:rsid w:val="004E7C60"/>
    <w:rsid w:val="004E7D1D"/>
    <w:rsid w:val="004F00DB"/>
    <w:rsid w:val="004F064B"/>
    <w:rsid w:val="004F0C22"/>
    <w:rsid w:val="004F0F86"/>
    <w:rsid w:val="004F1C5C"/>
    <w:rsid w:val="004F225B"/>
    <w:rsid w:val="004F249B"/>
    <w:rsid w:val="004F2AA7"/>
    <w:rsid w:val="004F35BE"/>
    <w:rsid w:val="004F449D"/>
    <w:rsid w:val="004F5860"/>
    <w:rsid w:val="004F58FC"/>
    <w:rsid w:val="004F7300"/>
    <w:rsid w:val="005001B5"/>
    <w:rsid w:val="00500E28"/>
    <w:rsid w:val="00501BA3"/>
    <w:rsid w:val="00501D09"/>
    <w:rsid w:val="00503811"/>
    <w:rsid w:val="00503B9D"/>
    <w:rsid w:val="0050406E"/>
    <w:rsid w:val="005043CD"/>
    <w:rsid w:val="005045B8"/>
    <w:rsid w:val="00504813"/>
    <w:rsid w:val="005065DE"/>
    <w:rsid w:val="00506A8C"/>
    <w:rsid w:val="00507DC0"/>
    <w:rsid w:val="005104FF"/>
    <w:rsid w:val="00510B98"/>
    <w:rsid w:val="00510CC9"/>
    <w:rsid w:val="0051131F"/>
    <w:rsid w:val="00511553"/>
    <w:rsid w:val="005117A6"/>
    <w:rsid w:val="0051247F"/>
    <w:rsid w:val="00512860"/>
    <w:rsid w:val="005130F0"/>
    <w:rsid w:val="005132F8"/>
    <w:rsid w:val="0051450E"/>
    <w:rsid w:val="00515D15"/>
    <w:rsid w:val="00515DCB"/>
    <w:rsid w:val="00516A8A"/>
    <w:rsid w:val="005177C6"/>
    <w:rsid w:val="00517E4F"/>
    <w:rsid w:val="00520788"/>
    <w:rsid w:val="005219F6"/>
    <w:rsid w:val="0052214A"/>
    <w:rsid w:val="0052227E"/>
    <w:rsid w:val="00522684"/>
    <w:rsid w:val="00525F14"/>
    <w:rsid w:val="00525F28"/>
    <w:rsid w:val="00526092"/>
    <w:rsid w:val="00526532"/>
    <w:rsid w:val="005265DB"/>
    <w:rsid w:val="00526DD0"/>
    <w:rsid w:val="00526F1C"/>
    <w:rsid w:val="005300F0"/>
    <w:rsid w:val="005302A5"/>
    <w:rsid w:val="005312EC"/>
    <w:rsid w:val="00531629"/>
    <w:rsid w:val="00531D86"/>
    <w:rsid w:val="00532E8A"/>
    <w:rsid w:val="00534302"/>
    <w:rsid w:val="0053498A"/>
    <w:rsid w:val="005350D3"/>
    <w:rsid w:val="0053562C"/>
    <w:rsid w:val="00535C44"/>
    <w:rsid w:val="00536417"/>
    <w:rsid w:val="005364A8"/>
    <w:rsid w:val="00537175"/>
    <w:rsid w:val="00540037"/>
    <w:rsid w:val="00540770"/>
    <w:rsid w:val="00541BB0"/>
    <w:rsid w:val="00543D0E"/>
    <w:rsid w:val="00544896"/>
    <w:rsid w:val="00544AEB"/>
    <w:rsid w:val="00545F55"/>
    <w:rsid w:val="005461A3"/>
    <w:rsid w:val="0054625D"/>
    <w:rsid w:val="00547E83"/>
    <w:rsid w:val="00547F05"/>
    <w:rsid w:val="005504EF"/>
    <w:rsid w:val="005514CF"/>
    <w:rsid w:val="005524B8"/>
    <w:rsid w:val="00552A83"/>
    <w:rsid w:val="00552C37"/>
    <w:rsid w:val="00552E47"/>
    <w:rsid w:val="0055313F"/>
    <w:rsid w:val="005532B0"/>
    <w:rsid w:val="00553B30"/>
    <w:rsid w:val="00554308"/>
    <w:rsid w:val="00557A65"/>
    <w:rsid w:val="00560198"/>
    <w:rsid w:val="0056071B"/>
    <w:rsid w:val="00560759"/>
    <w:rsid w:val="005608EE"/>
    <w:rsid w:val="00561A15"/>
    <w:rsid w:val="0056211B"/>
    <w:rsid w:val="005640A6"/>
    <w:rsid w:val="005645B2"/>
    <w:rsid w:val="00564633"/>
    <w:rsid w:val="00564BEE"/>
    <w:rsid w:val="0056565E"/>
    <w:rsid w:val="00565AF0"/>
    <w:rsid w:val="00567298"/>
    <w:rsid w:val="005677F6"/>
    <w:rsid w:val="00571AFF"/>
    <w:rsid w:val="00572596"/>
    <w:rsid w:val="0057282E"/>
    <w:rsid w:val="00574115"/>
    <w:rsid w:val="00574205"/>
    <w:rsid w:val="00574417"/>
    <w:rsid w:val="00574B14"/>
    <w:rsid w:val="00574DC4"/>
    <w:rsid w:val="00575507"/>
    <w:rsid w:val="00575C03"/>
    <w:rsid w:val="00575EBE"/>
    <w:rsid w:val="00576B1F"/>
    <w:rsid w:val="005801BF"/>
    <w:rsid w:val="0058052C"/>
    <w:rsid w:val="005812B6"/>
    <w:rsid w:val="0058187E"/>
    <w:rsid w:val="00581EEE"/>
    <w:rsid w:val="00582D94"/>
    <w:rsid w:val="005839E9"/>
    <w:rsid w:val="00585EE9"/>
    <w:rsid w:val="0059018F"/>
    <w:rsid w:val="005916CC"/>
    <w:rsid w:val="00591D5C"/>
    <w:rsid w:val="005922CB"/>
    <w:rsid w:val="005926D1"/>
    <w:rsid w:val="0059282A"/>
    <w:rsid w:val="00592AE6"/>
    <w:rsid w:val="00595C17"/>
    <w:rsid w:val="00595CF3"/>
    <w:rsid w:val="00597532"/>
    <w:rsid w:val="005A02FD"/>
    <w:rsid w:val="005A0949"/>
    <w:rsid w:val="005A0C85"/>
    <w:rsid w:val="005A1A54"/>
    <w:rsid w:val="005A3126"/>
    <w:rsid w:val="005A364E"/>
    <w:rsid w:val="005A4AD3"/>
    <w:rsid w:val="005A574D"/>
    <w:rsid w:val="005A6D61"/>
    <w:rsid w:val="005A769A"/>
    <w:rsid w:val="005B0DBB"/>
    <w:rsid w:val="005B19C1"/>
    <w:rsid w:val="005B1AC5"/>
    <w:rsid w:val="005B1C9D"/>
    <w:rsid w:val="005B1E21"/>
    <w:rsid w:val="005B24A5"/>
    <w:rsid w:val="005B454C"/>
    <w:rsid w:val="005B5E79"/>
    <w:rsid w:val="005B6B67"/>
    <w:rsid w:val="005B70EA"/>
    <w:rsid w:val="005B733B"/>
    <w:rsid w:val="005B7AAE"/>
    <w:rsid w:val="005B7D97"/>
    <w:rsid w:val="005C05B5"/>
    <w:rsid w:val="005C0CF0"/>
    <w:rsid w:val="005C1B79"/>
    <w:rsid w:val="005C203B"/>
    <w:rsid w:val="005C2044"/>
    <w:rsid w:val="005C29F2"/>
    <w:rsid w:val="005C4F94"/>
    <w:rsid w:val="005C5952"/>
    <w:rsid w:val="005C5CD9"/>
    <w:rsid w:val="005C5DB6"/>
    <w:rsid w:val="005C6219"/>
    <w:rsid w:val="005C7615"/>
    <w:rsid w:val="005C77A0"/>
    <w:rsid w:val="005C7919"/>
    <w:rsid w:val="005C7C44"/>
    <w:rsid w:val="005D0F82"/>
    <w:rsid w:val="005D114C"/>
    <w:rsid w:val="005D150A"/>
    <w:rsid w:val="005D1B46"/>
    <w:rsid w:val="005D1CE5"/>
    <w:rsid w:val="005D220C"/>
    <w:rsid w:val="005D2370"/>
    <w:rsid w:val="005D2B53"/>
    <w:rsid w:val="005D2B6B"/>
    <w:rsid w:val="005D3C4F"/>
    <w:rsid w:val="005D5899"/>
    <w:rsid w:val="005D5A11"/>
    <w:rsid w:val="005D6BC5"/>
    <w:rsid w:val="005D7827"/>
    <w:rsid w:val="005E0ADD"/>
    <w:rsid w:val="005E0DF3"/>
    <w:rsid w:val="005E0FC5"/>
    <w:rsid w:val="005E1524"/>
    <w:rsid w:val="005E5A01"/>
    <w:rsid w:val="005E5C67"/>
    <w:rsid w:val="005E5C94"/>
    <w:rsid w:val="005E5F55"/>
    <w:rsid w:val="005E5F90"/>
    <w:rsid w:val="005E6295"/>
    <w:rsid w:val="005E779F"/>
    <w:rsid w:val="005F01EB"/>
    <w:rsid w:val="005F1992"/>
    <w:rsid w:val="005F21F0"/>
    <w:rsid w:val="005F4168"/>
    <w:rsid w:val="005F4F5F"/>
    <w:rsid w:val="005F6032"/>
    <w:rsid w:val="005F72CB"/>
    <w:rsid w:val="005F7CD0"/>
    <w:rsid w:val="005F7F78"/>
    <w:rsid w:val="00600D47"/>
    <w:rsid w:val="00600EFA"/>
    <w:rsid w:val="00601435"/>
    <w:rsid w:val="00601B1F"/>
    <w:rsid w:val="006034C8"/>
    <w:rsid w:val="0060500B"/>
    <w:rsid w:val="0060605C"/>
    <w:rsid w:val="00606206"/>
    <w:rsid w:val="00607804"/>
    <w:rsid w:val="00607CAD"/>
    <w:rsid w:val="0061071C"/>
    <w:rsid w:val="00610F9D"/>
    <w:rsid w:val="00611D47"/>
    <w:rsid w:val="00612A4E"/>
    <w:rsid w:val="00613FAE"/>
    <w:rsid w:val="006148F5"/>
    <w:rsid w:val="006159F3"/>
    <w:rsid w:val="00615A2D"/>
    <w:rsid w:val="0061697C"/>
    <w:rsid w:val="00616F47"/>
    <w:rsid w:val="006177DD"/>
    <w:rsid w:val="00617E7F"/>
    <w:rsid w:val="00617EA6"/>
    <w:rsid w:val="00620B2A"/>
    <w:rsid w:val="00620ED0"/>
    <w:rsid w:val="00622446"/>
    <w:rsid w:val="006229C9"/>
    <w:rsid w:val="00625410"/>
    <w:rsid w:val="00625536"/>
    <w:rsid w:val="0062579E"/>
    <w:rsid w:val="006257B3"/>
    <w:rsid w:val="00627446"/>
    <w:rsid w:val="0063064F"/>
    <w:rsid w:val="00630984"/>
    <w:rsid w:val="00632062"/>
    <w:rsid w:val="00635852"/>
    <w:rsid w:val="00635ACC"/>
    <w:rsid w:val="00635BF1"/>
    <w:rsid w:val="00636558"/>
    <w:rsid w:val="00636D3C"/>
    <w:rsid w:val="00636FBC"/>
    <w:rsid w:val="00636FF1"/>
    <w:rsid w:val="0063762C"/>
    <w:rsid w:val="006405EC"/>
    <w:rsid w:val="00641DF3"/>
    <w:rsid w:val="00642418"/>
    <w:rsid w:val="00642580"/>
    <w:rsid w:val="006432BF"/>
    <w:rsid w:val="00643ED4"/>
    <w:rsid w:val="00644B05"/>
    <w:rsid w:val="00644CD2"/>
    <w:rsid w:val="00646216"/>
    <w:rsid w:val="006465F2"/>
    <w:rsid w:val="0064685D"/>
    <w:rsid w:val="00646D03"/>
    <w:rsid w:val="00647DFE"/>
    <w:rsid w:val="006503C8"/>
    <w:rsid w:val="0065154E"/>
    <w:rsid w:val="00651E40"/>
    <w:rsid w:val="00651F68"/>
    <w:rsid w:val="00652AB5"/>
    <w:rsid w:val="006530BA"/>
    <w:rsid w:val="006535A2"/>
    <w:rsid w:val="006538BD"/>
    <w:rsid w:val="00653D7A"/>
    <w:rsid w:val="006543E3"/>
    <w:rsid w:val="00654718"/>
    <w:rsid w:val="00654817"/>
    <w:rsid w:val="006557F1"/>
    <w:rsid w:val="0065583E"/>
    <w:rsid w:val="00655AC0"/>
    <w:rsid w:val="00657951"/>
    <w:rsid w:val="00657ACF"/>
    <w:rsid w:val="00660497"/>
    <w:rsid w:val="006605FD"/>
    <w:rsid w:val="0066076E"/>
    <w:rsid w:val="006614BC"/>
    <w:rsid w:val="0066163F"/>
    <w:rsid w:val="006616E6"/>
    <w:rsid w:val="00662240"/>
    <w:rsid w:val="006624B2"/>
    <w:rsid w:val="00663BBF"/>
    <w:rsid w:val="00663D80"/>
    <w:rsid w:val="00664354"/>
    <w:rsid w:val="00665010"/>
    <w:rsid w:val="00665257"/>
    <w:rsid w:val="006660F7"/>
    <w:rsid w:val="00666378"/>
    <w:rsid w:val="0066648D"/>
    <w:rsid w:val="0066676B"/>
    <w:rsid w:val="00666BAC"/>
    <w:rsid w:val="00671892"/>
    <w:rsid w:val="006733D2"/>
    <w:rsid w:val="006745C8"/>
    <w:rsid w:val="006749BE"/>
    <w:rsid w:val="00674EE6"/>
    <w:rsid w:val="00676422"/>
    <w:rsid w:val="00676594"/>
    <w:rsid w:val="00676771"/>
    <w:rsid w:val="006768BC"/>
    <w:rsid w:val="0068048D"/>
    <w:rsid w:val="006809C9"/>
    <w:rsid w:val="00680DBE"/>
    <w:rsid w:val="00681952"/>
    <w:rsid w:val="00683080"/>
    <w:rsid w:val="0068341C"/>
    <w:rsid w:val="00683683"/>
    <w:rsid w:val="00683939"/>
    <w:rsid w:val="00683E53"/>
    <w:rsid w:val="0068460A"/>
    <w:rsid w:val="00684BD6"/>
    <w:rsid w:val="006855EC"/>
    <w:rsid w:val="00685C72"/>
    <w:rsid w:val="0068603B"/>
    <w:rsid w:val="00687358"/>
    <w:rsid w:val="00692293"/>
    <w:rsid w:val="00692693"/>
    <w:rsid w:val="00692E6E"/>
    <w:rsid w:val="00692F09"/>
    <w:rsid w:val="00692F6A"/>
    <w:rsid w:val="006951D1"/>
    <w:rsid w:val="00695CB6"/>
    <w:rsid w:val="00696649"/>
    <w:rsid w:val="006966BF"/>
    <w:rsid w:val="00697CDC"/>
    <w:rsid w:val="006A07EB"/>
    <w:rsid w:val="006A211F"/>
    <w:rsid w:val="006A26CF"/>
    <w:rsid w:val="006A26DA"/>
    <w:rsid w:val="006A282C"/>
    <w:rsid w:val="006A2898"/>
    <w:rsid w:val="006A334D"/>
    <w:rsid w:val="006A3B09"/>
    <w:rsid w:val="006A41E0"/>
    <w:rsid w:val="006A446B"/>
    <w:rsid w:val="006A4E8A"/>
    <w:rsid w:val="006A5174"/>
    <w:rsid w:val="006A5341"/>
    <w:rsid w:val="006A53EC"/>
    <w:rsid w:val="006A55C3"/>
    <w:rsid w:val="006A5A9A"/>
    <w:rsid w:val="006A5CCD"/>
    <w:rsid w:val="006A6C56"/>
    <w:rsid w:val="006A7429"/>
    <w:rsid w:val="006B23B6"/>
    <w:rsid w:val="006B3898"/>
    <w:rsid w:val="006B3A62"/>
    <w:rsid w:val="006B4C9D"/>
    <w:rsid w:val="006B658F"/>
    <w:rsid w:val="006B6CD5"/>
    <w:rsid w:val="006B75F7"/>
    <w:rsid w:val="006C0C27"/>
    <w:rsid w:val="006C0DBF"/>
    <w:rsid w:val="006C101D"/>
    <w:rsid w:val="006C105A"/>
    <w:rsid w:val="006C10E3"/>
    <w:rsid w:val="006C1C9A"/>
    <w:rsid w:val="006C3623"/>
    <w:rsid w:val="006C3F17"/>
    <w:rsid w:val="006C448B"/>
    <w:rsid w:val="006C49FB"/>
    <w:rsid w:val="006C5362"/>
    <w:rsid w:val="006C6F4F"/>
    <w:rsid w:val="006C7A30"/>
    <w:rsid w:val="006C7C25"/>
    <w:rsid w:val="006C7F5E"/>
    <w:rsid w:val="006D10DA"/>
    <w:rsid w:val="006D1583"/>
    <w:rsid w:val="006D1BCE"/>
    <w:rsid w:val="006D1E8C"/>
    <w:rsid w:val="006D2134"/>
    <w:rsid w:val="006D2B8B"/>
    <w:rsid w:val="006D3254"/>
    <w:rsid w:val="006D3AC6"/>
    <w:rsid w:val="006D4D41"/>
    <w:rsid w:val="006D4D5A"/>
    <w:rsid w:val="006D5780"/>
    <w:rsid w:val="006D5BFA"/>
    <w:rsid w:val="006D66CA"/>
    <w:rsid w:val="006D672A"/>
    <w:rsid w:val="006D7004"/>
    <w:rsid w:val="006D7387"/>
    <w:rsid w:val="006D7405"/>
    <w:rsid w:val="006E0B41"/>
    <w:rsid w:val="006E1A92"/>
    <w:rsid w:val="006E2142"/>
    <w:rsid w:val="006E3080"/>
    <w:rsid w:val="006E3E2B"/>
    <w:rsid w:val="006E490D"/>
    <w:rsid w:val="006E4BC4"/>
    <w:rsid w:val="006E5AF8"/>
    <w:rsid w:val="006E61DC"/>
    <w:rsid w:val="006E7ADA"/>
    <w:rsid w:val="006F04ED"/>
    <w:rsid w:val="006F0D59"/>
    <w:rsid w:val="006F15B1"/>
    <w:rsid w:val="006F1CAE"/>
    <w:rsid w:val="006F1E4D"/>
    <w:rsid w:val="006F2408"/>
    <w:rsid w:val="006F29A5"/>
    <w:rsid w:val="006F2B9A"/>
    <w:rsid w:val="006F3178"/>
    <w:rsid w:val="006F3920"/>
    <w:rsid w:val="006F3A18"/>
    <w:rsid w:val="006F3A1D"/>
    <w:rsid w:val="006F4170"/>
    <w:rsid w:val="006F4222"/>
    <w:rsid w:val="006F4AFB"/>
    <w:rsid w:val="006F4D7F"/>
    <w:rsid w:val="006F596C"/>
    <w:rsid w:val="006F7090"/>
    <w:rsid w:val="006F7109"/>
    <w:rsid w:val="006F766E"/>
    <w:rsid w:val="006F7AE5"/>
    <w:rsid w:val="00700AB3"/>
    <w:rsid w:val="007018A6"/>
    <w:rsid w:val="00702296"/>
    <w:rsid w:val="00703A4A"/>
    <w:rsid w:val="00703FF1"/>
    <w:rsid w:val="00704FA8"/>
    <w:rsid w:val="007056AF"/>
    <w:rsid w:val="00707A85"/>
    <w:rsid w:val="00707B0B"/>
    <w:rsid w:val="00707CA9"/>
    <w:rsid w:val="00710271"/>
    <w:rsid w:val="00711C3B"/>
    <w:rsid w:val="00714AB7"/>
    <w:rsid w:val="00715C1C"/>
    <w:rsid w:val="00716706"/>
    <w:rsid w:val="00716DFA"/>
    <w:rsid w:val="00717C8C"/>
    <w:rsid w:val="00720BAB"/>
    <w:rsid w:val="00721706"/>
    <w:rsid w:val="007220D2"/>
    <w:rsid w:val="0072391C"/>
    <w:rsid w:val="00723C16"/>
    <w:rsid w:val="0072425A"/>
    <w:rsid w:val="00727633"/>
    <w:rsid w:val="0073099E"/>
    <w:rsid w:val="00730E18"/>
    <w:rsid w:val="00732E11"/>
    <w:rsid w:val="00734503"/>
    <w:rsid w:val="007347FD"/>
    <w:rsid w:val="00734884"/>
    <w:rsid w:val="00734C1A"/>
    <w:rsid w:val="00735361"/>
    <w:rsid w:val="00735619"/>
    <w:rsid w:val="00735F82"/>
    <w:rsid w:val="0073722A"/>
    <w:rsid w:val="00737B01"/>
    <w:rsid w:val="00740673"/>
    <w:rsid w:val="00742624"/>
    <w:rsid w:val="0074373B"/>
    <w:rsid w:val="007437F1"/>
    <w:rsid w:val="00743CB7"/>
    <w:rsid w:val="007445E9"/>
    <w:rsid w:val="00745605"/>
    <w:rsid w:val="00745DFF"/>
    <w:rsid w:val="00745F2C"/>
    <w:rsid w:val="00747931"/>
    <w:rsid w:val="0075034C"/>
    <w:rsid w:val="00751892"/>
    <w:rsid w:val="007529BF"/>
    <w:rsid w:val="00752CE1"/>
    <w:rsid w:val="00753789"/>
    <w:rsid w:val="007537BB"/>
    <w:rsid w:val="0075567D"/>
    <w:rsid w:val="00756DB6"/>
    <w:rsid w:val="00760147"/>
    <w:rsid w:val="007609E4"/>
    <w:rsid w:val="00760AA2"/>
    <w:rsid w:val="00760CF7"/>
    <w:rsid w:val="00760D06"/>
    <w:rsid w:val="007625A0"/>
    <w:rsid w:val="00763A76"/>
    <w:rsid w:val="00763D49"/>
    <w:rsid w:val="0076407E"/>
    <w:rsid w:val="00764784"/>
    <w:rsid w:val="00766467"/>
    <w:rsid w:val="007669AA"/>
    <w:rsid w:val="00766EE6"/>
    <w:rsid w:val="00766F00"/>
    <w:rsid w:val="0076746A"/>
    <w:rsid w:val="00767F5A"/>
    <w:rsid w:val="00770225"/>
    <w:rsid w:val="00770472"/>
    <w:rsid w:val="00770579"/>
    <w:rsid w:val="007706C6"/>
    <w:rsid w:val="007713A6"/>
    <w:rsid w:val="007713E6"/>
    <w:rsid w:val="00771BAB"/>
    <w:rsid w:val="00772875"/>
    <w:rsid w:val="00772C17"/>
    <w:rsid w:val="00773C5C"/>
    <w:rsid w:val="0077487E"/>
    <w:rsid w:val="00775FB5"/>
    <w:rsid w:val="00776B10"/>
    <w:rsid w:val="007801DB"/>
    <w:rsid w:val="0078038E"/>
    <w:rsid w:val="00780412"/>
    <w:rsid w:val="00781C72"/>
    <w:rsid w:val="007829B6"/>
    <w:rsid w:val="0078434B"/>
    <w:rsid w:val="00785111"/>
    <w:rsid w:val="00786E0F"/>
    <w:rsid w:val="00787A62"/>
    <w:rsid w:val="00787CE8"/>
    <w:rsid w:val="007900B4"/>
    <w:rsid w:val="00790108"/>
    <w:rsid w:val="00790586"/>
    <w:rsid w:val="00792C68"/>
    <w:rsid w:val="007935D3"/>
    <w:rsid w:val="00793A29"/>
    <w:rsid w:val="00794008"/>
    <w:rsid w:val="007943B4"/>
    <w:rsid w:val="007952FF"/>
    <w:rsid w:val="007956F8"/>
    <w:rsid w:val="007A0511"/>
    <w:rsid w:val="007A09DA"/>
    <w:rsid w:val="007A11B7"/>
    <w:rsid w:val="007A1962"/>
    <w:rsid w:val="007A33FC"/>
    <w:rsid w:val="007A4EB3"/>
    <w:rsid w:val="007A5785"/>
    <w:rsid w:val="007A713F"/>
    <w:rsid w:val="007A71C2"/>
    <w:rsid w:val="007B0153"/>
    <w:rsid w:val="007B0400"/>
    <w:rsid w:val="007B09A0"/>
    <w:rsid w:val="007B0D61"/>
    <w:rsid w:val="007B1661"/>
    <w:rsid w:val="007B23B5"/>
    <w:rsid w:val="007B4863"/>
    <w:rsid w:val="007B4FA7"/>
    <w:rsid w:val="007B550D"/>
    <w:rsid w:val="007B6111"/>
    <w:rsid w:val="007B63C9"/>
    <w:rsid w:val="007B6402"/>
    <w:rsid w:val="007C0848"/>
    <w:rsid w:val="007C0A95"/>
    <w:rsid w:val="007C165B"/>
    <w:rsid w:val="007C1B06"/>
    <w:rsid w:val="007C2154"/>
    <w:rsid w:val="007C2561"/>
    <w:rsid w:val="007C2DEF"/>
    <w:rsid w:val="007C3A9E"/>
    <w:rsid w:val="007C3B9A"/>
    <w:rsid w:val="007C7039"/>
    <w:rsid w:val="007D0038"/>
    <w:rsid w:val="007D0673"/>
    <w:rsid w:val="007D148D"/>
    <w:rsid w:val="007D1DBA"/>
    <w:rsid w:val="007D2125"/>
    <w:rsid w:val="007D2904"/>
    <w:rsid w:val="007D3E24"/>
    <w:rsid w:val="007D4B73"/>
    <w:rsid w:val="007D4D74"/>
    <w:rsid w:val="007D4D9F"/>
    <w:rsid w:val="007D5073"/>
    <w:rsid w:val="007D6B69"/>
    <w:rsid w:val="007D744B"/>
    <w:rsid w:val="007E0A7A"/>
    <w:rsid w:val="007E0AFC"/>
    <w:rsid w:val="007E1DE9"/>
    <w:rsid w:val="007E28D9"/>
    <w:rsid w:val="007E2BDB"/>
    <w:rsid w:val="007E303E"/>
    <w:rsid w:val="007E3610"/>
    <w:rsid w:val="007E43E7"/>
    <w:rsid w:val="007E49F4"/>
    <w:rsid w:val="007E601C"/>
    <w:rsid w:val="007E610F"/>
    <w:rsid w:val="007E6459"/>
    <w:rsid w:val="007E695F"/>
    <w:rsid w:val="007F0030"/>
    <w:rsid w:val="007F0C36"/>
    <w:rsid w:val="007F235F"/>
    <w:rsid w:val="007F2A12"/>
    <w:rsid w:val="007F2B35"/>
    <w:rsid w:val="007F2C2E"/>
    <w:rsid w:val="007F353B"/>
    <w:rsid w:val="007F36B9"/>
    <w:rsid w:val="007F39DF"/>
    <w:rsid w:val="007F4B94"/>
    <w:rsid w:val="007F4C59"/>
    <w:rsid w:val="007F6A4E"/>
    <w:rsid w:val="007F73DA"/>
    <w:rsid w:val="00800F2D"/>
    <w:rsid w:val="0080128E"/>
    <w:rsid w:val="00801AB8"/>
    <w:rsid w:val="0080377E"/>
    <w:rsid w:val="00803A0C"/>
    <w:rsid w:val="00805923"/>
    <w:rsid w:val="00805A76"/>
    <w:rsid w:val="00805B4C"/>
    <w:rsid w:val="0080643F"/>
    <w:rsid w:val="008068B1"/>
    <w:rsid w:val="00807514"/>
    <w:rsid w:val="00807647"/>
    <w:rsid w:val="00810FFF"/>
    <w:rsid w:val="008115F6"/>
    <w:rsid w:val="00812A89"/>
    <w:rsid w:val="00812F0D"/>
    <w:rsid w:val="0081371A"/>
    <w:rsid w:val="00815931"/>
    <w:rsid w:val="00816C15"/>
    <w:rsid w:val="00817814"/>
    <w:rsid w:val="00820632"/>
    <w:rsid w:val="00820896"/>
    <w:rsid w:val="008226BB"/>
    <w:rsid w:val="008228BA"/>
    <w:rsid w:val="0082434A"/>
    <w:rsid w:val="00824677"/>
    <w:rsid w:val="00825153"/>
    <w:rsid w:val="008276E4"/>
    <w:rsid w:val="00830C01"/>
    <w:rsid w:val="00830DBA"/>
    <w:rsid w:val="00831BE2"/>
    <w:rsid w:val="00831DEB"/>
    <w:rsid w:val="00832295"/>
    <w:rsid w:val="0083363B"/>
    <w:rsid w:val="00833F71"/>
    <w:rsid w:val="00834121"/>
    <w:rsid w:val="008358B5"/>
    <w:rsid w:val="00835E0B"/>
    <w:rsid w:val="00836C61"/>
    <w:rsid w:val="00837BEC"/>
    <w:rsid w:val="00840115"/>
    <w:rsid w:val="0084023A"/>
    <w:rsid w:val="0084122C"/>
    <w:rsid w:val="0084166A"/>
    <w:rsid w:val="0084197D"/>
    <w:rsid w:val="00841BEF"/>
    <w:rsid w:val="00841E05"/>
    <w:rsid w:val="00842314"/>
    <w:rsid w:val="0084384F"/>
    <w:rsid w:val="00843D4A"/>
    <w:rsid w:val="00843E26"/>
    <w:rsid w:val="00844F3C"/>
    <w:rsid w:val="008462D8"/>
    <w:rsid w:val="0084632B"/>
    <w:rsid w:val="00846395"/>
    <w:rsid w:val="00846A87"/>
    <w:rsid w:val="00847C5D"/>
    <w:rsid w:val="00851F7D"/>
    <w:rsid w:val="00851F94"/>
    <w:rsid w:val="00852C59"/>
    <w:rsid w:val="00853735"/>
    <w:rsid w:val="0085398A"/>
    <w:rsid w:val="00854716"/>
    <w:rsid w:val="0085503B"/>
    <w:rsid w:val="00855509"/>
    <w:rsid w:val="008565BB"/>
    <w:rsid w:val="00856A4D"/>
    <w:rsid w:val="00860014"/>
    <w:rsid w:val="00860C62"/>
    <w:rsid w:val="008610C3"/>
    <w:rsid w:val="0086146C"/>
    <w:rsid w:val="00861774"/>
    <w:rsid w:val="00861C8B"/>
    <w:rsid w:val="008622C1"/>
    <w:rsid w:val="008646F5"/>
    <w:rsid w:val="00864A76"/>
    <w:rsid w:val="00864E9D"/>
    <w:rsid w:val="008667E0"/>
    <w:rsid w:val="0087165A"/>
    <w:rsid w:val="008721D2"/>
    <w:rsid w:val="00872509"/>
    <w:rsid w:val="008726DC"/>
    <w:rsid w:val="0087282F"/>
    <w:rsid w:val="00875837"/>
    <w:rsid w:val="008760A2"/>
    <w:rsid w:val="0087685A"/>
    <w:rsid w:val="00876CA4"/>
    <w:rsid w:val="00880578"/>
    <w:rsid w:val="00882768"/>
    <w:rsid w:val="00882EE1"/>
    <w:rsid w:val="00883622"/>
    <w:rsid w:val="00884EDF"/>
    <w:rsid w:val="00886695"/>
    <w:rsid w:val="00887316"/>
    <w:rsid w:val="0089275D"/>
    <w:rsid w:val="00892C90"/>
    <w:rsid w:val="00892FC4"/>
    <w:rsid w:val="00894A01"/>
    <w:rsid w:val="00894D97"/>
    <w:rsid w:val="0089522E"/>
    <w:rsid w:val="00895844"/>
    <w:rsid w:val="00895A97"/>
    <w:rsid w:val="00896C19"/>
    <w:rsid w:val="0089705A"/>
    <w:rsid w:val="0089714E"/>
    <w:rsid w:val="00897287"/>
    <w:rsid w:val="008978BA"/>
    <w:rsid w:val="008A0313"/>
    <w:rsid w:val="008A1B6E"/>
    <w:rsid w:val="008A1C59"/>
    <w:rsid w:val="008A268D"/>
    <w:rsid w:val="008A31ED"/>
    <w:rsid w:val="008A3CA8"/>
    <w:rsid w:val="008A43A7"/>
    <w:rsid w:val="008A4450"/>
    <w:rsid w:val="008A4485"/>
    <w:rsid w:val="008A4A08"/>
    <w:rsid w:val="008A6979"/>
    <w:rsid w:val="008A6EE2"/>
    <w:rsid w:val="008A7069"/>
    <w:rsid w:val="008A75C0"/>
    <w:rsid w:val="008A7E14"/>
    <w:rsid w:val="008B11E2"/>
    <w:rsid w:val="008B1281"/>
    <w:rsid w:val="008B151C"/>
    <w:rsid w:val="008B153C"/>
    <w:rsid w:val="008B1614"/>
    <w:rsid w:val="008B18FC"/>
    <w:rsid w:val="008B206F"/>
    <w:rsid w:val="008B2896"/>
    <w:rsid w:val="008B29D1"/>
    <w:rsid w:val="008B2E92"/>
    <w:rsid w:val="008B2EDB"/>
    <w:rsid w:val="008B469E"/>
    <w:rsid w:val="008B680A"/>
    <w:rsid w:val="008B6DDD"/>
    <w:rsid w:val="008B772F"/>
    <w:rsid w:val="008C0BBD"/>
    <w:rsid w:val="008C0C22"/>
    <w:rsid w:val="008C0C61"/>
    <w:rsid w:val="008C1959"/>
    <w:rsid w:val="008C1992"/>
    <w:rsid w:val="008C2ACF"/>
    <w:rsid w:val="008C55DE"/>
    <w:rsid w:val="008C58D1"/>
    <w:rsid w:val="008C5938"/>
    <w:rsid w:val="008C6681"/>
    <w:rsid w:val="008C7B40"/>
    <w:rsid w:val="008D02D4"/>
    <w:rsid w:val="008D0355"/>
    <w:rsid w:val="008D09B9"/>
    <w:rsid w:val="008D13F7"/>
    <w:rsid w:val="008D1E2F"/>
    <w:rsid w:val="008D210F"/>
    <w:rsid w:val="008D228D"/>
    <w:rsid w:val="008D249E"/>
    <w:rsid w:val="008D280C"/>
    <w:rsid w:val="008D6B16"/>
    <w:rsid w:val="008D7571"/>
    <w:rsid w:val="008D7D8C"/>
    <w:rsid w:val="008D7FDF"/>
    <w:rsid w:val="008E078B"/>
    <w:rsid w:val="008E0EB6"/>
    <w:rsid w:val="008E2849"/>
    <w:rsid w:val="008E2C3B"/>
    <w:rsid w:val="008E2F39"/>
    <w:rsid w:val="008E4005"/>
    <w:rsid w:val="008E661F"/>
    <w:rsid w:val="008E67CA"/>
    <w:rsid w:val="008E7205"/>
    <w:rsid w:val="008E7B14"/>
    <w:rsid w:val="008F03D8"/>
    <w:rsid w:val="008F0684"/>
    <w:rsid w:val="008F06F0"/>
    <w:rsid w:val="008F0B2C"/>
    <w:rsid w:val="008F16F0"/>
    <w:rsid w:val="008F2D43"/>
    <w:rsid w:val="008F3EBE"/>
    <w:rsid w:val="008F5AD1"/>
    <w:rsid w:val="008F5B17"/>
    <w:rsid w:val="008F6859"/>
    <w:rsid w:val="008F7577"/>
    <w:rsid w:val="009001A5"/>
    <w:rsid w:val="00900891"/>
    <w:rsid w:val="00902389"/>
    <w:rsid w:val="00902BA2"/>
    <w:rsid w:val="00902E07"/>
    <w:rsid w:val="00903B00"/>
    <w:rsid w:val="00903DFE"/>
    <w:rsid w:val="0090440C"/>
    <w:rsid w:val="00905A85"/>
    <w:rsid w:val="00905AD5"/>
    <w:rsid w:val="00905BAB"/>
    <w:rsid w:val="00906282"/>
    <w:rsid w:val="00907C14"/>
    <w:rsid w:val="00907CE1"/>
    <w:rsid w:val="0091009C"/>
    <w:rsid w:val="00910AD6"/>
    <w:rsid w:val="00910FA5"/>
    <w:rsid w:val="0091196A"/>
    <w:rsid w:val="00912CB0"/>
    <w:rsid w:val="009134C4"/>
    <w:rsid w:val="00913F3F"/>
    <w:rsid w:val="00914683"/>
    <w:rsid w:val="00916716"/>
    <w:rsid w:val="0091780D"/>
    <w:rsid w:val="00922757"/>
    <w:rsid w:val="009228E2"/>
    <w:rsid w:val="00923D9E"/>
    <w:rsid w:val="0092530C"/>
    <w:rsid w:val="00926100"/>
    <w:rsid w:val="00927B74"/>
    <w:rsid w:val="00927BFA"/>
    <w:rsid w:val="009303EC"/>
    <w:rsid w:val="00931FFD"/>
    <w:rsid w:val="00933F0A"/>
    <w:rsid w:val="0093405C"/>
    <w:rsid w:val="009342FB"/>
    <w:rsid w:val="009348E1"/>
    <w:rsid w:val="00936890"/>
    <w:rsid w:val="00936A12"/>
    <w:rsid w:val="009377A8"/>
    <w:rsid w:val="009378EA"/>
    <w:rsid w:val="009410E2"/>
    <w:rsid w:val="00941A5A"/>
    <w:rsid w:val="009424A6"/>
    <w:rsid w:val="0094285A"/>
    <w:rsid w:val="00942928"/>
    <w:rsid w:val="00944357"/>
    <w:rsid w:val="00945D27"/>
    <w:rsid w:val="00945DA6"/>
    <w:rsid w:val="00945E83"/>
    <w:rsid w:val="009463B8"/>
    <w:rsid w:val="009466E5"/>
    <w:rsid w:val="00946CFD"/>
    <w:rsid w:val="00947F1B"/>
    <w:rsid w:val="00950A52"/>
    <w:rsid w:val="00951286"/>
    <w:rsid w:val="00951408"/>
    <w:rsid w:val="0095160A"/>
    <w:rsid w:val="009518A9"/>
    <w:rsid w:val="00952010"/>
    <w:rsid w:val="00952296"/>
    <w:rsid w:val="009525FB"/>
    <w:rsid w:val="0095293B"/>
    <w:rsid w:val="00954EA0"/>
    <w:rsid w:val="0095512B"/>
    <w:rsid w:val="009554F2"/>
    <w:rsid w:val="00955C09"/>
    <w:rsid w:val="00955CE2"/>
    <w:rsid w:val="009561A6"/>
    <w:rsid w:val="00956540"/>
    <w:rsid w:val="00956C61"/>
    <w:rsid w:val="009570CA"/>
    <w:rsid w:val="009573B0"/>
    <w:rsid w:val="00957E1A"/>
    <w:rsid w:val="00960461"/>
    <w:rsid w:val="009620EB"/>
    <w:rsid w:val="009626EC"/>
    <w:rsid w:val="00963450"/>
    <w:rsid w:val="00963E5B"/>
    <w:rsid w:val="00965371"/>
    <w:rsid w:val="00965814"/>
    <w:rsid w:val="00966050"/>
    <w:rsid w:val="0096672A"/>
    <w:rsid w:val="00966F1D"/>
    <w:rsid w:val="00967128"/>
    <w:rsid w:val="009672B7"/>
    <w:rsid w:val="009672DA"/>
    <w:rsid w:val="00967666"/>
    <w:rsid w:val="00970310"/>
    <w:rsid w:val="0097088A"/>
    <w:rsid w:val="00970E77"/>
    <w:rsid w:val="0097262F"/>
    <w:rsid w:val="00973F87"/>
    <w:rsid w:val="00974BC1"/>
    <w:rsid w:val="00974DCD"/>
    <w:rsid w:val="00975ECA"/>
    <w:rsid w:val="0097604E"/>
    <w:rsid w:val="00976449"/>
    <w:rsid w:val="00976779"/>
    <w:rsid w:val="00976944"/>
    <w:rsid w:val="009778E5"/>
    <w:rsid w:val="00977E1E"/>
    <w:rsid w:val="00980045"/>
    <w:rsid w:val="00981138"/>
    <w:rsid w:val="009812B0"/>
    <w:rsid w:val="0098141D"/>
    <w:rsid w:val="00981F64"/>
    <w:rsid w:val="0098215B"/>
    <w:rsid w:val="00982916"/>
    <w:rsid w:val="00983951"/>
    <w:rsid w:val="00983D03"/>
    <w:rsid w:val="0098406A"/>
    <w:rsid w:val="0098571A"/>
    <w:rsid w:val="00986CE5"/>
    <w:rsid w:val="00986DA3"/>
    <w:rsid w:val="00987929"/>
    <w:rsid w:val="00990AF5"/>
    <w:rsid w:val="009915FB"/>
    <w:rsid w:val="009931EC"/>
    <w:rsid w:val="009938FE"/>
    <w:rsid w:val="009944EF"/>
    <w:rsid w:val="00994943"/>
    <w:rsid w:val="009962DA"/>
    <w:rsid w:val="00996AC3"/>
    <w:rsid w:val="009A03D8"/>
    <w:rsid w:val="009A082C"/>
    <w:rsid w:val="009A0E5F"/>
    <w:rsid w:val="009A13AB"/>
    <w:rsid w:val="009A157A"/>
    <w:rsid w:val="009A1CB2"/>
    <w:rsid w:val="009A2195"/>
    <w:rsid w:val="009A21BA"/>
    <w:rsid w:val="009A2317"/>
    <w:rsid w:val="009A265A"/>
    <w:rsid w:val="009A2F7D"/>
    <w:rsid w:val="009A4026"/>
    <w:rsid w:val="009A4E82"/>
    <w:rsid w:val="009A72C1"/>
    <w:rsid w:val="009A74D9"/>
    <w:rsid w:val="009A7A2C"/>
    <w:rsid w:val="009A7E2E"/>
    <w:rsid w:val="009B00D0"/>
    <w:rsid w:val="009B019B"/>
    <w:rsid w:val="009B05EE"/>
    <w:rsid w:val="009B1B5C"/>
    <w:rsid w:val="009B1CEA"/>
    <w:rsid w:val="009B2E64"/>
    <w:rsid w:val="009B43D5"/>
    <w:rsid w:val="009B455D"/>
    <w:rsid w:val="009B45DE"/>
    <w:rsid w:val="009B4DB1"/>
    <w:rsid w:val="009B4DCE"/>
    <w:rsid w:val="009B582F"/>
    <w:rsid w:val="009B73AA"/>
    <w:rsid w:val="009C02BC"/>
    <w:rsid w:val="009C0FF0"/>
    <w:rsid w:val="009C1224"/>
    <w:rsid w:val="009C1484"/>
    <w:rsid w:val="009C19C2"/>
    <w:rsid w:val="009C1BF7"/>
    <w:rsid w:val="009C275C"/>
    <w:rsid w:val="009C3E06"/>
    <w:rsid w:val="009C3F95"/>
    <w:rsid w:val="009C4622"/>
    <w:rsid w:val="009C5086"/>
    <w:rsid w:val="009C5382"/>
    <w:rsid w:val="009C53D3"/>
    <w:rsid w:val="009C5C4C"/>
    <w:rsid w:val="009C6567"/>
    <w:rsid w:val="009C65D6"/>
    <w:rsid w:val="009C6875"/>
    <w:rsid w:val="009C6BB2"/>
    <w:rsid w:val="009D07A8"/>
    <w:rsid w:val="009D12CB"/>
    <w:rsid w:val="009D1906"/>
    <w:rsid w:val="009D1910"/>
    <w:rsid w:val="009D292F"/>
    <w:rsid w:val="009D2CAA"/>
    <w:rsid w:val="009D2DC0"/>
    <w:rsid w:val="009D43A6"/>
    <w:rsid w:val="009D553A"/>
    <w:rsid w:val="009D563A"/>
    <w:rsid w:val="009D7272"/>
    <w:rsid w:val="009D77EE"/>
    <w:rsid w:val="009E0288"/>
    <w:rsid w:val="009E0E69"/>
    <w:rsid w:val="009E111F"/>
    <w:rsid w:val="009E19AA"/>
    <w:rsid w:val="009E19E7"/>
    <w:rsid w:val="009E2424"/>
    <w:rsid w:val="009E28A9"/>
    <w:rsid w:val="009E3D22"/>
    <w:rsid w:val="009E3DEF"/>
    <w:rsid w:val="009E4473"/>
    <w:rsid w:val="009E66BA"/>
    <w:rsid w:val="009E6828"/>
    <w:rsid w:val="009E789F"/>
    <w:rsid w:val="009F12B4"/>
    <w:rsid w:val="009F1557"/>
    <w:rsid w:val="009F176C"/>
    <w:rsid w:val="009F26EE"/>
    <w:rsid w:val="009F28D5"/>
    <w:rsid w:val="009F3964"/>
    <w:rsid w:val="009F3A82"/>
    <w:rsid w:val="009F3C68"/>
    <w:rsid w:val="009F41AD"/>
    <w:rsid w:val="009F44FA"/>
    <w:rsid w:val="009F4A9B"/>
    <w:rsid w:val="009F51CC"/>
    <w:rsid w:val="009F575D"/>
    <w:rsid w:val="00A0032D"/>
    <w:rsid w:val="00A0063F"/>
    <w:rsid w:val="00A00713"/>
    <w:rsid w:val="00A0082C"/>
    <w:rsid w:val="00A01931"/>
    <w:rsid w:val="00A01B9F"/>
    <w:rsid w:val="00A03F81"/>
    <w:rsid w:val="00A0486D"/>
    <w:rsid w:val="00A05EE7"/>
    <w:rsid w:val="00A06768"/>
    <w:rsid w:val="00A0735A"/>
    <w:rsid w:val="00A100EA"/>
    <w:rsid w:val="00A1013B"/>
    <w:rsid w:val="00A1249D"/>
    <w:rsid w:val="00A12BAC"/>
    <w:rsid w:val="00A13CBD"/>
    <w:rsid w:val="00A1507E"/>
    <w:rsid w:val="00A1722A"/>
    <w:rsid w:val="00A21306"/>
    <w:rsid w:val="00A2294B"/>
    <w:rsid w:val="00A22BE5"/>
    <w:rsid w:val="00A24086"/>
    <w:rsid w:val="00A24A50"/>
    <w:rsid w:val="00A251DB"/>
    <w:rsid w:val="00A25207"/>
    <w:rsid w:val="00A26080"/>
    <w:rsid w:val="00A2695D"/>
    <w:rsid w:val="00A278BF"/>
    <w:rsid w:val="00A27BC1"/>
    <w:rsid w:val="00A27D34"/>
    <w:rsid w:val="00A300CC"/>
    <w:rsid w:val="00A30819"/>
    <w:rsid w:val="00A30A66"/>
    <w:rsid w:val="00A311FC"/>
    <w:rsid w:val="00A31AFC"/>
    <w:rsid w:val="00A32148"/>
    <w:rsid w:val="00A32717"/>
    <w:rsid w:val="00A34C5A"/>
    <w:rsid w:val="00A35488"/>
    <w:rsid w:val="00A35E81"/>
    <w:rsid w:val="00A363CC"/>
    <w:rsid w:val="00A36A6A"/>
    <w:rsid w:val="00A37CFE"/>
    <w:rsid w:val="00A4008A"/>
    <w:rsid w:val="00A4083B"/>
    <w:rsid w:val="00A41602"/>
    <w:rsid w:val="00A418C5"/>
    <w:rsid w:val="00A41F25"/>
    <w:rsid w:val="00A42822"/>
    <w:rsid w:val="00A43F7D"/>
    <w:rsid w:val="00A44ABA"/>
    <w:rsid w:val="00A44B54"/>
    <w:rsid w:val="00A45706"/>
    <w:rsid w:val="00A45AF7"/>
    <w:rsid w:val="00A46012"/>
    <w:rsid w:val="00A46274"/>
    <w:rsid w:val="00A47847"/>
    <w:rsid w:val="00A47A30"/>
    <w:rsid w:val="00A47FC6"/>
    <w:rsid w:val="00A50E3D"/>
    <w:rsid w:val="00A51454"/>
    <w:rsid w:val="00A518A0"/>
    <w:rsid w:val="00A518E7"/>
    <w:rsid w:val="00A51C42"/>
    <w:rsid w:val="00A51EA7"/>
    <w:rsid w:val="00A525EB"/>
    <w:rsid w:val="00A52752"/>
    <w:rsid w:val="00A546B3"/>
    <w:rsid w:val="00A560CF"/>
    <w:rsid w:val="00A561DB"/>
    <w:rsid w:val="00A576E7"/>
    <w:rsid w:val="00A60A7D"/>
    <w:rsid w:val="00A6104B"/>
    <w:rsid w:val="00A610DD"/>
    <w:rsid w:val="00A611F6"/>
    <w:rsid w:val="00A61DB5"/>
    <w:rsid w:val="00A62B36"/>
    <w:rsid w:val="00A62D64"/>
    <w:rsid w:val="00A63785"/>
    <w:rsid w:val="00A63A77"/>
    <w:rsid w:val="00A63C5F"/>
    <w:rsid w:val="00A64B19"/>
    <w:rsid w:val="00A64F0E"/>
    <w:rsid w:val="00A65388"/>
    <w:rsid w:val="00A65E67"/>
    <w:rsid w:val="00A672CC"/>
    <w:rsid w:val="00A6793F"/>
    <w:rsid w:val="00A67BCA"/>
    <w:rsid w:val="00A7036D"/>
    <w:rsid w:val="00A70B67"/>
    <w:rsid w:val="00A70E51"/>
    <w:rsid w:val="00A70FFD"/>
    <w:rsid w:val="00A71B03"/>
    <w:rsid w:val="00A71B1F"/>
    <w:rsid w:val="00A721B7"/>
    <w:rsid w:val="00A72500"/>
    <w:rsid w:val="00A730CD"/>
    <w:rsid w:val="00A7509B"/>
    <w:rsid w:val="00A75B89"/>
    <w:rsid w:val="00A75DA5"/>
    <w:rsid w:val="00A75E63"/>
    <w:rsid w:val="00A762BB"/>
    <w:rsid w:val="00A762BD"/>
    <w:rsid w:val="00A766EF"/>
    <w:rsid w:val="00A76EF6"/>
    <w:rsid w:val="00A805CC"/>
    <w:rsid w:val="00A80745"/>
    <w:rsid w:val="00A81189"/>
    <w:rsid w:val="00A817FB"/>
    <w:rsid w:val="00A81A61"/>
    <w:rsid w:val="00A81CB8"/>
    <w:rsid w:val="00A81D50"/>
    <w:rsid w:val="00A8211C"/>
    <w:rsid w:val="00A8265F"/>
    <w:rsid w:val="00A826AA"/>
    <w:rsid w:val="00A8340F"/>
    <w:rsid w:val="00A8345B"/>
    <w:rsid w:val="00A83B53"/>
    <w:rsid w:val="00A83C8E"/>
    <w:rsid w:val="00A843B5"/>
    <w:rsid w:val="00A84718"/>
    <w:rsid w:val="00A84801"/>
    <w:rsid w:val="00A84A87"/>
    <w:rsid w:val="00A84D92"/>
    <w:rsid w:val="00A85A7F"/>
    <w:rsid w:val="00A86FD0"/>
    <w:rsid w:val="00A87342"/>
    <w:rsid w:val="00A875DB"/>
    <w:rsid w:val="00A875F6"/>
    <w:rsid w:val="00A901FC"/>
    <w:rsid w:val="00A911E3"/>
    <w:rsid w:val="00A92047"/>
    <w:rsid w:val="00A93839"/>
    <w:rsid w:val="00A94064"/>
    <w:rsid w:val="00A945DD"/>
    <w:rsid w:val="00A94851"/>
    <w:rsid w:val="00A9615D"/>
    <w:rsid w:val="00A96759"/>
    <w:rsid w:val="00A96FCB"/>
    <w:rsid w:val="00A97290"/>
    <w:rsid w:val="00AA1FCF"/>
    <w:rsid w:val="00AA3A7E"/>
    <w:rsid w:val="00AA3F61"/>
    <w:rsid w:val="00AA5C09"/>
    <w:rsid w:val="00AA5C75"/>
    <w:rsid w:val="00AA654B"/>
    <w:rsid w:val="00AA6624"/>
    <w:rsid w:val="00AA6D95"/>
    <w:rsid w:val="00AA6F26"/>
    <w:rsid w:val="00AA7BA1"/>
    <w:rsid w:val="00AB092C"/>
    <w:rsid w:val="00AB111A"/>
    <w:rsid w:val="00AB1877"/>
    <w:rsid w:val="00AB1A57"/>
    <w:rsid w:val="00AB23F3"/>
    <w:rsid w:val="00AB2F09"/>
    <w:rsid w:val="00AB3C52"/>
    <w:rsid w:val="00AB4B29"/>
    <w:rsid w:val="00AB50E3"/>
    <w:rsid w:val="00AB5198"/>
    <w:rsid w:val="00AB51E9"/>
    <w:rsid w:val="00AB549E"/>
    <w:rsid w:val="00AB55B7"/>
    <w:rsid w:val="00AB5D53"/>
    <w:rsid w:val="00AB6E7E"/>
    <w:rsid w:val="00AB7A00"/>
    <w:rsid w:val="00AB7AAC"/>
    <w:rsid w:val="00AC008B"/>
    <w:rsid w:val="00AC035D"/>
    <w:rsid w:val="00AC0DBB"/>
    <w:rsid w:val="00AC14E0"/>
    <w:rsid w:val="00AC261F"/>
    <w:rsid w:val="00AC291F"/>
    <w:rsid w:val="00AC2FDA"/>
    <w:rsid w:val="00AC35B9"/>
    <w:rsid w:val="00AC418A"/>
    <w:rsid w:val="00AC511A"/>
    <w:rsid w:val="00AC70DB"/>
    <w:rsid w:val="00AD048A"/>
    <w:rsid w:val="00AD067A"/>
    <w:rsid w:val="00AD0A0C"/>
    <w:rsid w:val="00AD1341"/>
    <w:rsid w:val="00AD1BE5"/>
    <w:rsid w:val="00AD2CD0"/>
    <w:rsid w:val="00AD2E96"/>
    <w:rsid w:val="00AD3310"/>
    <w:rsid w:val="00AD3498"/>
    <w:rsid w:val="00AD55F9"/>
    <w:rsid w:val="00AD5C4B"/>
    <w:rsid w:val="00AD736A"/>
    <w:rsid w:val="00AD7505"/>
    <w:rsid w:val="00AD7695"/>
    <w:rsid w:val="00AE086C"/>
    <w:rsid w:val="00AE1C08"/>
    <w:rsid w:val="00AE249A"/>
    <w:rsid w:val="00AE3D28"/>
    <w:rsid w:val="00AE529B"/>
    <w:rsid w:val="00AE61CA"/>
    <w:rsid w:val="00AE66B2"/>
    <w:rsid w:val="00AE6DA6"/>
    <w:rsid w:val="00AE7912"/>
    <w:rsid w:val="00AE794C"/>
    <w:rsid w:val="00AF0458"/>
    <w:rsid w:val="00AF0DC8"/>
    <w:rsid w:val="00AF137A"/>
    <w:rsid w:val="00AF1B21"/>
    <w:rsid w:val="00AF1E98"/>
    <w:rsid w:val="00AF57E2"/>
    <w:rsid w:val="00AF73F5"/>
    <w:rsid w:val="00AF7469"/>
    <w:rsid w:val="00B00701"/>
    <w:rsid w:val="00B00969"/>
    <w:rsid w:val="00B013BB"/>
    <w:rsid w:val="00B0160D"/>
    <w:rsid w:val="00B01ED6"/>
    <w:rsid w:val="00B02395"/>
    <w:rsid w:val="00B024C5"/>
    <w:rsid w:val="00B02FEC"/>
    <w:rsid w:val="00B03C9F"/>
    <w:rsid w:val="00B048FF"/>
    <w:rsid w:val="00B06037"/>
    <w:rsid w:val="00B0738E"/>
    <w:rsid w:val="00B10F9D"/>
    <w:rsid w:val="00B110AC"/>
    <w:rsid w:val="00B13CE0"/>
    <w:rsid w:val="00B1477A"/>
    <w:rsid w:val="00B14D9D"/>
    <w:rsid w:val="00B15291"/>
    <w:rsid w:val="00B154C0"/>
    <w:rsid w:val="00B1568A"/>
    <w:rsid w:val="00B17011"/>
    <w:rsid w:val="00B173BB"/>
    <w:rsid w:val="00B176C2"/>
    <w:rsid w:val="00B17C18"/>
    <w:rsid w:val="00B2154D"/>
    <w:rsid w:val="00B21577"/>
    <w:rsid w:val="00B21902"/>
    <w:rsid w:val="00B21BCF"/>
    <w:rsid w:val="00B21D1A"/>
    <w:rsid w:val="00B2237D"/>
    <w:rsid w:val="00B2252A"/>
    <w:rsid w:val="00B22C8C"/>
    <w:rsid w:val="00B23077"/>
    <w:rsid w:val="00B235E8"/>
    <w:rsid w:val="00B23BD1"/>
    <w:rsid w:val="00B2471E"/>
    <w:rsid w:val="00B2492E"/>
    <w:rsid w:val="00B253C3"/>
    <w:rsid w:val="00B25B24"/>
    <w:rsid w:val="00B2652B"/>
    <w:rsid w:val="00B30810"/>
    <w:rsid w:val="00B31402"/>
    <w:rsid w:val="00B31B41"/>
    <w:rsid w:val="00B3404E"/>
    <w:rsid w:val="00B34960"/>
    <w:rsid w:val="00B352D4"/>
    <w:rsid w:val="00B35DF2"/>
    <w:rsid w:val="00B366B8"/>
    <w:rsid w:val="00B366B9"/>
    <w:rsid w:val="00B37077"/>
    <w:rsid w:val="00B37116"/>
    <w:rsid w:val="00B378C2"/>
    <w:rsid w:val="00B379EA"/>
    <w:rsid w:val="00B37AA4"/>
    <w:rsid w:val="00B37B88"/>
    <w:rsid w:val="00B40273"/>
    <w:rsid w:val="00B40A3D"/>
    <w:rsid w:val="00B41554"/>
    <w:rsid w:val="00B41738"/>
    <w:rsid w:val="00B43277"/>
    <w:rsid w:val="00B43404"/>
    <w:rsid w:val="00B45095"/>
    <w:rsid w:val="00B451F5"/>
    <w:rsid w:val="00B4691B"/>
    <w:rsid w:val="00B46A0A"/>
    <w:rsid w:val="00B4763B"/>
    <w:rsid w:val="00B51EA4"/>
    <w:rsid w:val="00B524AA"/>
    <w:rsid w:val="00B52BC3"/>
    <w:rsid w:val="00B5424E"/>
    <w:rsid w:val="00B54451"/>
    <w:rsid w:val="00B54643"/>
    <w:rsid w:val="00B5466B"/>
    <w:rsid w:val="00B56121"/>
    <w:rsid w:val="00B56242"/>
    <w:rsid w:val="00B562E0"/>
    <w:rsid w:val="00B565B3"/>
    <w:rsid w:val="00B5675E"/>
    <w:rsid w:val="00B5753F"/>
    <w:rsid w:val="00B5799D"/>
    <w:rsid w:val="00B60412"/>
    <w:rsid w:val="00B60822"/>
    <w:rsid w:val="00B60E37"/>
    <w:rsid w:val="00B611CE"/>
    <w:rsid w:val="00B6183B"/>
    <w:rsid w:val="00B61AA6"/>
    <w:rsid w:val="00B621EF"/>
    <w:rsid w:val="00B62428"/>
    <w:rsid w:val="00B626F1"/>
    <w:rsid w:val="00B629BA"/>
    <w:rsid w:val="00B62CEE"/>
    <w:rsid w:val="00B64B5C"/>
    <w:rsid w:val="00B64FC4"/>
    <w:rsid w:val="00B657E4"/>
    <w:rsid w:val="00B65A7E"/>
    <w:rsid w:val="00B65B0F"/>
    <w:rsid w:val="00B66F9D"/>
    <w:rsid w:val="00B67D1D"/>
    <w:rsid w:val="00B71331"/>
    <w:rsid w:val="00B71A72"/>
    <w:rsid w:val="00B720C1"/>
    <w:rsid w:val="00B72168"/>
    <w:rsid w:val="00B724B7"/>
    <w:rsid w:val="00B72988"/>
    <w:rsid w:val="00B72E95"/>
    <w:rsid w:val="00B735AC"/>
    <w:rsid w:val="00B739A5"/>
    <w:rsid w:val="00B73BDC"/>
    <w:rsid w:val="00B7444B"/>
    <w:rsid w:val="00B74A7C"/>
    <w:rsid w:val="00B74AA9"/>
    <w:rsid w:val="00B75D39"/>
    <w:rsid w:val="00B7624A"/>
    <w:rsid w:val="00B77674"/>
    <w:rsid w:val="00B777A3"/>
    <w:rsid w:val="00B779F5"/>
    <w:rsid w:val="00B8046E"/>
    <w:rsid w:val="00B80C62"/>
    <w:rsid w:val="00B80F05"/>
    <w:rsid w:val="00B81412"/>
    <w:rsid w:val="00B821E0"/>
    <w:rsid w:val="00B83B77"/>
    <w:rsid w:val="00B83B8C"/>
    <w:rsid w:val="00B83D57"/>
    <w:rsid w:val="00B84304"/>
    <w:rsid w:val="00B8438C"/>
    <w:rsid w:val="00B8457B"/>
    <w:rsid w:val="00B84A4B"/>
    <w:rsid w:val="00B8645F"/>
    <w:rsid w:val="00B878A8"/>
    <w:rsid w:val="00B90150"/>
    <w:rsid w:val="00B902E6"/>
    <w:rsid w:val="00B90A06"/>
    <w:rsid w:val="00B912F9"/>
    <w:rsid w:val="00B91D2D"/>
    <w:rsid w:val="00B934AD"/>
    <w:rsid w:val="00B93BD6"/>
    <w:rsid w:val="00B93DF6"/>
    <w:rsid w:val="00B93ECF"/>
    <w:rsid w:val="00B94317"/>
    <w:rsid w:val="00B95C59"/>
    <w:rsid w:val="00B95D5C"/>
    <w:rsid w:val="00B97B2B"/>
    <w:rsid w:val="00B97B7D"/>
    <w:rsid w:val="00BA17E9"/>
    <w:rsid w:val="00BA1B6E"/>
    <w:rsid w:val="00BA5CA6"/>
    <w:rsid w:val="00BA6843"/>
    <w:rsid w:val="00BA6BEC"/>
    <w:rsid w:val="00BA6EFD"/>
    <w:rsid w:val="00BB01B4"/>
    <w:rsid w:val="00BB02D1"/>
    <w:rsid w:val="00BB1922"/>
    <w:rsid w:val="00BB2682"/>
    <w:rsid w:val="00BB2EBF"/>
    <w:rsid w:val="00BB389F"/>
    <w:rsid w:val="00BB400D"/>
    <w:rsid w:val="00BB4687"/>
    <w:rsid w:val="00BB52AD"/>
    <w:rsid w:val="00BB6092"/>
    <w:rsid w:val="00BB685D"/>
    <w:rsid w:val="00BB716B"/>
    <w:rsid w:val="00BB7A52"/>
    <w:rsid w:val="00BB7D82"/>
    <w:rsid w:val="00BC0019"/>
    <w:rsid w:val="00BC0146"/>
    <w:rsid w:val="00BC03EB"/>
    <w:rsid w:val="00BC0B56"/>
    <w:rsid w:val="00BC0CA2"/>
    <w:rsid w:val="00BC107F"/>
    <w:rsid w:val="00BC114C"/>
    <w:rsid w:val="00BC16C4"/>
    <w:rsid w:val="00BC18A5"/>
    <w:rsid w:val="00BC1F85"/>
    <w:rsid w:val="00BC23D7"/>
    <w:rsid w:val="00BC5A9E"/>
    <w:rsid w:val="00BC5ACF"/>
    <w:rsid w:val="00BC6F82"/>
    <w:rsid w:val="00BC7085"/>
    <w:rsid w:val="00BC79D3"/>
    <w:rsid w:val="00BC7EE9"/>
    <w:rsid w:val="00BD002B"/>
    <w:rsid w:val="00BD0550"/>
    <w:rsid w:val="00BD1255"/>
    <w:rsid w:val="00BD2540"/>
    <w:rsid w:val="00BD327A"/>
    <w:rsid w:val="00BD388A"/>
    <w:rsid w:val="00BD54F7"/>
    <w:rsid w:val="00BD5637"/>
    <w:rsid w:val="00BD5653"/>
    <w:rsid w:val="00BD619D"/>
    <w:rsid w:val="00BD760B"/>
    <w:rsid w:val="00BD7B79"/>
    <w:rsid w:val="00BD7BC0"/>
    <w:rsid w:val="00BE350D"/>
    <w:rsid w:val="00BE3564"/>
    <w:rsid w:val="00BE3869"/>
    <w:rsid w:val="00BE3D9B"/>
    <w:rsid w:val="00BE4457"/>
    <w:rsid w:val="00BE4C49"/>
    <w:rsid w:val="00BE6537"/>
    <w:rsid w:val="00BE6F96"/>
    <w:rsid w:val="00BE7A2B"/>
    <w:rsid w:val="00BE7F01"/>
    <w:rsid w:val="00BF040C"/>
    <w:rsid w:val="00BF07E8"/>
    <w:rsid w:val="00BF1474"/>
    <w:rsid w:val="00BF15AB"/>
    <w:rsid w:val="00BF1682"/>
    <w:rsid w:val="00BF2337"/>
    <w:rsid w:val="00BF3686"/>
    <w:rsid w:val="00BF3EEC"/>
    <w:rsid w:val="00BF4023"/>
    <w:rsid w:val="00BF5194"/>
    <w:rsid w:val="00BF5440"/>
    <w:rsid w:val="00BF5EA8"/>
    <w:rsid w:val="00BF778F"/>
    <w:rsid w:val="00BF7B8F"/>
    <w:rsid w:val="00BF7EB2"/>
    <w:rsid w:val="00C00DEA"/>
    <w:rsid w:val="00C01210"/>
    <w:rsid w:val="00C03FF7"/>
    <w:rsid w:val="00C052E2"/>
    <w:rsid w:val="00C0565D"/>
    <w:rsid w:val="00C06697"/>
    <w:rsid w:val="00C10AA1"/>
    <w:rsid w:val="00C10BA4"/>
    <w:rsid w:val="00C10CFD"/>
    <w:rsid w:val="00C12475"/>
    <w:rsid w:val="00C12F3F"/>
    <w:rsid w:val="00C1306B"/>
    <w:rsid w:val="00C133F8"/>
    <w:rsid w:val="00C139C4"/>
    <w:rsid w:val="00C14664"/>
    <w:rsid w:val="00C15402"/>
    <w:rsid w:val="00C15783"/>
    <w:rsid w:val="00C1620D"/>
    <w:rsid w:val="00C164E1"/>
    <w:rsid w:val="00C17C03"/>
    <w:rsid w:val="00C17E64"/>
    <w:rsid w:val="00C206DC"/>
    <w:rsid w:val="00C21581"/>
    <w:rsid w:val="00C21C5C"/>
    <w:rsid w:val="00C22178"/>
    <w:rsid w:val="00C221E1"/>
    <w:rsid w:val="00C22359"/>
    <w:rsid w:val="00C223E5"/>
    <w:rsid w:val="00C2339C"/>
    <w:rsid w:val="00C2340A"/>
    <w:rsid w:val="00C23869"/>
    <w:rsid w:val="00C23A95"/>
    <w:rsid w:val="00C255AC"/>
    <w:rsid w:val="00C25E58"/>
    <w:rsid w:val="00C26A66"/>
    <w:rsid w:val="00C26D80"/>
    <w:rsid w:val="00C27158"/>
    <w:rsid w:val="00C31C33"/>
    <w:rsid w:val="00C31D3E"/>
    <w:rsid w:val="00C31F81"/>
    <w:rsid w:val="00C32777"/>
    <w:rsid w:val="00C33579"/>
    <w:rsid w:val="00C33F31"/>
    <w:rsid w:val="00C35C4A"/>
    <w:rsid w:val="00C35F11"/>
    <w:rsid w:val="00C36953"/>
    <w:rsid w:val="00C37820"/>
    <w:rsid w:val="00C37D3C"/>
    <w:rsid w:val="00C40114"/>
    <w:rsid w:val="00C403F6"/>
    <w:rsid w:val="00C4043E"/>
    <w:rsid w:val="00C41361"/>
    <w:rsid w:val="00C41729"/>
    <w:rsid w:val="00C41793"/>
    <w:rsid w:val="00C42AF5"/>
    <w:rsid w:val="00C43FD7"/>
    <w:rsid w:val="00C44385"/>
    <w:rsid w:val="00C4492B"/>
    <w:rsid w:val="00C452C1"/>
    <w:rsid w:val="00C46034"/>
    <w:rsid w:val="00C47B71"/>
    <w:rsid w:val="00C5025D"/>
    <w:rsid w:val="00C50C66"/>
    <w:rsid w:val="00C51664"/>
    <w:rsid w:val="00C5197B"/>
    <w:rsid w:val="00C5247B"/>
    <w:rsid w:val="00C524D5"/>
    <w:rsid w:val="00C526C3"/>
    <w:rsid w:val="00C52986"/>
    <w:rsid w:val="00C52C1F"/>
    <w:rsid w:val="00C5339C"/>
    <w:rsid w:val="00C53C08"/>
    <w:rsid w:val="00C54AAF"/>
    <w:rsid w:val="00C55271"/>
    <w:rsid w:val="00C55372"/>
    <w:rsid w:val="00C55900"/>
    <w:rsid w:val="00C55F7B"/>
    <w:rsid w:val="00C5609D"/>
    <w:rsid w:val="00C56D1C"/>
    <w:rsid w:val="00C57BC4"/>
    <w:rsid w:val="00C604D7"/>
    <w:rsid w:val="00C613D5"/>
    <w:rsid w:val="00C61E02"/>
    <w:rsid w:val="00C64B55"/>
    <w:rsid w:val="00C64C85"/>
    <w:rsid w:val="00C65369"/>
    <w:rsid w:val="00C65C28"/>
    <w:rsid w:val="00C66710"/>
    <w:rsid w:val="00C67245"/>
    <w:rsid w:val="00C67F38"/>
    <w:rsid w:val="00C7146D"/>
    <w:rsid w:val="00C72695"/>
    <w:rsid w:val="00C74AB6"/>
    <w:rsid w:val="00C74BC6"/>
    <w:rsid w:val="00C75370"/>
    <w:rsid w:val="00C75381"/>
    <w:rsid w:val="00C76F87"/>
    <w:rsid w:val="00C77D47"/>
    <w:rsid w:val="00C8028C"/>
    <w:rsid w:val="00C80F16"/>
    <w:rsid w:val="00C81524"/>
    <w:rsid w:val="00C818DD"/>
    <w:rsid w:val="00C81BF1"/>
    <w:rsid w:val="00C82BD4"/>
    <w:rsid w:val="00C83187"/>
    <w:rsid w:val="00C83446"/>
    <w:rsid w:val="00C83E90"/>
    <w:rsid w:val="00C84187"/>
    <w:rsid w:val="00C844E5"/>
    <w:rsid w:val="00C850B4"/>
    <w:rsid w:val="00C85F2E"/>
    <w:rsid w:val="00C86BDE"/>
    <w:rsid w:val="00C86D93"/>
    <w:rsid w:val="00C870A0"/>
    <w:rsid w:val="00C8772C"/>
    <w:rsid w:val="00C8795D"/>
    <w:rsid w:val="00C90359"/>
    <w:rsid w:val="00C91263"/>
    <w:rsid w:val="00C91ABB"/>
    <w:rsid w:val="00C9379F"/>
    <w:rsid w:val="00C94567"/>
    <w:rsid w:val="00C94B64"/>
    <w:rsid w:val="00C95ABB"/>
    <w:rsid w:val="00C95BDA"/>
    <w:rsid w:val="00C96873"/>
    <w:rsid w:val="00C968F6"/>
    <w:rsid w:val="00C96E25"/>
    <w:rsid w:val="00CA01CE"/>
    <w:rsid w:val="00CA09F4"/>
    <w:rsid w:val="00CA2139"/>
    <w:rsid w:val="00CA38B8"/>
    <w:rsid w:val="00CA3991"/>
    <w:rsid w:val="00CA3CF8"/>
    <w:rsid w:val="00CA41DD"/>
    <w:rsid w:val="00CA5821"/>
    <w:rsid w:val="00CA6E6A"/>
    <w:rsid w:val="00CA7D12"/>
    <w:rsid w:val="00CA7E91"/>
    <w:rsid w:val="00CB17EA"/>
    <w:rsid w:val="00CB1BBF"/>
    <w:rsid w:val="00CB2694"/>
    <w:rsid w:val="00CB2A0C"/>
    <w:rsid w:val="00CB3114"/>
    <w:rsid w:val="00CB35DF"/>
    <w:rsid w:val="00CB3DF9"/>
    <w:rsid w:val="00CB4A11"/>
    <w:rsid w:val="00CB691A"/>
    <w:rsid w:val="00CB77A2"/>
    <w:rsid w:val="00CB7E6C"/>
    <w:rsid w:val="00CC1BD4"/>
    <w:rsid w:val="00CC1E0E"/>
    <w:rsid w:val="00CC5337"/>
    <w:rsid w:val="00CC6234"/>
    <w:rsid w:val="00CC6B3D"/>
    <w:rsid w:val="00CC6C61"/>
    <w:rsid w:val="00CD3123"/>
    <w:rsid w:val="00CD47DD"/>
    <w:rsid w:val="00CD5649"/>
    <w:rsid w:val="00CD7173"/>
    <w:rsid w:val="00CD7647"/>
    <w:rsid w:val="00CD7CD2"/>
    <w:rsid w:val="00CE08DA"/>
    <w:rsid w:val="00CE0B35"/>
    <w:rsid w:val="00CE18A6"/>
    <w:rsid w:val="00CE20D3"/>
    <w:rsid w:val="00CE246C"/>
    <w:rsid w:val="00CE2AC7"/>
    <w:rsid w:val="00CE2E2A"/>
    <w:rsid w:val="00CE2E7C"/>
    <w:rsid w:val="00CE4B9F"/>
    <w:rsid w:val="00CE5902"/>
    <w:rsid w:val="00CE6196"/>
    <w:rsid w:val="00CE64D5"/>
    <w:rsid w:val="00CE6F5D"/>
    <w:rsid w:val="00CE722A"/>
    <w:rsid w:val="00CE7E5D"/>
    <w:rsid w:val="00CF0826"/>
    <w:rsid w:val="00CF0C1D"/>
    <w:rsid w:val="00CF0D4A"/>
    <w:rsid w:val="00CF147B"/>
    <w:rsid w:val="00CF1E15"/>
    <w:rsid w:val="00CF218B"/>
    <w:rsid w:val="00CF2417"/>
    <w:rsid w:val="00CF2B89"/>
    <w:rsid w:val="00CF2FEA"/>
    <w:rsid w:val="00CF35EF"/>
    <w:rsid w:val="00CF3755"/>
    <w:rsid w:val="00CF39E1"/>
    <w:rsid w:val="00CF4350"/>
    <w:rsid w:val="00CF4609"/>
    <w:rsid w:val="00CF4E8A"/>
    <w:rsid w:val="00CF511B"/>
    <w:rsid w:val="00CF7335"/>
    <w:rsid w:val="00CF7714"/>
    <w:rsid w:val="00CF7D95"/>
    <w:rsid w:val="00CF7EB2"/>
    <w:rsid w:val="00D0014E"/>
    <w:rsid w:val="00D00DE3"/>
    <w:rsid w:val="00D012BC"/>
    <w:rsid w:val="00D022F3"/>
    <w:rsid w:val="00D02CBA"/>
    <w:rsid w:val="00D02DDF"/>
    <w:rsid w:val="00D039C7"/>
    <w:rsid w:val="00D04E87"/>
    <w:rsid w:val="00D07BE9"/>
    <w:rsid w:val="00D11352"/>
    <w:rsid w:val="00D11A20"/>
    <w:rsid w:val="00D125CA"/>
    <w:rsid w:val="00D138E4"/>
    <w:rsid w:val="00D142CE"/>
    <w:rsid w:val="00D157FD"/>
    <w:rsid w:val="00D15ABD"/>
    <w:rsid w:val="00D16311"/>
    <w:rsid w:val="00D164FD"/>
    <w:rsid w:val="00D16871"/>
    <w:rsid w:val="00D17613"/>
    <w:rsid w:val="00D202D2"/>
    <w:rsid w:val="00D20BBB"/>
    <w:rsid w:val="00D20E4F"/>
    <w:rsid w:val="00D222D6"/>
    <w:rsid w:val="00D23C2D"/>
    <w:rsid w:val="00D24AD4"/>
    <w:rsid w:val="00D25277"/>
    <w:rsid w:val="00D26189"/>
    <w:rsid w:val="00D2680C"/>
    <w:rsid w:val="00D300AF"/>
    <w:rsid w:val="00D314BD"/>
    <w:rsid w:val="00D31B84"/>
    <w:rsid w:val="00D31FCE"/>
    <w:rsid w:val="00D32093"/>
    <w:rsid w:val="00D32199"/>
    <w:rsid w:val="00D32BA2"/>
    <w:rsid w:val="00D333C4"/>
    <w:rsid w:val="00D335CD"/>
    <w:rsid w:val="00D33C39"/>
    <w:rsid w:val="00D34272"/>
    <w:rsid w:val="00D3466E"/>
    <w:rsid w:val="00D3485B"/>
    <w:rsid w:val="00D34ECF"/>
    <w:rsid w:val="00D37ADD"/>
    <w:rsid w:val="00D40DB1"/>
    <w:rsid w:val="00D42957"/>
    <w:rsid w:val="00D43029"/>
    <w:rsid w:val="00D43150"/>
    <w:rsid w:val="00D43FFA"/>
    <w:rsid w:val="00D44062"/>
    <w:rsid w:val="00D447D1"/>
    <w:rsid w:val="00D44CCE"/>
    <w:rsid w:val="00D452C2"/>
    <w:rsid w:val="00D45DDC"/>
    <w:rsid w:val="00D45E9F"/>
    <w:rsid w:val="00D470D9"/>
    <w:rsid w:val="00D5043A"/>
    <w:rsid w:val="00D50969"/>
    <w:rsid w:val="00D52242"/>
    <w:rsid w:val="00D52AE7"/>
    <w:rsid w:val="00D5351E"/>
    <w:rsid w:val="00D53F1F"/>
    <w:rsid w:val="00D54867"/>
    <w:rsid w:val="00D54950"/>
    <w:rsid w:val="00D55BFF"/>
    <w:rsid w:val="00D55FD9"/>
    <w:rsid w:val="00D56637"/>
    <w:rsid w:val="00D5739A"/>
    <w:rsid w:val="00D5752D"/>
    <w:rsid w:val="00D57932"/>
    <w:rsid w:val="00D602F4"/>
    <w:rsid w:val="00D61A7D"/>
    <w:rsid w:val="00D626ED"/>
    <w:rsid w:val="00D62D31"/>
    <w:rsid w:val="00D62F57"/>
    <w:rsid w:val="00D6678D"/>
    <w:rsid w:val="00D66D57"/>
    <w:rsid w:val="00D6754B"/>
    <w:rsid w:val="00D67A11"/>
    <w:rsid w:val="00D702AF"/>
    <w:rsid w:val="00D70F0F"/>
    <w:rsid w:val="00D71CFA"/>
    <w:rsid w:val="00D71D0F"/>
    <w:rsid w:val="00D71DD2"/>
    <w:rsid w:val="00D72FB6"/>
    <w:rsid w:val="00D73A0E"/>
    <w:rsid w:val="00D754F3"/>
    <w:rsid w:val="00D76B32"/>
    <w:rsid w:val="00D76B3E"/>
    <w:rsid w:val="00D76E8B"/>
    <w:rsid w:val="00D771A8"/>
    <w:rsid w:val="00D77C84"/>
    <w:rsid w:val="00D801CE"/>
    <w:rsid w:val="00D80B8D"/>
    <w:rsid w:val="00D81EB6"/>
    <w:rsid w:val="00D81F53"/>
    <w:rsid w:val="00D8311D"/>
    <w:rsid w:val="00D8386B"/>
    <w:rsid w:val="00D84734"/>
    <w:rsid w:val="00D847EA"/>
    <w:rsid w:val="00D86232"/>
    <w:rsid w:val="00D86AEC"/>
    <w:rsid w:val="00D86CAF"/>
    <w:rsid w:val="00D86E95"/>
    <w:rsid w:val="00D86F6A"/>
    <w:rsid w:val="00D9014B"/>
    <w:rsid w:val="00D9081D"/>
    <w:rsid w:val="00D90C38"/>
    <w:rsid w:val="00D91631"/>
    <w:rsid w:val="00D918E7"/>
    <w:rsid w:val="00D91E8E"/>
    <w:rsid w:val="00D926C6"/>
    <w:rsid w:val="00D92B62"/>
    <w:rsid w:val="00D9343D"/>
    <w:rsid w:val="00D936BA"/>
    <w:rsid w:val="00D95346"/>
    <w:rsid w:val="00D96EFA"/>
    <w:rsid w:val="00D9749C"/>
    <w:rsid w:val="00D97665"/>
    <w:rsid w:val="00DA03BE"/>
    <w:rsid w:val="00DA0FC3"/>
    <w:rsid w:val="00DA102D"/>
    <w:rsid w:val="00DA158E"/>
    <w:rsid w:val="00DA1F1A"/>
    <w:rsid w:val="00DA2796"/>
    <w:rsid w:val="00DA3B5A"/>
    <w:rsid w:val="00DA3B7F"/>
    <w:rsid w:val="00DA4336"/>
    <w:rsid w:val="00DA4908"/>
    <w:rsid w:val="00DA5AD3"/>
    <w:rsid w:val="00DA5C83"/>
    <w:rsid w:val="00DA6AFA"/>
    <w:rsid w:val="00DA7517"/>
    <w:rsid w:val="00DA7A9F"/>
    <w:rsid w:val="00DB24AA"/>
    <w:rsid w:val="00DB315E"/>
    <w:rsid w:val="00DB35C8"/>
    <w:rsid w:val="00DB38E7"/>
    <w:rsid w:val="00DB3F7A"/>
    <w:rsid w:val="00DB40B3"/>
    <w:rsid w:val="00DB478F"/>
    <w:rsid w:val="00DB4886"/>
    <w:rsid w:val="00DB4EE4"/>
    <w:rsid w:val="00DB577D"/>
    <w:rsid w:val="00DB7559"/>
    <w:rsid w:val="00DC014A"/>
    <w:rsid w:val="00DC019C"/>
    <w:rsid w:val="00DC0878"/>
    <w:rsid w:val="00DC1ED7"/>
    <w:rsid w:val="00DC3AA4"/>
    <w:rsid w:val="00DC4189"/>
    <w:rsid w:val="00DC496B"/>
    <w:rsid w:val="00DC4B5B"/>
    <w:rsid w:val="00DC4C2C"/>
    <w:rsid w:val="00DC6011"/>
    <w:rsid w:val="00DC619C"/>
    <w:rsid w:val="00DC63FF"/>
    <w:rsid w:val="00DC6A38"/>
    <w:rsid w:val="00DC7BCF"/>
    <w:rsid w:val="00DD0566"/>
    <w:rsid w:val="00DD1969"/>
    <w:rsid w:val="00DD2078"/>
    <w:rsid w:val="00DD233B"/>
    <w:rsid w:val="00DD2B57"/>
    <w:rsid w:val="00DD2BA9"/>
    <w:rsid w:val="00DD3C85"/>
    <w:rsid w:val="00DD49BF"/>
    <w:rsid w:val="00DD4AB7"/>
    <w:rsid w:val="00DD4CE3"/>
    <w:rsid w:val="00DD6884"/>
    <w:rsid w:val="00DD698B"/>
    <w:rsid w:val="00DD7AED"/>
    <w:rsid w:val="00DD7B93"/>
    <w:rsid w:val="00DE1322"/>
    <w:rsid w:val="00DE13A6"/>
    <w:rsid w:val="00DE2315"/>
    <w:rsid w:val="00DE3871"/>
    <w:rsid w:val="00DE3BFD"/>
    <w:rsid w:val="00DE4C2C"/>
    <w:rsid w:val="00DE569E"/>
    <w:rsid w:val="00DE67AC"/>
    <w:rsid w:val="00DE6862"/>
    <w:rsid w:val="00DE698F"/>
    <w:rsid w:val="00DE7627"/>
    <w:rsid w:val="00DF03B0"/>
    <w:rsid w:val="00DF13C4"/>
    <w:rsid w:val="00DF30B1"/>
    <w:rsid w:val="00DF53F4"/>
    <w:rsid w:val="00E00149"/>
    <w:rsid w:val="00E003EA"/>
    <w:rsid w:val="00E0074C"/>
    <w:rsid w:val="00E00E19"/>
    <w:rsid w:val="00E0139E"/>
    <w:rsid w:val="00E01B12"/>
    <w:rsid w:val="00E02516"/>
    <w:rsid w:val="00E03093"/>
    <w:rsid w:val="00E03E5E"/>
    <w:rsid w:val="00E0540A"/>
    <w:rsid w:val="00E054F8"/>
    <w:rsid w:val="00E05735"/>
    <w:rsid w:val="00E06087"/>
    <w:rsid w:val="00E06971"/>
    <w:rsid w:val="00E0755D"/>
    <w:rsid w:val="00E10FD8"/>
    <w:rsid w:val="00E11E5A"/>
    <w:rsid w:val="00E12664"/>
    <w:rsid w:val="00E133C0"/>
    <w:rsid w:val="00E13C9D"/>
    <w:rsid w:val="00E147EE"/>
    <w:rsid w:val="00E148F4"/>
    <w:rsid w:val="00E14E7A"/>
    <w:rsid w:val="00E15818"/>
    <w:rsid w:val="00E15F24"/>
    <w:rsid w:val="00E165D3"/>
    <w:rsid w:val="00E16BB3"/>
    <w:rsid w:val="00E20646"/>
    <w:rsid w:val="00E20DF8"/>
    <w:rsid w:val="00E20FDE"/>
    <w:rsid w:val="00E21000"/>
    <w:rsid w:val="00E21305"/>
    <w:rsid w:val="00E22831"/>
    <w:rsid w:val="00E232BD"/>
    <w:rsid w:val="00E2495D"/>
    <w:rsid w:val="00E2545D"/>
    <w:rsid w:val="00E25D26"/>
    <w:rsid w:val="00E2600D"/>
    <w:rsid w:val="00E26078"/>
    <w:rsid w:val="00E26105"/>
    <w:rsid w:val="00E2721E"/>
    <w:rsid w:val="00E27276"/>
    <w:rsid w:val="00E2731B"/>
    <w:rsid w:val="00E27558"/>
    <w:rsid w:val="00E31CF8"/>
    <w:rsid w:val="00E31D42"/>
    <w:rsid w:val="00E327A0"/>
    <w:rsid w:val="00E33F5F"/>
    <w:rsid w:val="00E34569"/>
    <w:rsid w:val="00E353E2"/>
    <w:rsid w:val="00E36CA9"/>
    <w:rsid w:val="00E37A21"/>
    <w:rsid w:val="00E40A2F"/>
    <w:rsid w:val="00E413BA"/>
    <w:rsid w:val="00E41B5C"/>
    <w:rsid w:val="00E420D5"/>
    <w:rsid w:val="00E421FB"/>
    <w:rsid w:val="00E42DF0"/>
    <w:rsid w:val="00E4382C"/>
    <w:rsid w:val="00E44E1C"/>
    <w:rsid w:val="00E44FA6"/>
    <w:rsid w:val="00E4543C"/>
    <w:rsid w:val="00E454E9"/>
    <w:rsid w:val="00E45E88"/>
    <w:rsid w:val="00E46A3F"/>
    <w:rsid w:val="00E47700"/>
    <w:rsid w:val="00E47835"/>
    <w:rsid w:val="00E519F9"/>
    <w:rsid w:val="00E51A55"/>
    <w:rsid w:val="00E52479"/>
    <w:rsid w:val="00E52CBF"/>
    <w:rsid w:val="00E52D06"/>
    <w:rsid w:val="00E53D25"/>
    <w:rsid w:val="00E53DE7"/>
    <w:rsid w:val="00E540D1"/>
    <w:rsid w:val="00E54C3E"/>
    <w:rsid w:val="00E567D6"/>
    <w:rsid w:val="00E56BC1"/>
    <w:rsid w:val="00E575C0"/>
    <w:rsid w:val="00E60AA7"/>
    <w:rsid w:val="00E610D5"/>
    <w:rsid w:val="00E612B3"/>
    <w:rsid w:val="00E61551"/>
    <w:rsid w:val="00E62305"/>
    <w:rsid w:val="00E63C75"/>
    <w:rsid w:val="00E64C7E"/>
    <w:rsid w:val="00E65626"/>
    <w:rsid w:val="00E677DB"/>
    <w:rsid w:val="00E700CD"/>
    <w:rsid w:val="00E711FB"/>
    <w:rsid w:val="00E720B5"/>
    <w:rsid w:val="00E72206"/>
    <w:rsid w:val="00E72B6A"/>
    <w:rsid w:val="00E736FD"/>
    <w:rsid w:val="00E74A83"/>
    <w:rsid w:val="00E74D6B"/>
    <w:rsid w:val="00E756DB"/>
    <w:rsid w:val="00E765DE"/>
    <w:rsid w:val="00E76ACD"/>
    <w:rsid w:val="00E80396"/>
    <w:rsid w:val="00E806C2"/>
    <w:rsid w:val="00E815B0"/>
    <w:rsid w:val="00E81B4B"/>
    <w:rsid w:val="00E8304D"/>
    <w:rsid w:val="00E844FB"/>
    <w:rsid w:val="00E85115"/>
    <w:rsid w:val="00E858A8"/>
    <w:rsid w:val="00E861DC"/>
    <w:rsid w:val="00E86D67"/>
    <w:rsid w:val="00E86DBD"/>
    <w:rsid w:val="00E8783A"/>
    <w:rsid w:val="00E87F66"/>
    <w:rsid w:val="00E903B3"/>
    <w:rsid w:val="00E9057D"/>
    <w:rsid w:val="00E914FC"/>
    <w:rsid w:val="00E927CC"/>
    <w:rsid w:val="00E931BA"/>
    <w:rsid w:val="00E9331F"/>
    <w:rsid w:val="00E93900"/>
    <w:rsid w:val="00E9446A"/>
    <w:rsid w:val="00E9481C"/>
    <w:rsid w:val="00E94CE6"/>
    <w:rsid w:val="00E95210"/>
    <w:rsid w:val="00E96201"/>
    <w:rsid w:val="00E9655D"/>
    <w:rsid w:val="00E96DA3"/>
    <w:rsid w:val="00E97703"/>
    <w:rsid w:val="00EA27EF"/>
    <w:rsid w:val="00EA4432"/>
    <w:rsid w:val="00EA44D4"/>
    <w:rsid w:val="00EA4767"/>
    <w:rsid w:val="00EA476B"/>
    <w:rsid w:val="00EA51B3"/>
    <w:rsid w:val="00EA6EE5"/>
    <w:rsid w:val="00EA7423"/>
    <w:rsid w:val="00EA7802"/>
    <w:rsid w:val="00EA785C"/>
    <w:rsid w:val="00EA7BF2"/>
    <w:rsid w:val="00EB1356"/>
    <w:rsid w:val="00EB1444"/>
    <w:rsid w:val="00EB36F8"/>
    <w:rsid w:val="00EB413D"/>
    <w:rsid w:val="00EB4DB8"/>
    <w:rsid w:val="00EB5ACE"/>
    <w:rsid w:val="00EB6F54"/>
    <w:rsid w:val="00EB6F80"/>
    <w:rsid w:val="00EB718A"/>
    <w:rsid w:val="00EB79D1"/>
    <w:rsid w:val="00EC0AC4"/>
    <w:rsid w:val="00EC109B"/>
    <w:rsid w:val="00EC1BEE"/>
    <w:rsid w:val="00EC233A"/>
    <w:rsid w:val="00EC26AC"/>
    <w:rsid w:val="00EC3C3E"/>
    <w:rsid w:val="00EC5B99"/>
    <w:rsid w:val="00EC6207"/>
    <w:rsid w:val="00EC6434"/>
    <w:rsid w:val="00EC6596"/>
    <w:rsid w:val="00EC6BBC"/>
    <w:rsid w:val="00EC6DCB"/>
    <w:rsid w:val="00EC71E7"/>
    <w:rsid w:val="00ED0B73"/>
    <w:rsid w:val="00ED2054"/>
    <w:rsid w:val="00ED2694"/>
    <w:rsid w:val="00ED3479"/>
    <w:rsid w:val="00ED4184"/>
    <w:rsid w:val="00ED443E"/>
    <w:rsid w:val="00ED4E20"/>
    <w:rsid w:val="00ED579F"/>
    <w:rsid w:val="00ED710C"/>
    <w:rsid w:val="00ED7570"/>
    <w:rsid w:val="00ED7E3E"/>
    <w:rsid w:val="00EE36FB"/>
    <w:rsid w:val="00EE371F"/>
    <w:rsid w:val="00EE3ABB"/>
    <w:rsid w:val="00EE3DAE"/>
    <w:rsid w:val="00EE40F0"/>
    <w:rsid w:val="00EE4243"/>
    <w:rsid w:val="00EE4449"/>
    <w:rsid w:val="00EE4FB5"/>
    <w:rsid w:val="00EE51D1"/>
    <w:rsid w:val="00EE5F82"/>
    <w:rsid w:val="00EE6A12"/>
    <w:rsid w:val="00EE6DAF"/>
    <w:rsid w:val="00EE7D50"/>
    <w:rsid w:val="00EF167A"/>
    <w:rsid w:val="00EF2BC4"/>
    <w:rsid w:val="00EF2FF7"/>
    <w:rsid w:val="00EF6406"/>
    <w:rsid w:val="00EF6656"/>
    <w:rsid w:val="00EF727B"/>
    <w:rsid w:val="00EF74A1"/>
    <w:rsid w:val="00EF7702"/>
    <w:rsid w:val="00EF7EE6"/>
    <w:rsid w:val="00F005BD"/>
    <w:rsid w:val="00F00A3A"/>
    <w:rsid w:val="00F031C7"/>
    <w:rsid w:val="00F0390B"/>
    <w:rsid w:val="00F03B0F"/>
    <w:rsid w:val="00F053E6"/>
    <w:rsid w:val="00F0586F"/>
    <w:rsid w:val="00F05C60"/>
    <w:rsid w:val="00F07FB2"/>
    <w:rsid w:val="00F12AC3"/>
    <w:rsid w:val="00F13FCD"/>
    <w:rsid w:val="00F141B7"/>
    <w:rsid w:val="00F1480A"/>
    <w:rsid w:val="00F148FC"/>
    <w:rsid w:val="00F1542E"/>
    <w:rsid w:val="00F169A4"/>
    <w:rsid w:val="00F207DA"/>
    <w:rsid w:val="00F20A3C"/>
    <w:rsid w:val="00F21069"/>
    <w:rsid w:val="00F21301"/>
    <w:rsid w:val="00F21D7E"/>
    <w:rsid w:val="00F237E3"/>
    <w:rsid w:val="00F244A1"/>
    <w:rsid w:val="00F246E1"/>
    <w:rsid w:val="00F2533A"/>
    <w:rsid w:val="00F25F18"/>
    <w:rsid w:val="00F26118"/>
    <w:rsid w:val="00F27006"/>
    <w:rsid w:val="00F276DB"/>
    <w:rsid w:val="00F27B18"/>
    <w:rsid w:val="00F304E3"/>
    <w:rsid w:val="00F30941"/>
    <w:rsid w:val="00F30FD2"/>
    <w:rsid w:val="00F31B37"/>
    <w:rsid w:val="00F31BA2"/>
    <w:rsid w:val="00F326F1"/>
    <w:rsid w:val="00F3288B"/>
    <w:rsid w:val="00F32BB9"/>
    <w:rsid w:val="00F331A9"/>
    <w:rsid w:val="00F3384D"/>
    <w:rsid w:val="00F33F88"/>
    <w:rsid w:val="00F349C9"/>
    <w:rsid w:val="00F34A86"/>
    <w:rsid w:val="00F35357"/>
    <w:rsid w:val="00F35B41"/>
    <w:rsid w:val="00F35E44"/>
    <w:rsid w:val="00F3646F"/>
    <w:rsid w:val="00F369B0"/>
    <w:rsid w:val="00F3736E"/>
    <w:rsid w:val="00F375EA"/>
    <w:rsid w:val="00F40C44"/>
    <w:rsid w:val="00F4148E"/>
    <w:rsid w:val="00F416D2"/>
    <w:rsid w:val="00F417AA"/>
    <w:rsid w:val="00F420B6"/>
    <w:rsid w:val="00F426E6"/>
    <w:rsid w:val="00F42CC1"/>
    <w:rsid w:val="00F43047"/>
    <w:rsid w:val="00F440D8"/>
    <w:rsid w:val="00F4459F"/>
    <w:rsid w:val="00F44794"/>
    <w:rsid w:val="00F44D7C"/>
    <w:rsid w:val="00F44E99"/>
    <w:rsid w:val="00F44FAF"/>
    <w:rsid w:val="00F46060"/>
    <w:rsid w:val="00F4610A"/>
    <w:rsid w:val="00F46A14"/>
    <w:rsid w:val="00F46CA6"/>
    <w:rsid w:val="00F5121D"/>
    <w:rsid w:val="00F512CC"/>
    <w:rsid w:val="00F52ACC"/>
    <w:rsid w:val="00F532ED"/>
    <w:rsid w:val="00F534A9"/>
    <w:rsid w:val="00F53C93"/>
    <w:rsid w:val="00F54E54"/>
    <w:rsid w:val="00F56A96"/>
    <w:rsid w:val="00F602D7"/>
    <w:rsid w:val="00F608C3"/>
    <w:rsid w:val="00F6146A"/>
    <w:rsid w:val="00F6246F"/>
    <w:rsid w:val="00F62817"/>
    <w:rsid w:val="00F6669D"/>
    <w:rsid w:val="00F66FF1"/>
    <w:rsid w:val="00F6762A"/>
    <w:rsid w:val="00F67772"/>
    <w:rsid w:val="00F70519"/>
    <w:rsid w:val="00F71C4D"/>
    <w:rsid w:val="00F725C3"/>
    <w:rsid w:val="00F739A9"/>
    <w:rsid w:val="00F74C9D"/>
    <w:rsid w:val="00F74E67"/>
    <w:rsid w:val="00F75278"/>
    <w:rsid w:val="00F762C8"/>
    <w:rsid w:val="00F7682C"/>
    <w:rsid w:val="00F775DC"/>
    <w:rsid w:val="00F80218"/>
    <w:rsid w:val="00F80312"/>
    <w:rsid w:val="00F804B4"/>
    <w:rsid w:val="00F8094C"/>
    <w:rsid w:val="00F81970"/>
    <w:rsid w:val="00F82C8F"/>
    <w:rsid w:val="00F83363"/>
    <w:rsid w:val="00F84C78"/>
    <w:rsid w:val="00F8525B"/>
    <w:rsid w:val="00F85547"/>
    <w:rsid w:val="00F86065"/>
    <w:rsid w:val="00F86792"/>
    <w:rsid w:val="00F87908"/>
    <w:rsid w:val="00F90D3F"/>
    <w:rsid w:val="00F91B23"/>
    <w:rsid w:val="00F92EA8"/>
    <w:rsid w:val="00F92EEB"/>
    <w:rsid w:val="00F9411E"/>
    <w:rsid w:val="00F94659"/>
    <w:rsid w:val="00F94B92"/>
    <w:rsid w:val="00F950F1"/>
    <w:rsid w:val="00F96751"/>
    <w:rsid w:val="00F96833"/>
    <w:rsid w:val="00F968FC"/>
    <w:rsid w:val="00F971E9"/>
    <w:rsid w:val="00F976E1"/>
    <w:rsid w:val="00F97C33"/>
    <w:rsid w:val="00FA10EE"/>
    <w:rsid w:val="00FA1633"/>
    <w:rsid w:val="00FA3EEF"/>
    <w:rsid w:val="00FA474D"/>
    <w:rsid w:val="00FA5F33"/>
    <w:rsid w:val="00FA6779"/>
    <w:rsid w:val="00FA6A25"/>
    <w:rsid w:val="00FA7068"/>
    <w:rsid w:val="00FA7293"/>
    <w:rsid w:val="00FA7872"/>
    <w:rsid w:val="00FA7F10"/>
    <w:rsid w:val="00FB0481"/>
    <w:rsid w:val="00FB0496"/>
    <w:rsid w:val="00FB0FB5"/>
    <w:rsid w:val="00FB2363"/>
    <w:rsid w:val="00FB27FF"/>
    <w:rsid w:val="00FB2C07"/>
    <w:rsid w:val="00FB34B2"/>
    <w:rsid w:val="00FB4049"/>
    <w:rsid w:val="00FB40DF"/>
    <w:rsid w:val="00FB46F8"/>
    <w:rsid w:val="00FB4CFB"/>
    <w:rsid w:val="00FB53E8"/>
    <w:rsid w:val="00FB69FE"/>
    <w:rsid w:val="00FB6F8F"/>
    <w:rsid w:val="00FB7179"/>
    <w:rsid w:val="00FB7474"/>
    <w:rsid w:val="00FC1861"/>
    <w:rsid w:val="00FC1A37"/>
    <w:rsid w:val="00FC2090"/>
    <w:rsid w:val="00FC24E2"/>
    <w:rsid w:val="00FC2A2C"/>
    <w:rsid w:val="00FC301B"/>
    <w:rsid w:val="00FC450D"/>
    <w:rsid w:val="00FC4AAC"/>
    <w:rsid w:val="00FC4CBE"/>
    <w:rsid w:val="00FC59C2"/>
    <w:rsid w:val="00FC5D88"/>
    <w:rsid w:val="00FC61DC"/>
    <w:rsid w:val="00FC7214"/>
    <w:rsid w:val="00FD035A"/>
    <w:rsid w:val="00FD1587"/>
    <w:rsid w:val="00FD1E48"/>
    <w:rsid w:val="00FD20B5"/>
    <w:rsid w:val="00FD280C"/>
    <w:rsid w:val="00FD3096"/>
    <w:rsid w:val="00FD3AB5"/>
    <w:rsid w:val="00FD3BA4"/>
    <w:rsid w:val="00FD4A59"/>
    <w:rsid w:val="00FD5847"/>
    <w:rsid w:val="00FD58C5"/>
    <w:rsid w:val="00FD6793"/>
    <w:rsid w:val="00FD6D42"/>
    <w:rsid w:val="00FD7D9C"/>
    <w:rsid w:val="00FD7E04"/>
    <w:rsid w:val="00FE0948"/>
    <w:rsid w:val="00FE1067"/>
    <w:rsid w:val="00FE26B6"/>
    <w:rsid w:val="00FE284D"/>
    <w:rsid w:val="00FE2BF4"/>
    <w:rsid w:val="00FE2EA8"/>
    <w:rsid w:val="00FE3451"/>
    <w:rsid w:val="00FE4D86"/>
    <w:rsid w:val="00FE5ADD"/>
    <w:rsid w:val="00FE69D0"/>
    <w:rsid w:val="00FE6F6A"/>
    <w:rsid w:val="00FE753A"/>
    <w:rsid w:val="00FE78F0"/>
    <w:rsid w:val="00FF1467"/>
    <w:rsid w:val="00FF2B5D"/>
    <w:rsid w:val="00FF2CCE"/>
    <w:rsid w:val="00FF3EAF"/>
    <w:rsid w:val="00FF41E4"/>
    <w:rsid w:val="00FF4542"/>
    <w:rsid w:val="00FF5C04"/>
    <w:rsid w:val="00FF6657"/>
    <w:rsid w:val="00FF66E5"/>
    <w:rsid w:val="00FF6A17"/>
    <w:rsid w:val="00FF77EE"/>
    <w:rsid w:val="00FF792C"/>
    <w:rsid w:val="00FF7B53"/>
    <w:rsid w:val="00FF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F"/>
    <w:pPr>
      <w:spacing w:line="260" w:lineRule="atLeast"/>
    </w:pPr>
    <w:rPr>
      <w:sz w:val="22"/>
      <w:szCs w:val="24"/>
    </w:rPr>
  </w:style>
  <w:style w:type="paragraph" w:styleId="Heading1">
    <w:name w:val="heading 1"/>
    <w:next w:val="Heading2"/>
    <w:autoRedefine/>
    <w:qFormat/>
    <w:rsid w:val="004E4EAF"/>
    <w:pPr>
      <w:keepNext/>
      <w:keepLines/>
      <w:ind w:left="1134" w:hanging="1134"/>
      <w:outlineLvl w:val="0"/>
    </w:pPr>
    <w:rPr>
      <w:b/>
      <w:bCs/>
      <w:kern w:val="28"/>
      <w:sz w:val="36"/>
      <w:szCs w:val="32"/>
    </w:rPr>
  </w:style>
  <w:style w:type="paragraph" w:styleId="Heading2">
    <w:name w:val="heading 2"/>
    <w:basedOn w:val="Heading1"/>
    <w:next w:val="Heading3"/>
    <w:autoRedefine/>
    <w:qFormat/>
    <w:rsid w:val="004E4EAF"/>
    <w:pPr>
      <w:spacing w:before="280"/>
      <w:outlineLvl w:val="1"/>
    </w:pPr>
    <w:rPr>
      <w:bCs w:val="0"/>
      <w:iCs/>
      <w:sz w:val="32"/>
      <w:szCs w:val="28"/>
    </w:rPr>
  </w:style>
  <w:style w:type="paragraph" w:styleId="Heading3">
    <w:name w:val="heading 3"/>
    <w:basedOn w:val="Heading1"/>
    <w:next w:val="Heading4"/>
    <w:autoRedefine/>
    <w:qFormat/>
    <w:rsid w:val="004E4EAF"/>
    <w:pPr>
      <w:spacing w:before="240"/>
      <w:outlineLvl w:val="2"/>
    </w:pPr>
    <w:rPr>
      <w:bCs w:val="0"/>
      <w:sz w:val="28"/>
      <w:szCs w:val="26"/>
    </w:rPr>
  </w:style>
  <w:style w:type="paragraph" w:styleId="Heading4">
    <w:name w:val="heading 4"/>
    <w:basedOn w:val="Heading1"/>
    <w:next w:val="Heading5"/>
    <w:autoRedefine/>
    <w:qFormat/>
    <w:rsid w:val="004E4EAF"/>
    <w:pPr>
      <w:spacing w:before="220"/>
      <w:outlineLvl w:val="3"/>
    </w:pPr>
    <w:rPr>
      <w:bCs w:val="0"/>
      <w:sz w:val="26"/>
      <w:szCs w:val="28"/>
    </w:rPr>
  </w:style>
  <w:style w:type="paragraph" w:styleId="Heading5">
    <w:name w:val="heading 5"/>
    <w:basedOn w:val="Heading1"/>
    <w:next w:val="subsection"/>
    <w:autoRedefine/>
    <w:qFormat/>
    <w:rsid w:val="004E4EAF"/>
    <w:pPr>
      <w:spacing w:before="280"/>
      <w:outlineLvl w:val="4"/>
    </w:pPr>
    <w:rPr>
      <w:bCs w:val="0"/>
      <w:iCs/>
      <w:sz w:val="24"/>
      <w:szCs w:val="26"/>
    </w:rPr>
  </w:style>
  <w:style w:type="paragraph" w:styleId="Heading6">
    <w:name w:val="heading 6"/>
    <w:basedOn w:val="Heading1"/>
    <w:next w:val="Heading7"/>
    <w:autoRedefine/>
    <w:qFormat/>
    <w:rsid w:val="004E4EAF"/>
    <w:pPr>
      <w:outlineLvl w:val="5"/>
    </w:pPr>
    <w:rPr>
      <w:rFonts w:ascii="Arial" w:hAnsi="Arial" w:cs="Arial"/>
      <w:bCs w:val="0"/>
      <w:sz w:val="32"/>
      <w:szCs w:val="22"/>
    </w:rPr>
  </w:style>
  <w:style w:type="paragraph" w:styleId="Heading7">
    <w:name w:val="heading 7"/>
    <w:basedOn w:val="Heading6"/>
    <w:next w:val="Normal"/>
    <w:autoRedefine/>
    <w:qFormat/>
    <w:rsid w:val="004E4EAF"/>
    <w:pPr>
      <w:spacing w:before="280"/>
      <w:outlineLvl w:val="6"/>
    </w:pPr>
    <w:rPr>
      <w:sz w:val="28"/>
    </w:rPr>
  </w:style>
  <w:style w:type="paragraph" w:styleId="Heading8">
    <w:name w:val="heading 8"/>
    <w:basedOn w:val="Heading6"/>
    <w:next w:val="Normal"/>
    <w:autoRedefine/>
    <w:qFormat/>
    <w:rsid w:val="004E4EAF"/>
    <w:pPr>
      <w:spacing w:before="240"/>
      <w:outlineLvl w:val="7"/>
    </w:pPr>
    <w:rPr>
      <w:iCs/>
      <w:sz w:val="26"/>
    </w:rPr>
  </w:style>
  <w:style w:type="paragraph" w:styleId="Heading9">
    <w:name w:val="heading 9"/>
    <w:basedOn w:val="Heading1"/>
    <w:next w:val="Normal"/>
    <w:autoRedefine/>
    <w:qFormat/>
    <w:rsid w:val="004E4EA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notetext"/>
    <w:autoRedefine/>
    <w:qFormat/>
    <w:rsid w:val="004E4EAF"/>
    <w:pPr>
      <w:spacing w:before="40"/>
      <w:ind w:left="2354" w:hanging="369"/>
    </w:pPr>
  </w:style>
  <w:style w:type="paragraph" w:customStyle="1" w:styleId="ActNotes1">
    <w:name w:val="ActNotes(1)"/>
    <w:basedOn w:val="Normal"/>
    <w:rsid w:val="004E4EAF"/>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4E4EAF"/>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4E4EAF"/>
    <w:pPr>
      <w:tabs>
        <w:tab w:val="right" w:pos="1843"/>
      </w:tabs>
      <w:spacing w:line="180" w:lineRule="atLeast"/>
      <w:ind w:left="1985" w:hanging="1985"/>
    </w:pPr>
    <w:rPr>
      <w:rFonts w:ascii="Arial" w:hAnsi="Arial"/>
      <w:sz w:val="16"/>
    </w:rPr>
  </w:style>
  <w:style w:type="paragraph" w:customStyle="1" w:styleId="ActNotesa">
    <w:name w:val="ActNotes(a)"/>
    <w:basedOn w:val="Normal"/>
    <w:rsid w:val="004E4EAF"/>
    <w:pPr>
      <w:spacing w:before="60" w:line="180" w:lineRule="exact"/>
      <w:ind w:left="425" w:hanging="425"/>
    </w:pPr>
    <w:rPr>
      <w:rFonts w:ascii="Arial" w:hAnsi="Arial"/>
      <w:sz w:val="16"/>
    </w:rPr>
  </w:style>
  <w:style w:type="paragraph" w:customStyle="1" w:styleId="asamended">
    <w:name w:val="as amended"/>
    <w:basedOn w:val="Normal"/>
    <w:rsid w:val="004E4EAF"/>
    <w:pPr>
      <w:keepNext/>
      <w:spacing w:before="60" w:line="200" w:lineRule="exact"/>
      <w:ind w:left="284"/>
    </w:pPr>
    <w:rPr>
      <w:rFonts w:ascii="Arial" w:hAnsi="Arial"/>
      <w:b/>
      <w:sz w:val="16"/>
    </w:rPr>
  </w:style>
  <w:style w:type="paragraph" w:customStyle="1" w:styleId="asamendedital">
    <w:name w:val="as amended ital"/>
    <w:basedOn w:val="Normal"/>
    <w:rsid w:val="004E4EAF"/>
    <w:pPr>
      <w:spacing w:before="60" w:line="200" w:lineRule="exact"/>
      <w:ind w:left="284"/>
    </w:pPr>
    <w:rPr>
      <w:rFonts w:ascii="Arial" w:hAnsi="Arial"/>
      <w:i/>
      <w:sz w:val="16"/>
    </w:rPr>
  </w:style>
  <w:style w:type="paragraph" w:customStyle="1" w:styleId="BodyTextIndex">
    <w:name w:val="Body Text Index"/>
    <w:basedOn w:val="Normal"/>
    <w:next w:val="BodyTextIndent"/>
    <w:rsid w:val="004E4EAF"/>
    <w:pPr>
      <w:spacing w:after="120"/>
      <w:ind w:left="284"/>
    </w:pPr>
  </w:style>
  <w:style w:type="paragraph" w:customStyle="1" w:styleId="BoxText">
    <w:name w:val="BoxText"/>
    <w:aliases w:val="bt"/>
    <w:rsid w:val="004E4EAF"/>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4E4EAF"/>
    <w:rPr>
      <w:b/>
    </w:rPr>
  </w:style>
  <w:style w:type="paragraph" w:customStyle="1" w:styleId="BoxHeadItalic">
    <w:name w:val="BoxHeadItalic"/>
    <w:aliases w:val="bhi"/>
    <w:basedOn w:val="BoxHeadBold"/>
    <w:next w:val="Normal"/>
    <w:qFormat/>
    <w:rsid w:val="004E4EAF"/>
    <w:rPr>
      <w:b w:val="0"/>
      <w:i/>
    </w:rPr>
  </w:style>
  <w:style w:type="paragraph" w:customStyle="1" w:styleId="BoxList">
    <w:name w:val="BoxList"/>
    <w:aliases w:val="bl"/>
    <w:basedOn w:val="BoxText"/>
    <w:rsid w:val="004E4EAF"/>
    <w:pPr>
      <w:ind w:left="1559" w:hanging="425"/>
    </w:pPr>
  </w:style>
  <w:style w:type="paragraph" w:customStyle="1" w:styleId="BoxNote">
    <w:name w:val="BoxNote"/>
    <w:aliases w:val="bn"/>
    <w:basedOn w:val="BoxText"/>
    <w:rsid w:val="004E4EAF"/>
    <w:pPr>
      <w:tabs>
        <w:tab w:val="left" w:pos="1985"/>
      </w:tabs>
      <w:spacing w:before="122" w:line="198" w:lineRule="exact"/>
      <w:ind w:left="2948" w:hanging="1814"/>
    </w:pPr>
    <w:rPr>
      <w:sz w:val="18"/>
    </w:rPr>
  </w:style>
  <w:style w:type="paragraph" w:customStyle="1" w:styleId="BoxPara">
    <w:name w:val="BoxPara"/>
    <w:aliases w:val="bp"/>
    <w:basedOn w:val="BoxText"/>
    <w:rsid w:val="004E4EAF"/>
    <w:pPr>
      <w:tabs>
        <w:tab w:val="right" w:pos="2268"/>
      </w:tabs>
      <w:ind w:left="2552" w:hanging="1418"/>
    </w:pPr>
  </w:style>
  <w:style w:type="paragraph" w:customStyle="1" w:styleId="BoxStep">
    <w:name w:val="BoxStep"/>
    <w:aliases w:val="bs"/>
    <w:basedOn w:val="BoxText"/>
    <w:qFormat/>
    <w:rsid w:val="004E4EAF"/>
    <w:pPr>
      <w:ind w:left="1985" w:hanging="851"/>
    </w:pPr>
  </w:style>
  <w:style w:type="character" w:customStyle="1" w:styleId="CharAmPartNo">
    <w:name w:val="CharAmPartNo"/>
    <w:basedOn w:val="DefaultParagraphFont"/>
    <w:rsid w:val="004E4EAF"/>
  </w:style>
  <w:style w:type="character" w:customStyle="1" w:styleId="CharAmPartText">
    <w:name w:val="CharAmPartText"/>
    <w:basedOn w:val="DefaultParagraphFont"/>
    <w:rsid w:val="004E4EAF"/>
  </w:style>
  <w:style w:type="character" w:customStyle="1" w:styleId="CharAmSchNo">
    <w:name w:val="CharAmSchNo"/>
    <w:basedOn w:val="DefaultParagraphFont"/>
    <w:rsid w:val="004E4EAF"/>
  </w:style>
  <w:style w:type="character" w:customStyle="1" w:styleId="CharAmSchText">
    <w:name w:val="CharAmSchText"/>
    <w:basedOn w:val="DefaultParagraphFont"/>
    <w:rsid w:val="004E4EAF"/>
  </w:style>
  <w:style w:type="character" w:customStyle="1" w:styleId="CharChapNo">
    <w:name w:val="CharChapNo"/>
    <w:basedOn w:val="DefaultParagraphFont"/>
    <w:rsid w:val="004E4EAF"/>
  </w:style>
  <w:style w:type="character" w:customStyle="1" w:styleId="CharChapText">
    <w:name w:val="CharChapText"/>
    <w:basedOn w:val="DefaultParagraphFont"/>
    <w:rsid w:val="004E4EAF"/>
  </w:style>
  <w:style w:type="character" w:customStyle="1" w:styleId="CharDivNo">
    <w:name w:val="CharDivNo"/>
    <w:basedOn w:val="DefaultParagraphFont"/>
    <w:rsid w:val="004E4EAF"/>
  </w:style>
  <w:style w:type="character" w:customStyle="1" w:styleId="CharDivText">
    <w:name w:val="CharDivText"/>
    <w:basedOn w:val="DefaultParagraphFont"/>
    <w:rsid w:val="004E4EAF"/>
  </w:style>
  <w:style w:type="character" w:customStyle="1" w:styleId="CharNotesItals">
    <w:name w:val="CharNotesItals"/>
    <w:basedOn w:val="DefaultParagraphFont"/>
    <w:rsid w:val="004E4EAF"/>
    <w:rPr>
      <w:i/>
    </w:rPr>
  </w:style>
  <w:style w:type="character" w:customStyle="1" w:styleId="CharNotesReg">
    <w:name w:val="CharNotesReg"/>
    <w:basedOn w:val="DefaultParagraphFont"/>
    <w:rsid w:val="004E4EAF"/>
  </w:style>
  <w:style w:type="character" w:customStyle="1" w:styleId="CharPartNo">
    <w:name w:val="CharPartNo"/>
    <w:basedOn w:val="DefaultParagraphFont"/>
    <w:rsid w:val="004E4EAF"/>
  </w:style>
  <w:style w:type="character" w:customStyle="1" w:styleId="CharPartText">
    <w:name w:val="CharPartText"/>
    <w:basedOn w:val="DefaultParagraphFont"/>
    <w:rsid w:val="004E4EAF"/>
  </w:style>
  <w:style w:type="character" w:customStyle="1" w:styleId="CharSectno">
    <w:name w:val="CharSectno"/>
    <w:basedOn w:val="DefaultParagraphFont"/>
    <w:qFormat/>
    <w:rsid w:val="004E4EAF"/>
  </w:style>
  <w:style w:type="character" w:customStyle="1" w:styleId="CharSubdNo">
    <w:name w:val="CharSubdNo"/>
    <w:basedOn w:val="DefaultParagraphFont"/>
    <w:rsid w:val="004E4EAF"/>
  </w:style>
  <w:style w:type="character" w:customStyle="1" w:styleId="CharSubdText">
    <w:name w:val="CharSubdText"/>
    <w:basedOn w:val="DefaultParagraphFont"/>
    <w:rsid w:val="004E4EAF"/>
  </w:style>
  <w:style w:type="paragraph" w:customStyle="1" w:styleId="Contents">
    <w:name w:val="Contents"/>
    <w:basedOn w:val="Normal"/>
    <w:next w:val="Normal"/>
    <w:rsid w:val="004E4EAF"/>
    <w:rPr>
      <w:sz w:val="36"/>
    </w:rPr>
  </w:style>
  <w:style w:type="paragraph" w:styleId="BodyTextIndent">
    <w:name w:val="Body Text Indent"/>
    <w:rsid w:val="004E4EAF"/>
    <w:pPr>
      <w:spacing w:after="120"/>
      <w:ind w:left="283"/>
    </w:pPr>
    <w:rPr>
      <w:sz w:val="22"/>
      <w:szCs w:val="24"/>
    </w:rPr>
  </w:style>
  <w:style w:type="paragraph" w:customStyle="1" w:styleId="EndNote">
    <w:name w:val="EndNote"/>
    <w:basedOn w:val="Normal"/>
    <w:link w:val="EndNoteChar"/>
    <w:rsid w:val="004E4EAF"/>
    <w:pPr>
      <w:spacing w:before="180"/>
    </w:pPr>
  </w:style>
  <w:style w:type="paragraph" w:customStyle="1" w:styleId="ENoteNo">
    <w:name w:val="ENoteNo"/>
    <w:basedOn w:val="Normal"/>
    <w:rsid w:val="004E4EAF"/>
    <w:pPr>
      <w:spacing w:before="120" w:after="120"/>
      <w:ind w:left="1134" w:hanging="1134"/>
    </w:pPr>
    <w:rPr>
      <w:rFonts w:ascii="Arial" w:hAnsi="Arial"/>
      <w:b/>
      <w:sz w:val="24"/>
    </w:rPr>
  </w:style>
  <w:style w:type="paragraph" w:customStyle="1" w:styleId="Formula">
    <w:name w:val="Formula"/>
    <w:rsid w:val="004E4EAF"/>
    <w:pPr>
      <w:ind w:left="1134"/>
    </w:pPr>
    <w:rPr>
      <w:szCs w:val="24"/>
    </w:rPr>
  </w:style>
  <w:style w:type="paragraph" w:styleId="Footer">
    <w:name w:val="footer"/>
    <w:link w:val="FooterChar"/>
    <w:rsid w:val="004E4EAF"/>
    <w:pPr>
      <w:tabs>
        <w:tab w:val="center" w:pos="4153"/>
        <w:tab w:val="right" w:pos="8306"/>
      </w:tabs>
    </w:pPr>
    <w:rPr>
      <w:sz w:val="22"/>
      <w:szCs w:val="24"/>
    </w:rPr>
  </w:style>
  <w:style w:type="paragraph" w:styleId="Header">
    <w:name w:val="header"/>
    <w:link w:val="HeaderChar"/>
    <w:rsid w:val="004E4EAF"/>
    <w:pPr>
      <w:keepNext/>
      <w:keepLines/>
      <w:tabs>
        <w:tab w:val="center" w:pos="4153"/>
        <w:tab w:val="right" w:pos="8306"/>
      </w:tabs>
      <w:spacing w:line="160" w:lineRule="exact"/>
    </w:pPr>
    <w:rPr>
      <w:sz w:val="16"/>
      <w:szCs w:val="24"/>
    </w:rPr>
  </w:style>
  <w:style w:type="paragraph" w:customStyle="1" w:styleId="paragraph">
    <w:name w:val="paragraph"/>
    <w:aliases w:val="a,indent(a)"/>
    <w:link w:val="paragraphChar"/>
    <w:rsid w:val="004E4EAF"/>
    <w:pPr>
      <w:tabs>
        <w:tab w:val="right" w:pos="1531"/>
      </w:tabs>
      <w:spacing w:before="40"/>
      <w:ind w:left="1644" w:hanging="1644"/>
    </w:pPr>
    <w:rPr>
      <w:sz w:val="22"/>
      <w:szCs w:val="24"/>
    </w:rPr>
  </w:style>
  <w:style w:type="paragraph" w:customStyle="1" w:styleId="paragraphsub-sub">
    <w:name w:val="paragraph(sub-sub)"/>
    <w:aliases w:val="aaa,indent(A)"/>
    <w:basedOn w:val="paragraph"/>
    <w:rsid w:val="004E4EAF"/>
    <w:pPr>
      <w:tabs>
        <w:tab w:val="clear" w:pos="1531"/>
        <w:tab w:val="right" w:pos="2722"/>
      </w:tabs>
      <w:ind w:left="2835" w:hanging="2835"/>
    </w:pPr>
  </w:style>
  <w:style w:type="paragraph" w:customStyle="1" w:styleId="paragraphsub">
    <w:name w:val="paragraph(sub)"/>
    <w:aliases w:val="aa,indent(ii)"/>
    <w:basedOn w:val="paragraph"/>
    <w:rsid w:val="004E4EAF"/>
    <w:pPr>
      <w:tabs>
        <w:tab w:val="clear" w:pos="1531"/>
        <w:tab w:val="right" w:pos="1985"/>
      </w:tabs>
      <w:ind w:left="2098" w:hanging="2098"/>
    </w:pPr>
  </w:style>
  <w:style w:type="character" w:styleId="LineNumber">
    <w:name w:val="line number"/>
    <w:basedOn w:val="DefaultParagraphFont"/>
    <w:rsid w:val="004E4EAF"/>
    <w:rPr>
      <w:sz w:val="16"/>
    </w:rPr>
  </w:style>
  <w:style w:type="paragraph" w:customStyle="1" w:styleId="ItemHead">
    <w:name w:val="ItemHead"/>
    <w:aliases w:val="ih"/>
    <w:basedOn w:val="Heading1"/>
    <w:next w:val="Item"/>
    <w:link w:val="ItemHeadChar"/>
    <w:rsid w:val="004E4EAF"/>
    <w:pPr>
      <w:keepNext w:val="0"/>
      <w:spacing w:before="220"/>
      <w:ind w:left="709" w:hanging="709"/>
      <w:outlineLvl w:val="9"/>
    </w:pPr>
    <w:rPr>
      <w:rFonts w:ascii="Arial" w:hAnsi="Arial" w:cs="Arial"/>
      <w:sz w:val="24"/>
    </w:rPr>
  </w:style>
  <w:style w:type="paragraph" w:customStyle="1" w:styleId="subsection">
    <w:name w:val="subsection"/>
    <w:aliases w:val="ss,Subsection"/>
    <w:link w:val="subsectionChar"/>
    <w:rsid w:val="004E4EAF"/>
    <w:pPr>
      <w:tabs>
        <w:tab w:val="right" w:pos="1021"/>
      </w:tabs>
      <w:spacing w:before="180"/>
      <w:ind w:left="1134" w:hanging="1134"/>
    </w:pPr>
    <w:rPr>
      <w:sz w:val="22"/>
      <w:szCs w:val="24"/>
    </w:rPr>
  </w:style>
  <w:style w:type="paragraph" w:customStyle="1" w:styleId="Definition">
    <w:name w:val="Definition"/>
    <w:aliases w:val="dd"/>
    <w:basedOn w:val="subsection"/>
    <w:rsid w:val="004E4EAF"/>
    <w:pPr>
      <w:tabs>
        <w:tab w:val="clear" w:pos="1021"/>
      </w:tabs>
      <w:ind w:firstLine="0"/>
    </w:pPr>
  </w:style>
  <w:style w:type="paragraph" w:customStyle="1" w:styleId="Item">
    <w:name w:val="Item"/>
    <w:aliases w:val="i"/>
    <w:basedOn w:val="subsection"/>
    <w:next w:val="Normal"/>
    <w:rsid w:val="004E4EAF"/>
    <w:pPr>
      <w:keepLines/>
      <w:tabs>
        <w:tab w:val="clear" w:pos="1021"/>
      </w:tabs>
      <w:spacing w:before="80"/>
      <w:ind w:left="709" w:firstLine="0"/>
    </w:pPr>
  </w:style>
  <w:style w:type="paragraph" w:styleId="ListBullet">
    <w:name w:val="List Bullet"/>
    <w:rsid w:val="004E4EAF"/>
    <w:pPr>
      <w:numPr>
        <w:numId w:val="1"/>
      </w:numPr>
      <w:tabs>
        <w:tab w:val="clear" w:pos="360"/>
        <w:tab w:val="num" w:pos="2989"/>
      </w:tabs>
      <w:ind w:left="1225" w:firstLine="1043"/>
    </w:pPr>
    <w:rPr>
      <w:sz w:val="22"/>
      <w:szCs w:val="24"/>
    </w:rPr>
  </w:style>
  <w:style w:type="paragraph" w:customStyle="1" w:styleId="LongT">
    <w:name w:val="LongT"/>
    <w:rsid w:val="004E4EAF"/>
    <w:rPr>
      <w:b/>
      <w:sz w:val="32"/>
      <w:szCs w:val="24"/>
    </w:rPr>
  </w:style>
  <w:style w:type="paragraph" w:customStyle="1" w:styleId="Mathtype">
    <w:name w:val="Mathtype"/>
    <w:basedOn w:val="Normal"/>
    <w:rsid w:val="004E4EAF"/>
  </w:style>
  <w:style w:type="paragraph" w:customStyle="1" w:styleId="parabullet">
    <w:name w:val="para bullet"/>
    <w:rsid w:val="004E4EAF"/>
    <w:pPr>
      <w:spacing w:before="240"/>
      <w:ind w:left="1843" w:hanging="284"/>
    </w:pPr>
    <w:rPr>
      <w:sz w:val="22"/>
      <w:szCs w:val="24"/>
    </w:rPr>
  </w:style>
  <w:style w:type="paragraph" w:customStyle="1" w:styleId="notedraft">
    <w:name w:val="note(draft)"/>
    <w:aliases w:val="nd"/>
    <w:rsid w:val="004E4EAF"/>
    <w:pPr>
      <w:spacing w:before="240"/>
      <w:ind w:left="284" w:hanging="284"/>
    </w:pPr>
    <w:rPr>
      <w:i/>
      <w:sz w:val="24"/>
      <w:szCs w:val="24"/>
    </w:rPr>
  </w:style>
  <w:style w:type="paragraph" w:customStyle="1" w:styleId="notetext">
    <w:name w:val="note(text)"/>
    <w:aliases w:val="n"/>
    <w:link w:val="notetextChar"/>
    <w:rsid w:val="004E4EAF"/>
    <w:pPr>
      <w:spacing w:before="122" w:line="198" w:lineRule="exact"/>
      <w:ind w:left="1985" w:hanging="851"/>
    </w:pPr>
    <w:rPr>
      <w:sz w:val="18"/>
      <w:szCs w:val="24"/>
    </w:rPr>
  </w:style>
  <w:style w:type="paragraph" w:customStyle="1" w:styleId="notemargin">
    <w:name w:val="note(margin)"/>
    <w:aliases w:val="nm"/>
    <w:basedOn w:val="notetext"/>
    <w:rsid w:val="004E4EAF"/>
    <w:pPr>
      <w:tabs>
        <w:tab w:val="left" w:pos="709"/>
      </w:tabs>
      <w:ind w:left="709" w:hanging="709"/>
    </w:pPr>
  </w:style>
  <w:style w:type="paragraph" w:customStyle="1" w:styleId="TableColHead">
    <w:name w:val="TableColHead"/>
    <w:basedOn w:val="Normal"/>
    <w:rsid w:val="004E4EAF"/>
    <w:pPr>
      <w:keepNext/>
      <w:spacing w:before="120" w:after="60" w:line="200" w:lineRule="exact"/>
    </w:pPr>
    <w:rPr>
      <w:rFonts w:ascii="Arial" w:hAnsi="Arial"/>
      <w:b/>
      <w:sz w:val="18"/>
      <w:lang w:eastAsia="en-US"/>
    </w:rPr>
  </w:style>
  <w:style w:type="paragraph" w:customStyle="1" w:styleId="noteParlAmend">
    <w:name w:val="note(ParlAmend)"/>
    <w:aliases w:val="npp"/>
    <w:next w:val="Normal"/>
    <w:rsid w:val="004E4EAF"/>
    <w:pPr>
      <w:jc w:val="right"/>
    </w:pPr>
    <w:rPr>
      <w:rFonts w:ascii="Arial" w:hAnsi="Arial" w:cs="Arial"/>
      <w:b/>
      <w:i/>
      <w:sz w:val="22"/>
      <w:szCs w:val="24"/>
    </w:rPr>
  </w:style>
  <w:style w:type="paragraph" w:customStyle="1" w:styleId="NotesSection">
    <w:name w:val="NotesSection"/>
    <w:basedOn w:val="Normal"/>
    <w:rsid w:val="004E4EAF"/>
    <w:pPr>
      <w:spacing w:before="240"/>
    </w:pPr>
    <w:rPr>
      <w:rFonts w:ascii="Arial" w:hAnsi="Arial"/>
      <w:b/>
      <w:sz w:val="28"/>
    </w:rPr>
  </w:style>
  <w:style w:type="paragraph" w:customStyle="1" w:styleId="Page1">
    <w:name w:val="Page1"/>
    <w:basedOn w:val="Normal"/>
    <w:rsid w:val="004E4EAF"/>
    <w:pPr>
      <w:spacing w:before="400" w:line="240" w:lineRule="auto"/>
    </w:pPr>
    <w:rPr>
      <w:b/>
      <w:sz w:val="32"/>
    </w:rPr>
  </w:style>
  <w:style w:type="paragraph" w:customStyle="1" w:styleId="PageBreak">
    <w:name w:val="PageBreak"/>
    <w:aliases w:val="pb"/>
    <w:next w:val="Heading2"/>
    <w:rsid w:val="004E4EAF"/>
    <w:rPr>
      <w:sz w:val="10"/>
      <w:szCs w:val="24"/>
    </w:rPr>
  </w:style>
  <w:style w:type="character" w:customStyle="1" w:styleId="CharENotesHeading">
    <w:name w:val="CharENotesHeading"/>
    <w:basedOn w:val="DefaultParagraphFont"/>
    <w:rsid w:val="004E4EAF"/>
  </w:style>
  <w:style w:type="paragraph" w:customStyle="1" w:styleId="ParlAmend">
    <w:name w:val="ParlAmend"/>
    <w:aliases w:val="pp"/>
    <w:rsid w:val="004E4EAF"/>
    <w:pPr>
      <w:spacing w:before="240" w:line="240" w:lineRule="atLeast"/>
      <w:ind w:hanging="567"/>
    </w:pPr>
    <w:rPr>
      <w:sz w:val="24"/>
      <w:szCs w:val="24"/>
    </w:rPr>
  </w:style>
  <w:style w:type="paragraph" w:customStyle="1" w:styleId="Penalty">
    <w:name w:val="Penalty"/>
    <w:rsid w:val="004E4EAF"/>
    <w:pPr>
      <w:tabs>
        <w:tab w:val="left" w:pos="2977"/>
      </w:tabs>
      <w:spacing w:before="180"/>
      <w:ind w:left="1985" w:hanging="851"/>
    </w:pPr>
    <w:rPr>
      <w:sz w:val="22"/>
      <w:szCs w:val="24"/>
    </w:rPr>
  </w:style>
  <w:style w:type="paragraph" w:customStyle="1" w:styleId="Preamble">
    <w:name w:val="Preamble"/>
    <w:basedOn w:val="Heading5"/>
    <w:next w:val="Normal"/>
    <w:rsid w:val="004E4EAF"/>
    <w:pPr>
      <w:tabs>
        <w:tab w:val="center" w:pos="4513"/>
      </w:tabs>
      <w:outlineLvl w:val="9"/>
    </w:pPr>
    <w:rPr>
      <w:sz w:val="28"/>
    </w:rPr>
  </w:style>
  <w:style w:type="paragraph" w:styleId="TOC6">
    <w:name w:val="toc 6"/>
    <w:basedOn w:val="TOC1"/>
    <w:next w:val="Normal"/>
    <w:uiPriority w:val="39"/>
    <w:rsid w:val="004E4EAF"/>
    <w:pPr>
      <w:keepNext w:val="0"/>
      <w:ind w:left="0" w:firstLine="0"/>
    </w:pPr>
    <w:rPr>
      <w:sz w:val="24"/>
    </w:rPr>
  </w:style>
  <w:style w:type="paragraph" w:customStyle="1" w:styleId="ReprintDate">
    <w:name w:val="ReprintDate"/>
    <w:basedOn w:val="Normal"/>
    <w:rsid w:val="004E4EAF"/>
    <w:pPr>
      <w:spacing w:before="240"/>
    </w:pPr>
    <w:rPr>
      <w:b/>
      <w:sz w:val="28"/>
    </w:rPr>
  </w:style>
  <w:style w:type="paragraph" w:customStyle="1" w:styleId="ShortT">
    <w:name w:val="ShortT"/>
    <w:basedOn w:val="Normal"/>
    <w:next w:val="Normal"/>
    <w:link w:val="ShortTChar"/>
    <w:rsid w:val="004E4EAF"/>
    <w:pPr>
      <w:spacing w:before="360"/>
    </w:pPr>
    <w:rPr>
      <w:rFonts w:ascii="Times" w:hAnsi="Times"/>
      <w:b/>
      <w:sz w:val="40"/>
      <w:szCs w:val="20"/>
    </w:rPr>
  </w:style>
  <w:style w:type="paragraph" w:customStyle="1" w:styleId="Subitem">
    <w:name w:val="Subitem"/>
    <w:aliases w:val="iss"/>
    <w:rsid w:val="004E4EAF"/>
    <w:pPr>
      <w:spacing w:before="180"/>
      <w:ind w:left="709" w:hanging="709"/>
    </w:pPr>
    <w:rPr>
      <w:sz w:val="22"/>
      <w:szCs w:val="24"/>
    </w:rPr>
  </w:style>
  <w:style w:type="paragraph" w:customStyle="1" w:styleId="SubitemHead">
    <w:name w:val="SubitemHead"/>
    <w:aliases w:val="issh"/>
    <w:next w:val="Subitem"/>
    <w:rsid w:val="004E4EAF"/>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4E4EAF"/>
    <w:pPr>
      <w:tabs>
        <w:tab w:val="clear" w:pos="1021"/>
      </w:tabs>
      <w:spacing w:before="40"/>
      <w:ind w:firstLine="0"/>
    </w:pPr>
  </w:style>
  <w:style w:type="paragraph" w:customStyle="1" w:styleId="SubsectionHead">
    <w:name w:val="SubsectionHead"/>
    <w:aliases w:val="ssh"/>
    <w:basedOn w:val="subsection"/>
    <w:next w:val="subsection"/>
    <w:rsid w:val="004E4EAF"/>
    <w:pPr>
      <w:keepNext/>
      <w:keepLines/>
      <w:tabs>
        <w:tab w:val="clear" w:pos="1021"/>
      </w:tabs>
      <w:spacing w:before="240"/>
      <w:ind w:firstLine="0"/>
    </w:pPr>
    <w:rPr>
      <w:i/>
    </w:rPr>
  </w:style>
  <w:style w:type="paragraph" w:customStyle="1" w:styleId="Tablei">
    <w:name w:val="Table(i)"/>
    <w:aliases w:val="taa"/>
    <w:rsid w:val="004E4EAF"/>
    <w:pPr>
      <w:tabs>
        <w:tab w:val="left" w:pos="-6543"/>
        <w:tab w:val="left" w:pos="-6260"/>
        <w:tab w:val="right" w:pos="970"/>
      </w:tabs>
      <w:spacing w:line="240" w:lineRule="exact"/>
      <w:ind w:left="828" w:hanging="284"/>
    </w:pPr>
    <w:rPr>
      <w:szCs w:val="24"/>
    </w:rPr>
  </w:style>
  <w:style w:type="character" w:customStyle="1" w:styleId="superscriptstyle">
    <w:name w:val="superscriptstyle"/>
    <w:basedOn w:val="DefaultParagraphFont"/>
    <w:rsid w:val="004E4EAF"/>
    <w:rPr>
      <w:rFonts w:ascii="Times New Roman" w:hAnsi="Times New Roman"/>
      <w:sz w:val="18"/>
      <w:szCs w:val="18"/>
      <w:vertAlign w:val="baseline"/>
    </w:rPr>
  </w:style>
  <w:style w:type="paragraph" w:customStyle="1" w:styleId="Tablea">
    <w:name w:val="Table(a)"/>
    <w:aliases w:val="ta"/>
    <w:rsid w:val="004E4EAF"/>
    <w:pPr>
      <w:spacing w:before="60"/>
      <w:ind w:left="284" w:hanging="284"/>
    </w:pPr>
    <w:rPr>
      <w:szCs w:val="24"/>
    </w:rPr>
  </w:style>
  <w:style w:type="paragraph" w:customStyle="1" w:styleId="TableAA">
    <w:name w:val="Table(AA)"/>
    <w:aliases w:val="taaa"/>
    <w:basedOn w:val="Tablei"/>
    <w:rsid w:val="004E4EAF"/>
    <w:pPr>
      <w:tabs>
        <w:tab w:val="clear" w:pos="970"/>
      </w:tabs>
      <w:ind w:left="1055"/>
    </w:pPr>
  </w:style>
  <w:style w:type="paragraph" w:customStyle="1" w:styleId="TableA0">
    <w:name w:val="TableA"/>
    <w:basedOn w:val="Normal"/>
    <w:rsid w:val="004E4EAF"/>
    <w:pPr>
      <w:spacing w:before="120" w:after="120"/>
    </w:pPr>
    <w:rPr>
      <w:rFonts w:ascii="Arial" w:hAnsi="Arial"/>
      <w:b/>
      <w:sz w:val="24"/>
    </w:rPr>
  </w:style>
  <w:style w:type="paragraph" w:customStyle="1" w:styleId="TableAHead">
    <w:name w:val="TableAHead"/>
    <w:basedOn w:val="TableA0"/>
    <w:rsid w:val="004E4EAF"/>
    <w:rPr>
      <w:sz w:val="22"/>
    </w:rPr>
  </w:style>
  <w:style w:type="paragraph" w:customStyle="1" w:styleId="TableAHeadItal">
    <w:name w:val="TableAHeadItal"/>
    <w:basedOn w:val="TableAHead"/>
    <w:link w:val="TableAHeadItalChar"/>
    <w:rsid w:val="004E4EAF"/>
    <w:pPr>
      <w:ind w:left="709" w:hanging="709"/>
    </w:pPr>
    <w:rPr>
      <w:rFonts w:ascii="Times" w:hAnsi="Times"/>
      <w:b w:val="0"/>
      <w:i/>
    </w:rPr>
  </w:style>
  <w:style w:type="paragraph" w:customStyle="1" w:styleId="TableOfActs1">
    <w:name w:val="TableOfActs(1)"/>
    <w:basedOn w:val="Normal"/>
    <w:rsid w:val="004E4EAF"/>
    <w:pPr>
      <w:spacing w:before="60" w:line="180" w:lineRule="exact"/>
      <w:ind w:left="142" w:hanging="142"/>
    </w:pPr>
    <w:rPr>
      <w:rFonts w:ascii="Arial" w:hAnsi="Arial"/>
      <w:i/>
      <w:sz w:val="16"/>
    </w:rPr>
  </w:style>
  <w:style w:type="paragraph" w:customStyle="1" w:styleId="TableOfActs2">
    <w:name w:val="TableOfActs(2)"/>
    <w:basedOn w:val="TableOfActs1"/>
    <w:rsid w:val="004E4EAF"/>
    <w:pPr>
      <w:ind w:left="0" w:firstLine="0"/>
    </w:pPr>
    <w:rPr>
      <w:i w:val="0"/>
    </w:rPr>
  </w:style>
  <w:style w:type="paragraph" w:customStyle="1" w:styleId="TableOfActsHead">
    <w:name w:val="TableOfActsHead"/>
    <w:basedOn w:val="Normal"/>
    <w:rsid w:val="004E4EAF"/>
    <w:pPr>
      <w:spacing w:before="240" w:after="240"/>
    </w:pPr>
    <w:rPr>
      <w:rFonts w:ascii="Arial" w:hAnsi="Arial"/>
      <w:b/>
      <w:sz w:val="24"/>
    </w:rPr>
  </w:style>
  <w:style w:type="paragraph" w:customStyle="1" w:styleId="TableENotesHeadingAmdt">
    <w:name w:val="TableENotesHeadingAmdt"/>
    <w:basedOn w:val="Normal"/>
    <w:next w:val="TableOfAmendHead"/>
    <w:rsid w:val="004E4EAF"/>
    <w:pPr>
      <w:pageBreakBefore/>
      <w:spacing w:before="240" w:after="240" w:line="300" w:lineRule="exact"/>
      <w:ind w:left="2410" w:hanging="2410"/>
    </w:pPr>
    <w:rPr>
      <w:rFonts w:ascii="Arial" w:hAnsi="Arial"/>
      <w:b/>
      <w:noProof/>
      <w:sz w:val="28"/>
    </w:rPr>
  </w:style>
  <w:style w:type="paragraph" w:customStyle="1" w:styleId="TableOfAmend">
    <w:name w:val="TableOfAmend"/>
    <w:basedOn w:val="Normal"/>
    <w:rsid w:val="004E4EAF"/>
    <w:pPr>
      <w:tabs>
        <w:tab w:val="right" w:leader="dot" w:pos="2268"/>
      </w:tabs>
      <w:spacing w:before="60" w:line="180" w:lineRule="exact"/>
      <w:ind w:left="170" w:right="113" w:hanging="170"/>
    </w:pPr>
    <w:rPr>
      <w:rFonts w:ascii="Arial" w:hAnsi="Arial"/>
      <w:sz w:val="16"/>
    </w:rPr>
  </w:style>
  <w:style w:type="paragraph" w:customStyle="1" w:styleId="TableOfAmendHead">
    <w:name w:val="TableOfAmendHead"/>
    <w:basedOn w:val="Normal"/>
    <w:rsid w:val="004E4EAF"/>
    <w:pPr>
      <w:tabs>
        <w:tab w:val="right" w:pos="1021"/>
      </w:tabs>
      <w:spacing w:before="240" w:after="240"/>
      <w:ind w:left="1134" w:hanging="1134"/>
    </w:pPr>
    <w:rPr>
      <w:rFonts w:ascii="Arial" w:hAnsi="Arial"/>
      <w:b/>
      <w:sz w:val="24"/>
    </w:rPr>
  </w:style>
  <w:style w:type="paragraph" w:customStyle="1" w:styleId="TableOfAmend0pt">
    <w:name w:val="TableOfAmend0pt"/>
    <w:basedOn w:val="TableOfAmend"/>
    <w:rsid w:val="004E4EAF"/>
    <w:pPr>
      <w:spacing w:before="0"/>
    </w:pPr>
  </w:style>
  <w:style w:type="paragraph" w:customStyle="1" w:styleId="TLPLink">
    <w:name w:val="TLPLink"/>
    <w:basedOn w:val="Heading9"/>
    <w:rsid w:val="004E4EAF"/>
    <w:pPr>
      <w:keepLines w:val="0"/>
      <w:spacing w:before="360"/>
      <w:ind w:firstLine="0"/>
      <w:outlineLvl w:val="9"/>
    </w:pPr>
    <w:rPr>
      <w:b w:val="0"/>
      <w:kern w:val="0"/>
      <w:sz w:val="20"/>
    </w:rPr>
  </w:style>
  <w:style w:type="paragraph" w:customStyle="1" w:styleId="TLPBoxTextnote">
    <w:name w:val="TLPBoxText(note"/>
    <w:aliases w:val="right)"/>
    <w:rsid w:val="004E4E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Notebullet">
    <w:name w:val="TLPNote(bullet)"/>
    <w:rsid w:val="004E4EAF"/>
    <w:pPr>
      <w:numPr>
        <w:numId w:val="14"/>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4E4EAF"/>
    <w:pPr>
      <w:spacing w:before="122" w:line="198" w:lineRule="exact"/>
      <w:ind w:left="1985" w:hanging="851"/>
      <w:jc w:val="right"/>
    </w:pPr>
    <w:rPr>
      <w:sz w:val="18"/>
      <w:szCs w:val="24"/>
    </w:rPr>
  </w:style>
  <w:style w:type="paragraph" w:customStyle="1" w:styleId="TLPTableBullet">
    <w:name w:val="TLPTableBullet"/>
    <w:aliases w:val="ttb"/>
    <w:rsid w:val="004E4EAF"/>
    <w:pPr>
      <w:spacing w:line="240" w:lineRule="exact"/>
      <w:ind w:left="284" w:hanging="284"/>
    </w:pPr>
    <w:rPr>
      <w:szCs w:val="24"/>
    </w:rPr>
  </w:style>
  <w:style w:type="paragraph" w:customStyle="1" w:styleId="TOAmRenumbered">
    <w:name w:val="TOAmRenumbered"/>
    <w:basedOn w:val="TableOfAmend"/>
    <w:rsid w:val="004E4EAF"/>
    <w:pPr>
      <w:ind w:left="0" w:firstLine="0"/>
    </w:pPr>
  </w:style>
  <w:style w:type="paragraph" w:styleId="TOC1">
    <w:name w:val="toc 1"/>
    <w:basedOn w:val="Heading1"/>
    <w:next w:val="Normal"/>
    <w:uiPriority w:val="39"/>
    <w:rsid w:val="004E4EAF"/>
    <w:pPr>
      <w:tabs>
        <w:tab w:val="right" w:pos="7088"/>
      </w:tabs>
      <w:spacing w:before="120"/>
      <w:ind w:left="1474" w:right="567" w:hanging="1474"/>
      <w:outlineLvl w:val="9"/>
    </w:pPr>
    <w:rPr>
      <w:sz w:val="28"/>
    </w:rPr>
  </w:style>
  <w:style w:type="paragraph" w:styleId="TOC2">
    <w:name w:val="toc 2"/>
    <w:basedOn w:val="Heading2"/>
    <w:next w:val="Normal"/>
    <w:uiPriority w:val="39"/>
    <w:rsid w:val="004E4EAF"/>
    <w:pPr>
      <w:tabs>
        <w:tab w:val="right" w:pos="7088"/>
      </w:tabs>
      <w:spacing w:before="120"/>
      <w:ind w:left="879" w:right="567" w:hanging="879"/>
      <w:outlineLvl w:val="9"/>
    </w:pPr>
    <w:rPr>
      <w:sz w:val="24"/>
    </w:rPr>
  </w:style>
  <w:style w:type="paragraph" w:styleId="TOC3">
    <w:name w:val="toc 3"/>
    <w:basedOn w:val="Heading3"/>
    <w:next w:val="Normal"/>
    <w:uiPriority w:val="39"/>
    <w:rsid w:val="004E4EAF"/>
    <w:pPr>
      <w:tabs>
        <w:tab w:val="right" w:pos="7088"/>
      </w:tabs>
      <w:spacing w:before="80"/>
      <w:ind w:left="1604" w:right="567" w:hanging="1179"/>
      <w:outlineLvl w:val="9"/>
    </w:pPr>
    <w:rPr>
      <w:sz w:val="22"/>
    </w:rPr>
  </w:style>
  <w:style w:type="paragraph" w:styleId="TOC4">
    <w:name w:val="toc 4"/>
    <w:basedOn w:val="Heading4"/>
    <w:next w:val="Normal"/>
    <w:uiPriority w:val="39"/>
    <w:rsid w:val="004E4EAF"/>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4E4EAF"/>
    <w:pPr>
      <w:keepNext w:val="0"/>
      <w:tabs>
        <w:tab w:val="right" w:leader="dot" w:pos="7088"/>
      </w:tabs>
      <w:spacing w:before="40"/>
      <w:ind w:left="2098" w:right="567" w:hanging="680"/>
      <w:outlineLvl w:val="9"/>
    </w:pPr>
    <w:rPr>
      <w:b w:val="0"/>
      <w:sz w:val="18"/>
    </w:rPr>
  </w:style>
  <w:style w:type="paragraph" w:styleId="TOC7">
    <w:name w:val="toc 7"/>
    <w:basedOn w:val="TOC2"/>
    <w:next w:val="Normal"/>
    <w:uiPriority w:val="39"/>
    <w:rsid w:val="004E4EAF"/>
    <w:pPr>
      <w:keepNext w:val="0"/>
      <w:ind w:left="1253" w:hanging="828"/>
    </w:pPr>
    <w:rPr>
      <w:b w:val="0"/>
    </w:rPr>
  </w:style>
  <w:style w:type="paragraph" w:styleId="TOC8">
    <w:name w:val="toc 8"/>
    <w:basedOn w:val="TOC3"/>
    <w:next w:val="Normal"/>
    <w:uiPriority w:val="39"/>
    <w:rsid w:val="004E4EAF"/>
    <w:pPr>
      <w:keepNext w:val="0"/>
      <w:ind w:left="1900" w:hanging="1049"/>
    </w:pPr>
    <w:rPr>
      <w:b w:val="0"/>
      <w:sz w:val="20"/>
    </w:rPr>
  </w:style>
  <w:style w:type="paragraph" w:styleId="TOC9">
    <w:name w:val="toc 9"/>
    <w:basedOn w:val="Heading9"/>
    <w:next w:val="Normal"/>
    <w:uiPriority w:val="39"/>
    <w:rsid w:val="004E4EAF"/>
    <w:pPr>
      <w:tabs>
        <w:tab w:val="right" w:pos="7088"/>
      </w:tabs>
      <w:spacing w:before="80"/>
      <w:ind w:left="851" w:right="567" w:firstLine="0"/>
      <w:outlineLvl w:val="9"/>
    </w:pPr>
    <w:rPr>
      <w:b w:val="0"/>
      <w:sz w:val="20"/>
    </w:rPr>
  </w:style>
  <w:style w:type="paragraph" w:customStyle="1" w:styleId="TofSectsSubdiv">
    <w:name w:val="TofSects(Subdiv)"/>
    <w:basedOn w:val="TOC4"/>
    <w:rsid w:val="004E4EAF"/>
    <w:pPr>
      <w:tabs>
        <w:tab w:val="clear" w:pos="7088"/>
      </w:tabs>
      <w:ind w:left="1588" w:right="0" w:hanging="794"/>
    </w:pPr>
    <w:rPr>
      <w:b w:val="0"/>
      <w:sz w:val="22"/>
    </w:rPr>
  </w:style>
  <w:style w:type="paragraph" w:customStyle="1" w:styleId="TofSectsSection">
    <w:name w:val="TofSects(Section)"/>
    <w:basedOn w:val="TOC5"/>
    <w:rsid w:val="004E4EAF"/>
    <w:pPr>
      <w:tabs>
        <w:tab w:val="clear" w:pos="7088"/>
      </w:tabs>
      <w:ind w:left="1588" w:right="0" w:hanging="794"/>
    </w:pPr>
  </w:style>
  <w:style w:type="paragraph" w:customStyle="1" w:styleId="TofSectsHeading">
    <w:name w:val="TofSects(Heading)"/>
    <w:basedOn w:val="TOC5"/>
    <w:next w:val="Normal"/>
    <w:rsid w:val="004E4EAF"/>
    <w:pPr>
      <w:keepLines w:val="0"/>
      <w:tabs>
        <w:tab w:val="clear" w:pos="7088"/>
      </w:tabs>
      <w:spacing w:before="240" w:after="120"/>
      <w:ind w:left="0" w:right="0" w:firstLine="0"/>
    </w:pPr>
    <w:rPr>
      <w:b/>
      <w:kern w:val="0"/>
      <w:sz w:val="24"/>
    </w:rPr>
  </w:style>
  <w:style w:type="paragraph" w:customStyle="1" w:styleId="TofSectsGroupHeading">
    <w:name w:val="TofSects(GroupHeading)"/>
    <w:basedOn w:val="TOC4"/>
    <w:next w:val="Normal"/>
    <w:rsid w:val="004E4EAF"/>
    <w:pPr>
      <w:tabs>
        <w:tab w:val="clear" w:pos="7088"/>
      </w:tabs>
      <w:spacing w:before="240" w:after="120"/>
      <w:ind w:left="794" w:right="0" w:firstLine="0"/>
    </w:pPr>
  </w:style>
  <w:style w:type="paragraph" w:customStyle="1" w:styleId="UpdateDate">
    <w:name w:val="UpdateDate"/>
    <w:basedOn w:val="Normal"/>
    <w:rsid w:val="004E4EAF"/>
    <w:pPr>
      <w:spacing w:before="240"/>
    </w:pPr>
    <w:rPr>
      <w:sz w:val="24"/>
    </w:rPr>
  </w:style>
  <w:style w:type="paragraph" w:customStyle="1" w:styleId="Actno">
    <w:name w:val="Actno"/>
    <w:basedOn w:val="UpdateDate"/>
    <w:next w:val="Normal"/>
    <w:link w:val="ActnoChar"/>
    <w:rsid w:val="004E4EAF"/>
    <w:rPr>
      <w:b/>
    </w:rPr>
  </w:style>
  <w:style w:type="paragraph" w:customStyle="1" w:styleId="AmendTableColHead">
    <w:name w:val="AmendTableColHead"/>
    <w:basedOn w:val="TableOfAmend"/>
    <w:rsid w:val="004E4EAF"/>
    <w:pPr>
      <w:spacing w:line="200" w:lineRule="exact"/>
    </w:pPr>
    <w:rPr>
      <w:sz w:val="18"/>
    </w:rPr>
  </w:style>
  <w:style w:type="paragraph" w:customStyle="1" w:styleId="CoverActNo">
    <w:name w:val="CoverActNo"/>
    <w:basedOn w:val="UpdateDate"/>
    <w:rsid w:val="004E4EAF"/>
    <w:rPr>
      <w:b/>
    </w:rPr>
  </w:style>
  <w:style w:type="paragraph" w:customStyle="1" w:styleId="Headerpartodd">
    <w:name w:val="Header.part.odd"/>
    <w:basedOn w:val="Normal"/>
    <w:rsid w:val="004E4EAF"/>
    <w:pPr>
      <w:keepNext/>
    </w:pPr>
    <w:rPr>
      <w:sz w:val="20"/>
    </w:rPr>
  </w:style>
  <w:style w:type="paragraph" w:customStyle="1" w:styleId="Specialih">
    <w:name w:val="Special ih"/>
    <w:basedOn w:val="ItemHead"/>
    <w:link w:val="SpecialihChar"/>
    <w:rsid w:val="004E4EAF"/>
  </w:style>
  <w:style w:type="numbering" w:styleId="111111">
    <w:name w:val="Outline List 2"/>
    <w:basedOn w:val="NoList"/>
    <w:rsid w:val="004E4EAF"/>
    <w:pPr>
      <w:numPr>
        <w:numId w:val="21"/>
      </w:numPr>
    </w:pPr>
  </w:style>
  <w:style w:type="numbering" w:styleId="1ai">
    <w:name w:val="Outline List 1"/>
    <w:basedOn w:val="NoList"/>
    <w:rsid w:val="004E4EAF"/>
    <w:pPr>
      <w:numPr>
        <w:numId w:val="12"/>
      </w:numPr>
    </w:pPr>
  </w:style>
  <w:style w:type="numbering" w:styleId="ArticleSection">
    <w:name w:val="Outline List 3"/>
    <w:basedOn w:val="NoList"/>
    <w:rsid w:val="004E4EAF"/>
    <w:pPr>
      <w:numPr>
        <w:numId w:val="22"/>
      </w:numPr>
    </w:pPr>
  </w:style>
  <w:style w:type="paragraph" w:styleId="BlockText">
    <w:name w:val="Block Text"/>
    <w:rsid w:val="004E4EAF"/>
    <w:pPr>
      <w:spacing w:after="120"/>
      <w:ind w:left="1440" w:right="1440"/>
    </w:pPr>
    <w:rPr>
      <w:sz w:val="22"/>
      <w:szCs w:val="24"/>
    </w:rPr>
  </w:style>
  <w:style w:type="paragraph" w:styleId="BodyText">
    <w:name w:val="Body Text"/>
    <w:rsid w:val="004E4EAF"/>
    <w:pPr>
      <w:spacing w:after="120"/>
    </w:pPr>
    <w:rPr>
      <w:sz w:val="22"/>
      <w:szCs w:val="24"/>
    </w:rPr>
  </w:style>
  <w:style w:type="paragraph" w:styleId="BodyText2">
    <w:name w:val="Body Text 2"/>
    <w:rsid w:val="004E4EAF"/>
    <w:pPr>
      <w:spacing w:after="120" w:line="480" w:lineRule="auto"/>
    </w:pPr>
    <w:rPr>
      <w:sz w:val="22"/>
      <w:szCs w:val="24"/>
    </w:rPr>
  </w:style>
  <w:style w:type="paragraph" w:styleId="BodyText3">
    <w:name w:val="Body Text 3"/>
    <w:rsid w:val="004E4EAF"/>
    <w:pPr>
      <w:spacing w:after="120"/>
    </w:pPr>
    <w:rPr>
      <w:sz w:val="16"/>
      <w:szCs w:val="16"/>
    </w:rPr>
  </w:style>
  <w:style w:type="paragraph" w:styleId="BodyTextFirstIndent">
    <w:name w:val="Body Text First Indent"/>
    <w:basedOn w:val="BodyText"/>
    <w:rsid w:val="004E4EAF"/>
    <w:pPr>
      <w:ind w:firstLine="210"/>
    </w:pPr>
  </w:style>
  <w:style w:type="paragraph" w:styleId="BodyTextFirstIndent2">
    <w:name w:val="Body Text First Indent 2"/>
    <w:basedOn w:val="BodyTextIndent"/>
    <w:rsid w:val="004E4EAF"/>
    <w:pPr>
      <w:ind w:firstLine="210"/>
    </w:pPr>
  </w:style>
  <w:style w:type="paragraph" w:styleId="BodyTextIndent2">
    <w:name w:val="Body Text Indent 2"/>
    <w:rsid w:val="004E4EAF"/>
    <w:pPr>
      <w:spacing w:after="120" w:line="480" w:lineRule="auto"/>
      <w:ind w:left="283"/>
    </w:pPr>
    <w:rPr>
      <w:sz w:val="22"/>
      <w:szCs w:val="24"/>
    </w:rPr>
  </w:style>
  <w:style w:type="paragraph" w:styleId="BodyTextIndent3">
    <w:name w:val="Body Text Indent 3"/>
    <w:rsid w:val="004E4EAF"/>
    <w:pPr>
      <w:spacing w:after="120"/>
      <w:ind w:left="283"/>
    </w:pPr>
    <w:rPr>
      <w:sz w:val="16"/>
      <w:szCs w:val="16"/>
    </w:rPr>
  </w:style>
  <w:style w:type="paragraph" w:styleId="Closing">
    <w:name w:val="Closing"/>
    <w:rsid w:val="004E4EAF"/>
    <w:pPr>
      <w:ind w:left="4252"/>
    </w:pPr>
    <w:rPr>
      <w:sz w:val="22"/>
      <w:szCs w:val="24"/>
    </w:rPr>
  </w:style>
  <w:style w:type="paragraph" w:styleId="Date">
    <w:name w:val="Date"/>
    <w:next w:val="Normal"/>
    <w:rsid w:val="004E4EAF"/>
    <w:rPr>
      <w:sz w:val="22"/>
      <w:szCs w:val="24"/>
    </w:rPr>
  </w:style>
  <w:style w:type="paragraph" w:styleId="E-mailSignature">
    <w:name w:val="E-mail Signature"/>
    <w:rsid w:val="004E4EAF"/>
    <w:rPr>
      <w:sz w:val="22"/>
      <w:szCs w:val="24"/>
    </w:rPr>
  </w:style>
  <w:style w:type="character" w:styleId="Emphasis">
    <w:name w:val="Emphasis"/>
    <w:basedOn w:val="DefaultParagraphFont"/>
    <w:qFormat/>
    <w:rsid w:val="004E4EAF"/>
    <w:rPr>
      <w:i/>
      <w:iCs/>
    </w:rPr>
  </w:style>
  <w:style w:type="paragraph" w:styleId="EnvelopeAddress">
    <w:name w:val="envelope address"/>
    <w:rsid w:val="004E4E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E4EAF"/>
    <w:rPr>
      <w:rFonts w:ascii="Arial" w:hAnsi="Arial" w:cs="Arial"/>
    </w:rPr>
  </w:style>
  <w:style w:type="character" w:styleId="FollowedHyperlink">
    <w:name w:val="FollowedHyperlink"/>
    <w:basedOn w:val="DefaultParagraphFont"/>
    <w:rsid w:val="004E4EAF"/>
    <w:rPr>
      <w:color w:val="800080"/>
      <w:u w:val="single"/>
    </w:rPr>
  </w:style>
  <w:style w:type="character" w:styleId="HTMLAcronym">
    <w:name w:val="HTML Acronym"/>
    <w:basedOn w:val="DefaultParagraphFont"/>
    <w:rsid w:val="004E4EAF"/>
  </w:style>
  <w:style w:type="paragraph" w:styleId="HTMLAddress">
    <w:name w:val="HTML Address"/>
    <w:rsid w:val="004E4EAF"/>
    <w:rPr>
      <w:i/>
      <w:iCs/>
      <w:sz w:val="22"/>
      <w:szCs w:val="24"/>
    </w:rPr>
  </w:style>
  <w:style w:type="character" w:styleId="HTMLCite">
    <w:name w:val="HTML Cite"/>
    <w:basedOn w:val="DefaultParagraphFont"/>
    <w:rsid w:val="004E4EAF"/>
    <w:rPr>
      <w:i/>
      <w:iCs/>
    </w:rPr>
  </w:style>
  <w:style w:type="character" w:styleId="HTMLCode">
    <w:name w:val="HTML Code"/>
    <w:basedOn w:val="DefaultParagraphFont"/>
    <w:rsid w:val="004E4EAF"/>
    <w:rPr>
      <w:rFonts w:ascii="Courier New" w:hAnsi="Courier New" w:cs="Courier New"/>
      <w:sz w:val="20"/>
      <w:szCs w:val="20"/>
    </w:rPr>
  </w:style>
  <w:style w:type="character" w:styleId="HTMLDefinition">
    <w:name w:val="HTML Definition"/>
    <w:basedOn w:val="DefaultParagraphFont"/>
    <w:rsid w:val="004E4EAF"/>
    <w:rPr>
      <w:i/>
      <w:iCs/>
    </w:rPr>
  </w:style>
  <w:style w:type="character" w:styleId="HTMLKeyboard">
    <w:name w:val="HTML Keyboard"/>
    <w:basedOn w:val="DefaultParagraphFont"/>
    <w:rsid w:val="004E4EAF"/>
    <w:rPr>
      <w:rFonts w:ascii="Courier New" w:hAnsi="Courier New" w:cs="Courier New"/>
      <w:sz w:val="20"/>
      <w:szCs w:val="20"/>
    </w:rPr>
  </w:style>
  <w:style w:type="paragraph" w:styleId="HTMLPreformatted">
    <w:name w:val="HTML Preformatted"/>
    <w:rsid w:val="004E4EAF"/>
    <w:rPr>
      <w:rFonts w:ascii="Courier New" w:hAnsi="Courier New" w:cs="Courier New"/>
    </w:rPr>
  </w:style>
  <w:style w:type="character" w:styleId="HTMLSample">
    <w:name w:val="HTML Sample"/>
    <w:basedOn w:val="DefaultParagraphFont"/>
    <w:rsid w:val="004E4EAF"/>
    <w:rPr>
      <w:rFonts w:ascii="Courier New" w:hAnsi="Courier New" w:cs="Courier New"/>
    </w:rPr>
  </w:style>
  <w:style w:type="character" w:styleId="HTMLTypewriter">
    <w:name w:val="HTML Typewriter"/>
    <w:basedOn w:val="DefaultParagraphFont"/>
    <w:rsid w:val="004E4EAF"/>
    <w:rPr>
      <w:rFonts w:ascii="Courier New" w:hAnsi="Courier New" w:cs="Courier New"/>
      <w:sz w:val="20"/>
      <w:szCs w:val="20"/>
    </w:rPr>
  </w:style>
  <w:style w:type="character" w:styleId="HTMLVariable">
    <w:name w:val="HTML Variable"/>
    <w:basedOn w:val="DefaultParagraphFont"/>
    <w:rsid w:val="004E4EAF"/>
    <w:rPr>
      <w:i/>
      <w:iCs/>
    </w:rPr>
  </w:style>
  <w:style w:type="character" w:styleId="Hyperlink">
    <w:name w:val="Hyperlink"/>
    <w:basedOn w:val="DefaultParagraphFont"/>
    <w:uiPriority w:val="99"/>
    <w:rsid w:val="004E4EAF"/>
    <w:rPr>
      <w:color w:val="0000FF"/>
      <w:u w:val="single"/>
    </w:rPr>
  </w:style>
  <w:style w:type="paragraph" w:styleId="List">
    <w:name w:val="List"/>
    <w:rsid w:val="004E4EAF"/>
    <w:pPr>
      <w:ind w:left="283" w:hanging="283"/>
    </w:pPr>
    <w:rPr>
      <w:sz w:val="22"/>
      <w:szCs w:val="24"/>
    </w:rPr>
  </w:style>
  <w:style w:type="paragraph" w:styleId="List2">
    <w:name w:val="List 2"/>
    <w:rsid w:val="004E4EAF"/>
    <w:pPr>
      <w:ind w:left="566" w:hanging="283"/>
    </w:pPr>
    <w:rPr>
      <w:sz w:val="22"/>
      <w:szCs w:val="24"/>
    </w:rPr>
  </w:style>
  <w:style w:type="paragraph" w:styleId="List3">
    <w:name w:val="List 3"/>
    <w:rsid w:val="004E4EAF"/>
    <w:pPr>
      <w:ind w:left="849" w:hanging="283"/>
    </w:pPr>
    <w:rPr>
      <w:sz w:val="22"/>
      <w:szCs w:val="24"/>
    </w:rPr>
  </w:style>
  <w:style w:type="paragraph" w:styleId="List4">
    <w:name w:val="List 4"/>
    <w:rsid w:val="004E4EAF"/>
    <w:pPr>
      <w:ind w:left="1132" w:hanging="283"/>
    </w:pPr>
    <w:rPr>
      <w:sz w:val="22"/>
      <w:szCs w:val="24"/>
    </w:rPr>
  </w:style>
  <w:style w:type="paragraph" w:styleId="List5">
    <w:name w:val="List 5"/>
    <w:rsid w:val="004E4EAF"/>
    <w:pPr>
      <w:ind w:left="1415" w:hanging="283"/>
    </w:pPr>
    <w:rPr>
      <w:sz w:val="22"/>
      <w:szCs w:val="24"/>
    </w:rPr>
  </w:style>
  <w:style w:type="paragraph" w:styleId="ListBullet2">
    <w:name w:val="List Bullet 2"/>
    <w:rsid w:val="004E4EAF"/>
    <w:pPr>
      <w:numPr>
        <w:numId w:val="2"/>
      </w:numPr>
      <w:tabs>
        <w:tab w:val="clear" w:pos="643"/>
        <w:tab w:val="num" w:pos="360"/>
      </w:tabs>
      <w:ind w:left="360"/>
    </w:pPr>
    <w:rPr>
      <w:sz w:val="22"/>
      <w:szCs w:val="24"/>
    </w:rPr>
  </w:style>
  <w:style w:type="paragraph" w:styleId="ListBullet3">
    <w:name w:val="List Bullet 3"/>
    <w:rsid w:val="004E4EAF"/>
    <w:pPr>
      <w:numPr>
        <w:numId w:val="3"/>
      </w:numPr>
      <w:tabs>
        <w:tab w:val="clear" w:pos="926"/>
        <w:tab w:val="num" w:pos="360"/>
      </w:tabs>
      <w:ind w:left="360"/>
    </w:pPr>
    <w:rPr>
      <w:sz w:val="22"/>
      <w:szCs w:val="24"/>
    </w:rPr>
  </w:style>
  <w:style w:type="paragraph" w:styleId="ListBullet4">
    <w:name w:val="List Bullet 4"/>
    <w:rsid w:val="004E4EAF"/>
    <w:pPr>
      <w:numPr>
        <w:numId w:val="4"/>
      </w:numPr>
      <w:tabs>
        <w:tab w:val="clear" w:pos="1209"/>
        <w:tab w:val="num" w:pos="926"/>
      </w:tabs>
      <w:ind w:left="926"/>
    </w:pPr>
    <w:rPr>
      <w:sz w:val="22"/>
      <w:szCs w:val="24"/>
    </w:rPr>
  </w:style>
  <w:style w:type="paragraph" w:styleId="ListBullet5">
    <w:name w:val="List Bullet 5"/>
    <w:rsid w:val="004E4EAF"/>
    <w:pPr>
      <w:numPr>
        <w:numId w:val="5"/>
      </w:numPr>
    </w:pPr>
    <w:rPr>
      <w:sz w:val="22"/>
      <w:szCs w:val="24"/>
    </w:rPr>
  </w:style>
  <w:style w:type="paragraph" w:styleId="ListContinue">
    <w:name w:val="List Continue"/>
    <w:rsid w:val="004E4EAF"/>
    <w:pPr>
      <w:spacing w:after="120"/>
      <w:ind w:left="283"/>
    </w:pPr>
    <w:rPr>
      <w:sz w:val="22"/>
      <w:szCs w:val="24"/>
    </w:rPr>
  </w:style>
  <w:style w:type="paragraph" w:styleId="ListContinue2">
    <w:name w:val="List Continue 2"/>
    <w:rsid w:val="004E4EAF"/>
    <w:pPr>
      <w:spacing w:after="120"/>
      <w:ind w:left="566"/>
    </w:pPr>
    <w:rPr>
      <w:sz w:val="22"/>
      <w:szCs w:val="24"/>
    </w:rPr>
  </w:style>
  <w:style w:type="paragraph" w:styleId="ListContinue3">
    <w:name w:val="List Continue 3"/>
    <w:rsid w:val="004E4EAF"/>
    <w:pPr>
      <w:spacing w:after="120"/>
      <w:ind w:left="849"/>
    </w:pPr>
    <w:rPr>
      <w:sz w:val="22"/>
      <w:szCs w:val="24"/>
    </w:rPr>
  </w:style>
  <w:style w:type="paragraph" w:styleId="ListContinue4">
    <w:name w:val="List Continue 4"/>
    <w:rsid w:val="004E4EAF"/>
    <w:pPr>
      <w:spacing w:after="120"/>
      <w:ind w:left="1132"/>
    </w:pPr>
    <w:rPr>
      <w:sz w:val="22"/>
      <w:szCs w:val="24"/>
    </w:rPr>
  </w:style>
  <w:style w:type="paragraph" w:styleId="ListContinue5">
    <w:name w:val="List Continue 5"/>
    <w:rsid w:val="004E4EAF"/>
    <w:pPr>
      <w:spacing w:after="120"/>
      <w:ind w:left="1415"/>
    </w:pPr>
    <w:rPr>
      <w:sz w:val="22"/>
      <w:szCs w:val="24"/>
    </w:rPr>
  </w:style>
  <w:style w:type="paragraph" w:styleId="ListNumber">
    <w:name w:val="List Number"/>
    <w:rsid w:val="004E4EAF"/>
    <w:pPr>
      <w:numPr>
        <w:numId w:val="6"/>
      </w:numPr>
      <w:tabs>
        <w:tab w:val="clear" w:pos="360"/>
        <w:tab w:val="num" w:pos="4242"/>
      </w:tabs>
      <w:ind w:left="3521" w:hanging="1043"/>
    </w:pPr>
    <w:rPr>
      <w:sz w:val="22"/>
      <w:szCs w:val="24"/>
    </w:rPr>
  </w:style>
  <w:style w:type="paragraph" w:styleId="ListNumber2">
    <w:name w:val="List Number 2"/>
    <w:rsid w:val="004E4EAF"/>
    <w:pPr>
      <w:numPr>
        <w:numId w:val="7"/>
      </w:numPr>
      <w:tabs>
        <w:tab w:val="clear" w:pos="643"/>
        <w:tab w:val="num" w:pos="360"/>
      </w:tabs>
      <w:ind w:left="360"/>
    </w:pPr>
    <w:rPr>
      <w:sz w:val="22"/>
      <w:szCs w:val="24"/>
    </w:rPr>
  </w:style>
  <w:style w:type="paragraph" w:styleId="ListNumber3">
    <w:name w:val="List Number 3"/>
    <w:rsid w:val="004E4EAF"/>
    <w:pPr>
      <w:numPr>
        <w:numId w:val="8"/>
      </w:numPr>
      <w:tabs>
        <w:tab w:val="clear" w:pos="926"/>
        <w:tab w:val="num" w:pos="360"/>
      </w:tabs>
      <w:ind w:left="360"/>
    </w:pPr>
    <w:rPr>
      <w:sz w:val="22"/>
      <w:szCs w:val="24"/>
    </w:rPr>
  </w:style>
  <w:style w:type="paragraph" w:styleId="ListNumber4">
    <w:name w:val="List Number 4"/>
    <w:rsid w:val="004E4EAF"/>
    <w:pPr>
      <w:numPr>
        <w:numId w:val="9"/>
      </w:numPr>
      <w:tabs>
        <w:tab w:val="clear" w:pos="1209"/>
        <w:tab w:val="num" w:pos="360"/>
      </w:tabs>
      <w:ind w:left="360"/>
    </w:pPr>
    <w:rPr>
      <w:sz w:val="22"/>
      <w:szCs w:val="24"/>
    </w:rPr>
  </w:style>
  <w:style w:type="paragraph" w:styleId="ListNumber5">
    <w:name w:val="List Number 5"/>
    <w:rsid w:val="004E4EAF"/>
    <w:pPr>
      <w:numPr>
        <w:numId w:val="10"/>
      </w:numPr>
      <w:tabs>
        <w:tab w:val="clear" w:pos="1492"/>
        <w:tab w:val="num" w:pos="1440"/>
      </w:tabs>
      <w:ind w:left="0" w:firstLine="0"/>
    </w:pPr>
    <w:rPr>
      <w:sz w:val="22"/>
      <w:szCs w:val="24"/>
    </w:rPr>
  </w:style>
  <w:style w:type="paragraph" w:styleId="MessageHeader">
    <w:name w:val="Message Header"/>
    <w:rsid w:val="004E4E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E4EAF"/>
    <w:rPr>
      <w:sz w:val="24"/>
      <w:szCs w:val="24"/>
    </w:rPr>
  </w:style>
  <w:style w:type="paragraph" w:styleId="NormalIndent">
    <w:name w:val="Normal Indent"/>
    <w:rsid w:val="004E4EAF"/>
    <w:pPr>
      <w:ind w:left="720"/>
    </w:pPr>
    <w:rPr>
      <w:sz w:val="22"/>
      <w:szCs w:val="24"/>
    </w:rPr>
  </w:style>
  <w:style w:type="paragraph" w:styleId="NoteHeading">
    <w:name w:val="Note Heading"/>
    <w:next w:val="Normal"/>
    <w:rsid w:val="004E4EAF"/>
    <w:rPr>
      <w:sz w:val="22"/>
      <w:szCs w:val="24"/>
    </w:rPr>
  </w:style>
  <w:style w:type="character" w:styleId="PageNumber">
    <w:name w:val="page number"/>
    <w:basedOn w:val="DefaultParagraphFont"/>
    <w:rsid w:val="004E4EAF"/>
  </w:style>
  <w:style w:type="paragraph" w:styleId="PlainText">
    <w:name w:val="Plain Text"/>
    <w:rsid w:val="004E4EAF"/>
    <w:rPr>
      <w:rFonts w:ascii="Courier New" w:hAnsi="Courier New" w:cs="Courier New"/>
      <w:sz w:val="22"/>
    </w:rPr>
  </w:style>
  <w:style w:type="paragraph" w:styleId="Salutation">
    <w:name w:val="Salutation"/>
    <w:next w:val="Normal"/>
    <w:rsid w:val="004E4EAF"/>
    <w:rPr>
      <w:sz w:val="22"/>
      <w:szCs w:val="24"/>
    </w:rPr>
  </w:style>
  <w:style w:type="paragraph" w:styleId="Signature">
    <w:name w:val="Signature"/>
    <w:rsid w:val="004E4EAF"/>
    <w:pPr>
      <w:ind w:left="4252"/>
    </w:pPr>
    <w:rPr>
      <w:sz w:val="22"/>
      <w:szCs w:val="24"/>
    </w:rPr>
  </w:style>
  <w:style w:type="character" w:styleId="Strong">
    <w:name w:val="Strong"/>
    <w:basedOn w:val="DefaultParagraphFont"/>
    <w:qFormat/>
    <w:rsid w:val="004E4EAF"/>
    <w:rPr>
      <w:b/>
      <w:bCs/>
    </w:rPr>
  </w:style>
  <w:style w:type="paragraph" w:styleId="Subtitle">
    <w:name w:val="Subtitle"/>
    <w:qFormat/>
    <w:rsid w:val="004E4EAF"/>
    <w:pPr>
      <w:spacing w:after="60"/>
      <w:jc w:val="center"/>
    </w:pPr>
    <w:rPr>
      <w:rFonts w:ascii="Arial" w:hAnsi="Arial" w:cs="Arial"/>
      <w:sz w:val="24"/>
      <w:szCs w:val="24"/>
    </w:rPr>
  </w:style>
  <w:style w:type="table" w:styleId="Table3Deffects1">
    <w:name w:val="Table 3D effects 1"/>
    <w:basedOn w:val="TableNormal"/>
    <w:rsid w:val="004E4EAF"/>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4EAF"/>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E4EAF"/>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E4EAF"/>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E4EAF"/>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E4EAF"/>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E4EAF"/>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E4EAF"/>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E4EAF"/>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E4EAF"/>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E4EAF"/>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E4EAF"/>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E4EAF"/>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E4EAF"/>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E4EAF"/>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E4EAF"/>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E4EAF"/>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E4EAF"/>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E4EAF"/>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E4EAF"/>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E4EAF"/>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E4EAF"/>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E4EAF"/>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E4EAF"/>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E4EAF"/>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E4EAF"/>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E4EAF"/>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EAF"/>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E4EAF"/>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E4EAF"/>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E4EAF"/>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4E4EAF"/>
    <w:pPr>
      <w:spacing w:before="240" w:after="60"/>
      <w:jc w:val="center"/>
    </w:pPr>
    <w:rPr>
      <w:rFonts w:ascii="Arial" w:hAnsi="Arial" w:cs="Arial"/>
      <w:b/>
      <w:bCs/>
      <w:kern w:val="28"/>
      <w:sz w:val="32"/>
      <w:szCs w:val="32"/>
    </w:rPr>
  </w:style>
  <w:style w:type="paragraph" w:styleId="TOAHeading">
    <w:name w:val="toa heading"/>
    <w:next w:val="Normal"/>
    <w:rsid w:val="004E4EAF"/>
    <w:pPr>
      <w:spacing w:before="120"/>
    </w:pPr>
    <w:rPr>
      <w:rFonts w:ascii="Arial" w:hAnsi="Arial" w:cs="Arial"/>
      <w:b/>
      <w:bCs/>
      <w:sz w:val="24"/>
      <w:szCs w:val="24"/>
    </w:rPr>
  </w:style>
  <w:style w:type="paragraph" w:styleId="BalloonText">
    <w:name w:val="Balloon Text"/>
    <w:rsid w:val="004E4EAF"/>
    <w:rPr>
      <w:rFonts w:ascii="Tahoma" w:hAnsi="Tahoma" w:cs="Tahoma"/>
      <w:sz w:val="16"/>
      <w:szCs w:val="16"/>
    </w:rPr>
  </w:style>
  <w:style w:type="paragraph" w:styleId="Caption">
    <w:name w:val="caption"/>
    <w:next w:val="Normal"/>
    <w:qFormat/>
    <w:rsid w:val="004E4EAF"/>
    <w:pPr>
      <w:spacing w:before="120" w:after="120"/>
    </w:pPr>
    <w:rPr>
      <w:b/>
      <w:bCs/>
    </w:rPr>
  </w:style>
  <w:style w:type="character" w:styleId="CommentReference">
    <w:name w:val="annotation reference"/>
    <w:basedOn w:val="DefaultParagraphFont"/>
    <w:rsid w:val="004E4EAF"/>
    <w:rPr>
      <w:sz w:val="16"/>
      <w:szCs w:val="16"/>
    </w:rPr>
  </w:style>
  <w:style w:type="paragraph" w:styleId="CommentText">
    <w:name w:val="annotation text"/>
    <w:rsid w:val="004E4EAF"/>
  </w:style>
  <w:style w:type="paragraph" w:styleId="CommentSubject">
    <w:name w:val="annotation subject"/>
    <w:next w:val="CommentText"/>
    <w:rsid w:val="004E4EAF"/>
    <w:rPr>
      <w:b/>
      <w:bCs/>
      <w:szCs w:val="24"/>
    </w:rPr>
  </w:style>
  <w:style w:type="paragraph" w:styleId="DocumentMap">
    <w:name w:val="Document Map"/>
    <w:rsid w:val="004E4EAF"/>
    <w:pPr>
      <w:shd w:val="clear" w:color="auto" w:fill="000080"/>
    </w:pPr>
    <w:rPr>
      <w:rFonts w:ascii="Tahoma" w:hAnsi="Tahoma" w:cs="Tahoma"/>
      <w:sz w:val="22"/>
      <w:szCs w:val="24"/>
    </w:rPr>
  </w:style>
  <w:style w:type="character" w:styleId="EndnoteReference">
    <w:name w:val="endnote reference"/>
    <w:basedOn w:val="DefaultParagraphFont"/>
    <w:rsid w:val="004E4EAF"/>
    <w:rPr>
      <w:vertAlign w:val="superscript"/>
    </w:rPr>
  </w:style>
  <w:style w:type="paragraph" w:styleId="EndnoteText">
    <w:name w:val="endnote text"/>
    <w:rsid w:val="004E4EAF"/>
  </w:style>
  <w:style w:type="character" w:styleId="FootnoteReference">
    <w:name w:val="footnote reference"/>
    <w:basedOn w:val="DefaultParagraphFont"/>
    <w:rsid w:val="004E4EAF"/>
    <w:rPr>
      <w:vertAlign w:val="superscript"/>
    </w:rPr>
  </w:style>
  <w:style w:type="paragraph" w:styleId="FootnoteText">
    <w:name w:val="footnote text"/>
    <w:rsid w:val="004E4EAF"/>
  </w:style>
  <w:style w:type="paragraph" w:styleId="Index1">
    <w:name w:val="index 1"/>
    <w:next w:val="Normal"/>
    <w:rsid w:val="004E4EAF"/>
    <w:pPr>
      <w:ind w:left="220" w:hanging="220"/>
    </w:pPr>
    <w:rPr>
      <w:sz w:val="22"/>
      <w:szCs w:val="24"/>
    </w:rPr>
  </w:style>
  <w:style w:type="paragraph" w:styleId="Index2">
    <w:name w:val="index 2"/>
    <w:next w:val="Normal"/>
    <w:rsid w:val="004E4EAF"/>
    <w:pPr>
      <w:ind w:left="440" w:hanging="220"/>
    </w:pPr>
    <w:rPr>
      <w:sz w:val="22"/>
      <w:szCs w:val="24"/>
    </w:rPr>
  </w:style>
  <w:style w:type="paragraph" w:styleId="Index3">
    <w:name w:val="index 3"/>
    <w:next w:val="Normal"/>
    <w:rsid w:val="004E4EAF"/>
    <w:pPr>
      <w:ind w:left="660" w:hanging="220"/>
    </w:pPr>
    <w:rPr>
      <w:sz w:val="22"/>
      <w:szCs w:val="24"/>
    </w:rPr>
  </w:style>
  <w:style w:type="paragraph" w:styleId="Index4">
    <w:name w:val="index 4"/>
    <w:next w:val="Normal"/>
    <w:rsid w:val="004E4EAF"/>
    <w:pPr>
      <w:ind w:left="880" w:hanging="220"/>
    </w:pPr>
    <w:rPr>
      <w:sz w:val="22"/>
      <w:szCs w:val="24"/>
    </w:rPr>
  </w:style>
  <w:style w:type="paragraph" w:styleId="Index5">
    <w:name w:val="index 5"/>
    <w:next w:val="Normal"/>
    <w:rsid w:val="004E4EAF"/>
    <w:pPr>
      <w:ind w:left="1100" w:hanging="220"/>
    </w:pPr>
    <w:rPr>
      <w:sz w:val="22"/>
      <w:szCs w:val="24"/>
    </w:rPr>
  </w:style>
  <w:style w:type="paragraph" w:styleId="Index6">
    <w:name w:val="index 6"/>
    <w:next w:val="Normal"/>
    <w:rsid w:val="004E4EAF"/>
    <w:pPr>
      <w:ind w:left="1320" w:hanging="220"/>
    </w:pPr>
    <w:rPr>
      <w:sz w:val="22"/>
      <w:szCs w:val="24"/>
    </w:rPr>
  </w:style>
  <w:style w:type="paragraph" w:styleId="Index7">
    <w:name w:val="index 7"/>
    <w:next w:val="Normal"/>
    <w:rsid w:val="004E4EAF"/>
    <w:pPr>
      <w:ind w:left="1540" w:hanging="220"/>
    </w:pPr>
    <w:rPr>
      <w:sz w:val="22"/>
      <w:szCs w:val="24"/>
    </w:rPr>
  </w:style>
  <w:style w:type="paragraph" w:styleId="Index8">
    <w:name w:val="index 8"/>
    <w:next w:val="Normal"/>
    <w:rsid w:val="004E4EAF"/>
    <w:pPr>
      <w:ind w:left="1760" w:hanging="220"/>
    </w:pPr>
    <w:rPr>
      <w:sz w:val="22"/>
      <w:szCs w:val="24"/>
    </w:rPr>
  </w:style>
  <w:style w:type="paragraph" w:styleId="Index9">
    <w:name w:val="index 9"/>
    <w:next w:val="Normal"/>
    <w:rsid w:val="004E4EAF"/>
    <w:pPr>
      <w:ind w:left="1980" w:hanging="220"/>
    </w:pPr>
    <w:rPr>
      <w:sz w:val="22"/>
      <w:szCs w:val="24"/>
    </w:rPr>
  </w:style>
  <w:style w:type="paragraph" w:styleId="IndexHeading">
    <w:name w:val="index heading"/>
    <w:next w:val="Index1"/>
    <w:rsid w:val="004E4EAF"/>
    <w:rPr>
      <w:rFonts w:ascii="Arial" w:hAnsi="Arial" w:cs="Arial"/>
      <w:b/>
      <w:bCs/>
      <w:sz w:val="22"/>
      <w:szCs w:val="24"/>
    </w:rPr>
  </w:style>
  <w:style w:type="paragraph" w:styleId="MacroText">
    <w:name w:val="macro"/>
    <w:rsid w:val="004E4E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4E4EAF"/>
    <w:pPr>
      <w:ind w:left="220" w:hanging="220"/>
    </w:pPr>
    <w:rPr>
      <w:sz w:val="22"/>
      <w:szCs w:val="24"/>
    </w:rPr>
  </w:style>
  <w:style w:type="paragraph" w:styleId="TableofFigures">
    <w:name w:val="table of figures"/>
    <w:next w:val="Normal"/>
    <w:rsid w:val="004E4EAF"/>
    <w:pPr>
      <w:ind w:left="440" w:hanging="440"/>
    </w:pPr>
    <w:rPr>
      <w:sz w:val="22"/>
      <w:szCs w:val="24"/>
    </w:rPr>
  </w:style>
  <w:style w:type="paragraph" w:customStyle="1" w:styleId="ActHead1">
    <w:name w:val="ActHead 1"/>
    <w:aliases w:val="c"/>
    <w:next w:val="Normal"/>
    <w:rsid w:val="004E4EAF"/>
    <w:pPr>
      <w:keepNext/>
      <w:keepLines/>
      <w:ind w:left="1134" w:hanging="1134"/>
      <w:outlineLvl w:val="0"/>
    </w:pPr>
    <w:rPr>
      <w:b/>
      <w:bCs/>
      <w:kern w:val="28"/>
      <w:sz w:val="36"/>
      <w:szCs w:val="32"/>
    </w:rPr>
  </w:style>
  <w:style w:type="paragraph" w:customStyle="1" w:styleId="ActHead2">
    <w:name w:val="ActHead 2"/>
    <w:aliases w:val="p"/>
    <w:basedOn w:val="ActHead1"/>
    <w:next w:val="Normal"/>
    <w:rsid w:val="004E4EAF"/>
    <w:pPr>
      <w:spacing w:before="280"/>
      <w:outlineLvl w:val="1"/>
    </w:pPr>
    <w:rPr>
      <w:sz w:val="32"/>
    </w:rPr>
  </w:style>
  <w:style w:type="paragraph" w:customStyle="1" w:styleId="ActHead3">
    <w:name w:val="ActHead 3"/>
    <w:aliases w:val="d"/>
    <w:basedOn w:val="ActHead1"/>
    <w:next w:val="Normal"/>
    <w:rsid w:val="004E4EAF"/>
    <w:pPr>
      <w:spacing w:before="240"/>
      <w:outlineLvl w:val="2"/>
    </w:pPr>
    <w:rPr>
      <w:sz w:val="28"/>
    </w:rPr>
  </w:style>
  <w:style w:type="paragraph" w:customStyle="1" w:styleId="ActHead4">
    <w:name w:val="ActHead 4"/>
    <w:aliases w:val="sd"/>
    <w:basedOn w:val="ActHead1"/>
    <w:next w:val="Normal"/>
    <w:rsid w:val="004E4EAF"/>
    <w:pPr>
      <w:spacing w:before="220"/>
      <w:outlineLvl w:val="3"/>
    </w:pPr>
    <w:rPr>
      <w:sz w:val="26"/>
    </w:rPr>
  </w:style>
  <w:style w:type="paragraph" w:customStyle="1" w:styleId="Tabletext">
    <w:name w:val="Tabletext"/>
    <w:aliases w:val="tt"/>
    <w:rsid w:val="004E4EAF"/>
    <w:pPr>
      <w:spacing w:before="60" w:line="240" w:lineRule="atLeast"/>
    </w:pPr>
    <w:rPr>
      <w:szCs w:val="24"/>
    </w:rPr>
  </w:style>
  <w:style w:type="paragraph" w:customStyle="1" w:styleId="ActHead5">
    <w:name w:val="ActHead 5"/>
    <w:aliases w:val="s"/>
    <w:basedOn w:val="ActHead1"/>
    <w:next w:val="Normal"/>
    <w:qFormat/>
    <w:rsid w:val="004E4EAF"/>
    <w:pPr>
      <w:spacing w:before="280"/>
      <w:outlineLvl w:val="4"/>
    </w:pPr>
    <w:rPr>
      <w:sz w:val="24"/>
    </w:rPr>
  </w:style>
  <w:style w:type="paragraph" w:customStyle="1" w:styleId="ActHead6">
    <w:name w:val="ActHead 6"/>
    <w:aliases w:val="as"/>
    <w:basedOn w:val="ActHead1"/>
    <w:next w:val="Normal"/>
    <w:rsid w:val="004E4EAF"/>
    <w:pPr>
      <w:outlineLvl w:val="5"/>
    </w:pPr>
    <w:rPr>
      <w:rFonts w:ascii="Arial" w:hAnsi="Arial"/>
      <w:sz w:val="32"/>
    </w:rPr>
  </w:style>
  <w:style w:type="paragraph" w:customStyle="1" w:styleId="ActHead7">
    <w:name w:val="ActHead 7"/>
    <w:aliases w:val="ap"/>
    <w:basedOn w:val="ActHead6"/>
    <w:next w:val="Normal"/>
    <w:rsid w:val="004E4EAF"/>
    <w:pPr>
      <w:spacing w:before="280"/>
      <w:outlineLvl w:val="6"/>
    </w:pPr>
    <w:rPr>
      <w:sz w:val="28"/>
    </w:rPr>
  </w:style>
  <w:style w:type="paragraph" w:customStyle="1" w:styleId="ActHead8">
    <w:name w:val="ActHead 8"/>
    <w:aliases w:val="ad"/>
    <w:basedOn w:val="ActHead6"/>
    <w:next w:val="Normal"/>
    <w:rsid w:val="004E4EAF"/>
    <w:pPr>
      <w:spacing w:before="240"/>
      <w:outlineLvl w:val="7"/>
    </w:pPr>
    <w:rPr>
      <w:sz w:val="26"/>
    </w:rPr>
  </w:style>
  <w:style w:type="paragraph" w:customStyle="1" w:styleId="ActHead9">
    <w:name w:val="ActHead 9"/>
    <w:aliases w:val="aat"/>
    <w:basedOn w:val="ActHead1"/>
    <w:next w:val="Normal"/>
    <w:rsid w:val="004E4EAF"/>
    <w:pPr>
      <w:keepNext w:val="0"/>
      <w:spacing w:before="280"/>
      <w:outlineLvl w:val="8"/>
    </w:pPr>
    <w:rPr>
      <w:i/>
      <w:sz w:val="28"/>
    </w:rPr>
  </w:style>
  <w:style w:type="paragraph" w:customStyle="1" w:styleId="Blocks">
    <w:name w:val="Blocks"/>
    <w:aliases w:val="bb"/>
    <w:rsid w:val="004E4EAF"/>
    <w:rPr>
      <w:sz w:val="24"/>
      <w:szCs w:val="24"/>
    </w:rPr>
  </w:style>
  <w:style w:type="character" w:customStyle="1" w:styleId="CharBoldItalic">
    <w:name w:val="CharBoldItalic"/>
    <w:basedOn w:val="DefaultParagraphFont"/>
    <w:rsid w:val="004E4EAF"/>
    <w:rPr>
      <w:b/>
      <w:i/>
    </w:rPr>
  </w:style>
  <w:style w:type="character" w:customStyle="1" w:styleId="CharItalic">
    <w:name w:val="CharItalic"/>
    <w:basedOn w:val="DefaultParagraphFont"/>
    <w:rsid w:val="004E4EAF"/>
    <w:rPr>
      <w:i/>
    </w:rPr>
  </w:style>
  <w:style w:type="paragraph" w:customStyle="1" w:styleId="CTHeading">
    <w:name w:val="CT Heading"/>
    <w:basedOn w:val="Heading8"/>
    <w:next w:val="Normal"/>
    <w:rsid w:val="004E4EAF"/>
    <w:rPr>
      <w:rFonts w:ascii="Times New Roman" w:hAnsi="Times New Roman"/>
      <w:sz w:val="20"/>
    </w:rPr>
  </w:style>
  <w:style w:type="paragraph" w:customStyle="1" w:styleId="CTNote">
    <w:name w:val="CT Note"/>
    <w:basedOn w:val="notemargin"/>
    <w:next w:val="CTHeading"/>
    <w:autoRedefine/>
    <w:rsid w:val="004E4EAF"/>
    <w:pPr>
      <w:ind w:left="0" w:firstLine="0"/>
    </w:pPr>
    <w:rPr>
      <w:i/>
    </w:rPr>
  </w:style>
  <w:style w:type="paragraph" w:customStyle="1" w:styleId="CTA-">
    <w:name w:val="CTA -"/>
    <w:next w:val="Normal"/>
    <w:rsid w:val="004E4EAF"/>
    <w:pPr>
      <w:spacing w:before="60" w:line="240" w:lineRule="atLeast"/>
      <w:ind w:left="85" w:hanging="85"/>
    </w:pPr>
    <w:rPr>
      <w:lang w:eastAsia="en-US"/>
    </w:rPr>
  </w:style>
  <w:style w:type="paragraph" w:customStyle="1" w:styleId="CTA--">
    <w:name w:val="CTA --"/>
    <w:next w:val="Normal"/>
    <w:rsid w:val="004E4EAF"/>
    <w:pPr>
      <w:spacing w:before="60" w:line="240" w:lineRule="atLeast"/>
      <w:ind w:left="142" w:hanging="142"/>
    </w:pPr>
    <w:rPr>
      <w:lang w:eastAsia="en-US"/>
    </w:rPr>
  </w:style>
  <w:style w:type="paragraph" w:customStyle="1" w:styleId="CTA---">
    <w:name w:val="CTA ---"/>
    <w:next w:val="Normal"/>
    <w:rsid w:val="004E4EAF"/>
    <w:pPr>
      <w:spacing w:before="60" w:line="240" w:lineRule="atLeast"/>
      <w:ind w:left="198" w:hanging="198"/>
    </w:pPr>
    <w:rPr>
      <w:lang w:eastAsia="en-US"/>
    </w:rPr>
  </w:style>
  <w:style w:type="paragraph" w:customStyle="1" w:styleId="CTA----">
    <w:name w:val="CTA ----"/>
    <w:next w:val="Normal"/>
    <w:rsid w:val="004E4EAF"/>
    <w:pPr>
      <w:spacing w:before="60" w:line="240" w:lineRule="atLeast"/>
      <w:ind w:left="255" w:hanging="255"/>
    </w:pPr>
  </w:style>
  <w:style w:type="paragraph" w:customStyle="1" w:styleId="CTA1a">
    <w:name w:val="CTA 1(a)"/>
    <w:basedOn w:val="CTA-"/>
    <w:rsid w:val="004E4EAF"/>
    <w:pPr>
      <w:tabs>
        <w:tab w:val="right" w:pos="414"/>
      </w:tabs>
      <w:spacing w:before="40"/>
      <w:ind w:left="674" w:hanging="674"/>
    </w:pPr>
  </w:style>
  <w:style w:type="paragraph" w:customStyle="1" w:styleId="CTA1ai">
    <w:name w:val="CTA 1(a)(i)"/>
    <w:basedOn w:val="CTA1a"/>
    <w:rsid w:val="004E4EAF"/>
    <w:pPr>
      <w:tabs>
        <w:tab w:val="clear" w:pos="414"/>
        <w:tab w:val="right" w:pos="1004"/>
      </w:tabs>
      <w:ind w:left="1254" w:hanging="1254"/>
    </w:pPr>
  </w:style>
  <w:style w:type="paragraph" w:customStyle="1" w:styleId="CTA2a">
    <w:name w:val="CTA 2(a)"/>
    <w:basedOn w:val="CTA--"/>
    <w:rsid w:val="004E4EAF"/>
    <w:pPr>
      <w:tabs>
        <w:tab w:val="right" w:pos="484"/>
      </w:tabs>
      <w:spacing w:before="40"/>
      <w:ind w:left="748" w:hanging="748"/>
    </w:pPr>
  </w:style>
  <w:style w:type="paragraph" w:customStyle="1" w:styleId="CTA2ai">
    <w:name w:val="CTA 2(a)(i)"/>
    <w:basedOn w:val="CTA2a"/>
    <w:rsid w:val="004E4EAF"/>
    <w:pPr>
      <w:tabs>
        <w:tab w:val="clear" w:pos="484"/>
        <w:tab w:val="right" w:pos="1086"/>
      </w:tabs>
      <w:ind w:left="1324" w:hanging="1324"/>
    </w:pPr>
  </w:style>
  <w:style w:type="paragraph" w:customStyle="1" w:styleId="CTA3a">
    <w:name w:val="CTA 3(a)"/>
    <w:basedOn w:val="CTA---"/>
    <w:rsid w:val="004E4EAF"/>
    <w:pPr>
      <w:tabs>
        <w:tab w:val="right" w:pos="554"/>
      </w:tabs>
      <w:spacing w:before="40"/>
      <w:ind w:left="806" w:hanging="806"/>
    </w:pPr>
  </w:style>
  <w:style w:type="paragraph" w:customStyle="1" w:styleId="CTA3ai">
    <w:name w:val="CTA 3(a)(i)"/>
    <w:basedOn w:val="CTA3a"/>
    <w:rsid w:val="004E4EAF"/>
    <w:pPr>
      <w:tabs>
        <w:tab w:val="clear" w:pos="554"/>
        <w:tab w:val="right" w:pos="1142"/>
      </w:tabs>
      <w:ind w:left="1361" w:hanging="1361"/>
    </w:pPr>
  </w:style>
  <w:style w:type="paragraph" w:customStyle="1" w:styleId="CTA4a">
    <w:name w:val="CTA 4(a)"/>
    <w:basedOn w:val="CTA----"/>
    <w:rsid w:val="004E4EAF"/>
    <w:pPr>
      <w:tabs>
        <w:tab w:val="right" w:pos="624"/>
      </w:tabs>
      <w:spacing w:before="40"/>
      <w:ind w:left="876" w:hanging="876"/>
    </w:pPr>
  </w:style>
  <w:style w:type="paragraph" w:customStyle="1" w:styleId="CTA4ai">
    <w:name w:val="CTA 4(a)(i)"/>
    <w:basedOn w:val="CTA4a"/>
    <w:rsid w:val="004E4EAF"/>
    <w:pPr>
      <w:tabs>
        <w:tab w:val="clear" w:pos="624"/>
        <w:tab w:val="right" w:pos="1212"/>
      </w:tabs>
      <w:ind w:left="1450" w:hanging="1450"/>
    </w:pPr>
  </w:style>
  <w:style w:type="paragraph" w:customStyle="1" w:styleId="CTACAPS">
    <w:name w:val="CTA CAPS"/>
    <w:basedOn w:val="Normal"/>
    <w:rsid w:val="004E4EAF"/>
    <w:pPr>
      <w:spacing w:before="60" w:line="240" w:lineRule="atLeast"/>
    </w:pPr>
    <w:rPr>
      <w:sz w:val="20"/>
    </w:rPr>
  </w:style>
  <w:style w:type="paragraph" w:customStyle="1" w:styleId="CTAright">
    <w:name w:val="CTA right"/>
    <w:basedOn w:val="Normal"/>
    <w:rsid w:val="004E4EAF"/>
    <w:pPr>
      <w:spacing w:before="60" w:line="240" w:lineRule="auto"/>
      <w:jc w:val="right"/>
    </w:pPr>
    <w:rPr>
      <w:sz w:val="20"/>
      <w:szCs w:val="20"/>
      <w:lang w:eastAsia="en-US"/>
    </w:rPr>
  </w:style>
  <w:style w:type="paragraph" w:customStyle="1" w:styleId="ETAsubitem">
    <w:name w:val="ETA(subitem)"/>
    <w:rsid w:val="004E4EAF"/>
    <w:pPr>
      <w:tabs>
        <w:tab w:val="right" w:pos="340"/>
      </w:tabs>
      <w:spacing w:before="60"/>
      <w:ind w:left="454" w:hanging="454"/>
    </w:pPr>
    <w:rPr>
      <w:szCs w:val="24"/>
    </w:rPr>
  </w:style>
  <w:style w:type="paragraph" w:customStyle="1" w:styleId="ETApara">
    <w:name w:val="ETA(para)"/>
    <w:basedOn w:val="ETAsubitem"/>
    <w:rsid w:val="004E4EAF"/>
    <w:pPr>
      <w:tabs>
        <w:tab w:val="clear" w:pos="340"/>
        <w:tab w:val="right" w:pos="753"/>
      </w:tabs>
      <w:ind w:left="828" w:hanging="828"/>
    </w:pPr>
  </w:style>
  <w:style w:type="paragraph" w:customStyle="1" w:styleId="ETAsubpara">
    <w:name w:val="ETA(subpara)"/>
    <w:basedOn w:val="ETAsubitem"/>
    <w:rsid w:val="004E4EAF"/>
    <w:pPr>
      <w:tabs>
        <w:tab w:val="clear" w:pos="340"/>
        <w:tab w:val="right" w:pos="1083"/>
      </w:tabs>
      <w:ind w:left="1193" w:hanging="1193"/>
    </w:pPr>
  </w:style>
  <w:style w:type="paragraph" w:customStyle="1" w:styleId="ETAsub-subpara">
    <w:name w:val="ETA(sub-subpara)"/>
    <w:basedOn w:val="ETAsubpara"/>
    <w:rsid w:val="004E4EAF"/>
    <w:pPr>
      <w:tabs>
        <w:tab w:val="clear" w:pos="1083"/>
        <w:tab w:val="right" w:pos="1413"/>
      </w:tabs>
      <w:ind w:left="1523" w:hanging="1523"/>
    </w:pPr>
  </w:style>
  <w:style w:type="paragraph" w:customStyle="1" w:styleId="House">
    <w:name w:val="House"/>
    <w:rsid w:val="004E4EAF"/>
    <w:rPr>
      <w:sz w:val="28"/>
      <w:szCs w:val="24"/>
    </w:rPr>
  </w:style>
  <w:style w:type="paragraph" w:customStyle="1" w:styleId="Portfolio">
    <w:name w:val="Portfolio"/>
    <w:rsid w:val="004E4EAF"/>
    <w:rPr>
      <w:i/>
      <w:szCs w:val="24"/>
    </w:rPr>
  </w:style>
  <w:style w:type="paragraph" w:customStyle="1" w:styleId="Reading">
    <w:name w:val="Reading"/>
    <w:rsid w:val="004E4EAF"/>
    <w:rPr>
      <w:i/>
      <w:szCs w:val="24"/>
    </w:rPr>
  </w:style>
  <w:style w:type="paragraph" w:customStyle="1" w:styleId="SectHead">
    <w:name w:val="SectHead"/>
    <w:basedOn w:val="Heading5"/>
    <w:rsid w:val="004E4EAF"/>
  </w:style>
  <w:style w:type="paragraph" w:customStyle="1" w:styleId="Session">
    <w:name w:val="Session"/>
    <w:rsid w:val="004E4EAF"/>
    <w:rPr>
      <w:sz w:val="28"/>
      <w:szCs w:val="24"/>
    </w:rPr>
  </w:style>
  <w:style w:type="paragraph" w:customStyle="1" w:styleId="Sponsor">
    <w:name w:val="Sponsor"/>
    <w:rsid w:val="004E4EAF"/>
    <w:rPr>
      <w:i/>
      <w:sz w:val="22"/>
      <w:szCs w:val="24"/>
    </w:rPr>
  </w:style>
  <w:style w:type="paragraph" w:customStyle="1" w:styleId="ScalePlusRef">
    <w:name w:val="ScalePlusRef"/>
    <w:basedOn w:val="Normal"/>
    <w:rsid w:val="004E4EAF"/>
    <w:pPr>
      <w:spacing w:line="240" w:lineRule="auto"/>
    </w:pPr>
    <w:rPr>
      <w:sz w:val="18"/>
      <w:szCs w:val="20"/>
    </w:rPr>
  </w:style>
  <w:style w:type="character" w:customStyle="1" w:styleId="EndNoteChar">
    <w:name w:val="EndNote Char"/>
    <w:basedOn w:val="DefaultParagraphFont"/>
    <w:link w:val="EndNote"/>
    <w:rsid w:val="004E4EAF"/>
    <w:rPr>
      <w:sz w:val="22"/>
      <w:szCs w:val="24"/>
    </w:rPr>
  </w:style>
  <w:style w:type="paragraph" w:customStyle="1" w:styleId="headerpartodd0">
    <w:name w:val="header.part.odd"/>
    <w:basedOn w:val="Normal"/>
    <w:rsid w:val="004E4EAF"/>
    <w:pPr>
      <w:keepNext/>
    </w:pPr>
    <w:rPr>
      <w:rFonts w:ascii="Times" w:hAnsi="Times"/>
      <w:sz w:val="20"/>
      <w:szCs w:val="20"/>
    </w:rPr>
  </w:style>
  <w:style w:type="character" w:customStyle="1" w:styleId="SpecialihChar">
    <w:name w:val="Special ih Char"/>
    <w:basedOn w:val="DefaultParagraphFont"/>
    <w:link w:val="Specialih"/>
    <w:rsid w:val="00AE7912"/>
    <w:rPr>
      <w:rFonts w:ascii="Arial" w:hAnsi="Arial" w:cs="Arial"/>
      <w:b/>
      <w:bCs/>
      <w:kern w:val="28"/>
      <w:sz w:val="24"/>
      <w:szCs w:val="32"/>
    </w:rPr>
  </w:style>
  <w:style w:type="character" w:customStyle="1" w:styleId="ItemHeadChar">
    <w:name w:val="ItemHead Char"/>
    <w:aliases w:val="ih Char"/>
    <w:basedOn w:val="DefaultParagraphFont"/>
    <w:link w:val="ItemHead"/>
    <w:rsid w:val="000050EB"/>
    <w:rPr>
      <w:rFonts w:ascii="Arial" w:hAnsi="Arial" w:cs="Arial"/>
      <w:b/>
      <w:bCs/>
      <w:kern w:val="28"/>
      <w:sz w:val="24"/>
      <w:szCs w:val="32"/>
    </w:rPr>
  </w:style>
  <w:style w:type="character" w:customStyle="1" w:styleId="paragraphChar">
    <w:name w:val="paragraph Char"/>
    <w:aliases w:val="a Char"/>
    <w:basedOn w:val="DefaultParagraphFont"/>
    <w:link w:val="paragraph"/>
    <w:rsid w:val="007E601C"/>
    <w:rPr>
      <w:sz w:val="22"/>
      <w:szCs w:val="24"/>
      <w:lang w:val="en-AU" w:eastAsia="en-AU" w:bidi="ar-SA"/>
    </w:rPr>
  </w:style>
  <w:style w:type="character" w:customStyle="1" w:styleId="subsectionChar">
    <w:name w:val="subsection Char"/>
    <w:aliases w:val="ss Char"/>
    <w:basedOn w:val="DefaultParagraphFont"/>
    <w:link w:val="subsection"/>
    <w:rsid w:val="00F369B0"/>
    <w:rPr>
      <w:sz w:val="22"/>
      <w:szCs w:val="24"/>
      <w:lang w:val="en-AU" w:eastAsia="en-AU" w:bidi="ar-SA"/>
    </w:rPr>
  </w:style>
  <w:style w:type="character" w:customStyle="1" w:styleId="notetextChar">
    <w:name w:val="note(text) Char"/>
    <w:aliases w:val="n Char"/>
    <w:basedOn w:val="DefaultParagraphFont"/>
    <w:link w:val="notetext"/>
    <w:rsid w:val="00460796"/>
    <w:rPr>
      <w:sz w:val="18"/>
      <w:szCs w:val="24"/>
      <w:lang w:val="en-AU" w:eastAsia="en-AU" w:bidi="ar-SA"/>
    </w:rPr>
  </w:style>
  <w:style w:type="character" w:customStyle="1" w:styleId="HeaderChar">
    <w:name w:val="Header Char"/>
    <w:basedOn w:val="DefaultParagraphFont"/>
    <w:link w:val="Header"/>
    <w:rsid w:val="00F244A1"/>
    <w:rPr>
      <w:sz w:val="16"/>
      <w:szCs w:val="24"/>
      <w:lang w:val="en-AU" w:eastAsia="en-AU" w:bidi="ar-SA"/>
    </w:rPr>
  </w:style>
  <w:style w:type="character" w:customStyle="1" w:styleId="TableAHeadItalChar">
    <w:name w:val="TableAHeadItal Char"/>
    <w:basedOn w:val="DefaultParagraphFont"/>
    <w:link w:val="TableAHeadItal"/>
    <w:rsid w:val="00F244A1"/>
    <w:rPr>
      <w:rFonts w:ascii="Times" w:hAnsi="Times"/>
      <w:i/>
      <w:sz w:val="22"/>
      <w:szCs w:val="24"/>
    </w:rPr>
  </w:style>
  <w:style w:type="character" w:customStyle="1" w:styleId="FooterChar">
    <w:name w:val="Footer Char"/>
    <w:basedOn w:val="DefaultParagraphFont"/>
    <w:link w:val="Footer"/>
    <w:rsid w:val="00334C1D"/>
    <w:rPr>
      <w:sz w:val="22"/>
      <w:szCs w:val="24"/>
    </w:rPr>
  </w:style>
  <w:style w:type="character" w:customStyle="1" w:styleId="ShortTChar">
    <w:name w:val="ShortT Char"/>
    <w:basedOn w:val="DefaultParagraphFont"/>
    <w:link w:val="ShortT"/>
    <w:rsid w:val="00334C1D"/>
    <w:rPr>
      <w:rFonts w:ascii="Times" w:hAnsi="Times"/>
      <w:b/>
      <w:sz w:val="40"/>
    </w:rPr>
  </w:style>
  <w:style w:type="character" w:customStyle="1" w:styleId="ActnoChar">
    <w:name w:val="Actno Char"/>
    <w:basedOn w:val="ShortTChar"/>
    <w:link w:val="Actno"/>
    <w:rsid w:val="00334C1D"/>
    <w:rPr>
      <w:rFonts w:ascii="Times" w:hAnsi="Times"/>
      <w:b/>
      <w:sz w:val="24"/>
      <w:szCs w:val="24"/>
    </w:rPr>
  </w:style>
  <w:style w:type="paragraph" w:customStyle="1" w:styleId="p1LinesBef">
    <w:name w:val="p1LinesBef"/>
    <w:basedOn w:val="Normal"/>
    <w:rsid w:val="00334C1D"/>
    <w:pPr>
      <w:pBdr>
        <w:bottom w:val="single" w:sz="6" w:space="0" w:color="auto"/>
      </w:pBdr>
      <w:spacing w:before="400" w:line="240" w:lineRule="auto"/>
    </w:pPr>
    <w:rPr>
      <w:b/>
      <w:sz w:val="28"/>
      <w:szCs w:val="28"/>
      <w:lang w:val="en-US"/>
    </w:rPr>
  </w:style>
  <w:style w:type="paragraph" w:customStyle="1" w:styleId="p1LinesAfter">
    <w:name w:val="p1LinesAfter"/>
    <w:basedOn w:val="Normal"/>
    <w:rsid w:val="00334C1D"/>
    <w:pPr>
      <w:pBdr>
        <w:top w:val="single" w:sz="12" w:space="0" w:color="auto"/>
      </w:pBdr>
      <w:spacing w:line="240" w:lineRule="auto"/>
    </w:pPr>
    <w:rPr>
      <w:b/>
      <w:sz w:val="28"/>
      <w:szCs w:val="28"/>
      <w:lang w:val="en-US"/>
    </w:rPr>
  </w:style>
  <w:style w:type="paragraph" w:customStyle="1" w:styleId="AssentDt">
    <w:name w:val="AssentDt"/>
    <w:basedOn w:val="Normal"/>
    <w:rsid w:val="00334C1D"/>
    <w:pPr>
      <w:spacing w:line="240" w:lineRule="auto"/>
    </w:pPr>
    <w:rPr>
      <w:sz w:val="20"/>
      <w:szCs w:val="20"/>
    </w:rPr>
  </w:style>
  <w:style w:type="paragraph" w:customStyle="1" w:styleId="Acthea">
    <w:name w:val="Acthea"/>
    <w:basedOn w:val="Heading1"/>
    <w:rsid w:val="00334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wmf"/><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oleObject" Target="embeddings/oleObject1.bin"/><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8F116-6220-449C-AA4A-343254BF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4061</Words>
  <Characters>21082</Characters>
  <Application>Microsoft Office Word</Application>
  <DocSecurity>0</DocSecurity>
  <Lines>3011</Lines>
  <Paragraphs>1795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cp:lastPrinted>2013-01-01T23:18:00Z</cp:lastPrinted>
  <dcterms:created xsi:type="dcterms:W3CDTF">2013-01-29T01:31:00Z</dcterms:created>
  <dcterms:modified xsi:type="dcterms:W3CDTF">2015-07-17T02:28:00Z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658333302</vt:i4>
  </property>
  <property fmtid="{D5CDD505-2E9C-101B-9397-08002B2CF9AE}" pid="3" name="_ReviewingToolsShownOnce">
    <vt:lpwstr/>
  </property>
</Properties>
</file>