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DA691" w14:textId="77777777" w:rsidR="00B21DA2" w:rsidRPr="00CC228A" w:rsidRDefault="00127ED8" w:rsidP="002E10D3">
      <w:pPr>
        <w:pStyle w:val="Bodytext70"/>
        <w:spacing w:after="60" w:line="240" w:lineRule="auto"/>
        <w:rPr>
          <w:rFonts w:ascii="Times New Roman" w:hAnsi="Times New Roman" w:cs="Times New Roman"/>
          <w:sz w:val="32"/>
          <w:szCs w:val="32"/>
        </w:rPr>
      </w:pPr>
      <w:r w:rsidRPr="00CC228A">
        <w:rPr>
          <w:rFonts w:ascii="Times New Roman" w:hAnsi="Times New Roman" w:cs="Times New Roman"/>
          <w:sz w:val="32"/>
          <w:szCs w:val="32"/>
        </w:rPr>
        <w:t>SERVICE AND EXECUTION OF PROCESS ACT</w:t>
      </w:r>
    </w:p>
    <w:p w14:paraId="528C129E" w14:textId="77777777" w:rsidR="00B21DA2" w:rsidRPr="00CC228A" w:rsidRDefault="00127ED8" w:rsidP="002E10D3">
      <w:pPr>
        <w:pStyle w:val="Bodytext80"/>
        <w:spacing w:after="60" w:line="240" w:lineRule="auto"/>
        <w:rPr>
          <w:rFonts w:ascii="Times New Roman" w:hAnsi="Times New Roman" w:cs="Times New Roman"/>
          <w:spacing w:val="0"/>
          <w:sz w:val="32"/>
          <w:szCs w:val="32"/>
        </w:rPr>
      </w:pPr>
      <w:r w:rsidRPr="00CC228A">
        <w:rPr>
          <w:rFonts w:ascii="Times New Roman" w:hAnsi="Times New Roman" w:cs="Times New Roman"/>
          <w:spacing w:val="0"/>
          <w:sz w:val="32"/>
          <w:szCs w:val="32"/>
        </w:rPr>
        <w:t>1974</w:t>
      </w:r>
    </w:p>
    <w:p w14:paraId="62B320AC" w14:textId="77777777" w:rsidR="002E10D3" w:rsidRPr="00CC228A" w:rsidRDefault="002E10D3" w:rsidP="002E10D3">
      <w:pPr>
        <w:pStyle w:val="Bodytext80"/>
        <w:spacing w:after="60" w:line="240" w:lineRule="auto"/>
        <w:rPr>
          <w:rFonts w:ascii="Times New Roman" w:hAnsi="Times New Roman" w:cs="Times New Roman"/>
          <w:spacing w:val="0"/>
          <w:sz w:val="28"/>
          <w:szCs w:val="28"/>
        </w:rPr>
      </w:pPr>
    </w:p>
    <w:p w14:paraId="0CF94832" w14:textId="77777777" w:rsidR="00B21DA2" w:rsidRPr="00CC228A" w:rsidRDefault="00127ED8" w:rsidP="002E1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CC228A">
        <w:rPr>
          <w:rFonts w:ascii="Times New Roman" w:hAnsi="Times New Roman" w:cs="Times New Roman"/>
          <w:b/>
          <w:sz w:val="28"/>
          <w:szCs w:val="28"/>
        </w:rPr>
        <w:t>No. 96 of 1974</w:t>
      </w:r>
      <w:bookmarkEnd w:id="0"/>
    </w:p>
    <w:p w14:paraId="5253543F" w14:textId="77777777" w:rsidR="002E10D3" w:rsidRDefault="002E10D3" w:rsidP="002E10D3">
      <w:pPr>
        <w:jc w:val="center"/>
        <w:rPr>
          <w:rFonts w:ascii="Times New Roman" w:hAnsi="Times New Roman" w:cs="Times New Roman"/>
          <w:b/>
        </w:rPr>
      </w:pPr>
    </w:p>
    <w:p w14:paraId="61D3C38F" w14:textId="77777777" w:rsidR="002E10D3" w:rsidRPr="002E10D3" w:rsidRDefault="002E10D3" w:rsidP="002E10D3">
      <w:pPr>
        <w:jc w:val="center"/>
        <w:rPr>
          <w:rFonts w:ascii="Times New Roman" w:hAnsi="Times New Roman" w:cs="Times New Roman"/>
          <w:b/>
        </w:rPr>
      </w:pPr>
    </w:p>
    <w:p w14:paraId="14023A84" w14:textId="77777777" w:rsidR="00B21DA2" w:rsidRDefault="00127ED8" w:rsidP="007114B9">
      <w:pPr>
        <w:pStyle w:val="Bodytext20"/>
        <w:spacing w:after="160" w:line="240" w:lineRule="auto"/>
        <w:jc w:val="both"/>
        <w:rPr>
          <w:rStyle w:val="Bodytext2105pt"/>
          <w:sz w:val="24"/>
          <w:szCs w:val="24"/>
        </w:rPr>
      </w:pPr>
      <w:r w:rsidRPr="002E10D3">
        <w:rPr>
          <w:rStyle w:val="Bodytext2105pt"/>
          <w:sz w:val="24"/>
          <w:szCs w:val="24"/>
        </w:rPr>
        <w:t xml:space="preserve">An Act to amend the </w:t>
      </w:r>
      <w:r w:rsidRPr="002E10D3">
        <w:rPr>
          <w:rStyle w:val="Bodytext2105pt0"/>
          <w:i/>
          <w:iCs/>
          <w:sz w:val="24"/>
          <w:szCs w:val="24"/>
        </w:rPr>
        <w:t>Service and Execution of Process Act</w:t>
      </w:r>
      <w:r w:rsidRPr="002E10D3">
        <w:rPr>
          <w:rStyle w:val="Bodytext2105pt"/>
          <w:sz w:val="24"/>
          <w:szCs w:val="24"/>
        </w:rPr>
        <w:t xml:space="preserve"> 1901 -1973.</w:t>
      </w:r>
    </w:p>
    <w:p w14:paraId="348B8D35" w14:textId="77777777" w:rsidR="00B21DA2" w:rsidRPr="002E10D3" w:rsidRDefault="00127ED8" w:rsidP="002D2F5C">
      <w:pPr>
        <w:pStyle w:val="BodyText1"/>
        <w:spacing w:line="240" w:lineRule="auto"/>
        <w:ind w:firstLine="270"/>
        <w:rPr>
          <w:sz w:val="24"/>
          <w:szCs w:val="24"/>
        </w:rPr>
      </w:pPr>
      <w:r w:rsidRPr="002E10D3">
        <w:rPr>
          <w:rStyle w:val="Bodytext105pt"/>
          <w:sz w:val="24"/>
          <w:szCs w:val="24"/>
        </w:rPr>
        <w:t>BE IT ENACTED by the Queen, the Senate and the House of Representatives of Australia, as follows: —</w:t>
      </w:r>
    </w:p>
    <w:p w14:paraId="68B4E705" w14:textId="77777777" w:rsidR="00B21DA2" w:rsidRPr="002D2F5C" w:rsidRDefault="00127ED8" w:rsidP="002D2F5C">
      <w:pPr>
        <w:pStyle w:val="Bodytext32"/>
        <w:spacing w:before="120" w:after="60" w:line="240" w:lineRule="auto"/>
        <w:ind w:firstLine="0"/>
        <w:rPr>
          <w:b/>
          <w:sz w:val="20"/>
          <w:szCs w:val="20"/>
        </w:rPr>
      </w:pPr>
      <w:r w:rsidRPr="002D2F5C">
        <w:rPr>
          <w:rStyle w:val="Bodytext30"/>
          <w:b/>
          <w:sz w:val="20"/>
          <w:szCs w:val="20"/>
        </w:rPr>
        <w:t>Short title and citation.</w:t>
      </w:r>
    </w:p>
    <w:p w14:paraId="7F0F9091" w14:textId="498596B2" w:rsidR="00B21DA2" w:rsidRPr="002E10D3" w:rsidRDefault="002D2F5C" w:rsidP="002D2F5C">
      <w:pPr>
        <w:pStyle w:val="BodyText1"/>
        <w:tabs>
          <w:tab w:val="left" w:pos="630"/>
        </w:tabs>
        <w:spacing w:after="120" w:line="240" w:lineRule="auto"/>
        <w:ind w:firstLine="270"/>
        <w:rPr>
          <w:sz w:val="24"/>
          <w:szCs w:val="24"/>
        </w:rPr>
      </w:pPr>
      <w:r w:rsidRPr="002D2F5C">
        <w:rPr>
          <w:rStyle w:val="Bodytext105pt"/>
          <w:b/>
          <w:sz w:val="24"/>
          <w:szCs w:val="24"/>
        </w:rPr>
        <w:t>1.</w:t>
      </w:r>
      <w:r>
        <w:rPr>
          <w:rStyle w:val="Bodytext105pt"/>
          <w:sz w:val="24"/>
          <w:szCs w:val="24"/>
        </w:rPr>
        <w:t xml:space="preserve"> </w:t>
      </w:r>
      <w:r w:rsidR="00127ED8" w:rsidRPr="002E10D3">
        <w:rPr>
          <w:rStyle w:val="Bodytext105pt"/>
          <w:sz w:val="24"/>
          <w:szCs w:val="24"/>
        </w:rPr>
        <w:t xml:space="preserve">(1) This Act may be cited as the </w:t>
      </w:r>
      <w:r w:rsidR="00127ED8" w:rsidRPr="002E10D3">
        <w:rPr>
          <w:rStyle w:val="Bodytext105pt0"/>
          <w:sz w:val="24"/>
          <w:szCs w:val="24"/>
        </w:rPr>
        <w:t>Service and Execution of Process Act</w:t>
      </w:r>
      <w:r w:rsidR="00127ED8" w:rsidRPr="002E10D3">
        <w:rPr>
          <w:rStyle w:val="Bodytext105pt"/>
          <w:sz w:val="24"/>
          <w:szCs w:val="24"/>
        </w:rPr>
        <w:t xml:space="preserve"> 1974.</w:t>
      </w:r>
    </w:p>
    <w:p w14:paraId="1329FE25" w14:textId="37656FFA" w:rsidR="00B21DA2" w:rsidRPr="002E10D3" w:rsidRDefault="002D2F5C" w:rsidP="002D2F5C">
      <w:pPr>
        <w:pStyle w:val="BodyText1"/>
        <w:spacing w:after="120" w:line="240" w:lineRule="auto"/>
        <w:ind w:firstLine="270"/>
        <w:rPr>
          <w:sz w:val="24"/>
          <w:szCs w:val="24"/>
        </w:rPr>
      </w:pPr>
      <w:r>
        <w:rPr>
          <w:rStyle w:val="Bodytext105pt"/>
          <w:sz w:val="24"/>
          <w:szCs w:val="24"/>
        </w:rPr>
        <w:t xml:space="preserve">(2) </w:t>
      </w:r>
      <w:r w:rsidR="00127ED8" w:rsidRPr="002E10D3">
        <w:rPr>
          <w:rStyle w:val="Bodytext105pt"/>
          <w:sz w:val="24"/>
          <w:szCs w:val="24"/>
        </w:rPr>
        <w:t xml:space="preserve">The </w:t>
      </w:r>
      <w:r w:rsidR="00127ED8" w:rsidRPr="002E10D3">
        <w:rPr>
          <w:rStyle w:val="Bodytext105pt0"/>
          <w:sz w:val="24"/>
          <w:szCs w:val="24"/>
        </w:rPr>
        <w:t>Service and Execution of Process Act</w:t>
      </w:r>
      <w:r w:rsidR="00127ED8" w:rsidRPr="002E10D3">
        <w:rPr>
          <w:rStyle w:val="Bodytext105pt"/>
          <w:sz w:val="24"/>
          <w:szCs w:val="24"/>
        </w:rPr>
        <w:t xml:space="preserve"> 1901-1973</w:t>
      </w:r>
      <w:r>
        <w:rPr>
          <w:rStyle w:val="Bodytext105pt"/>
          <w:sz w:val="24"/>
          <w:szCs w:val="24"/>
        </w:rPr>
        <w:t xml:space="preserve"> </w:t>
      </w:r>
      <w:r w:rsidR="00127ED8" w:rsidRPr="002E10D3">
        <w:rPr>
          <w:rStyle w:val="Bodytext105pt"/>
          <w:sz w:val="24"/>
          <w:szCs w:val="24"/>
        </w:rPr>
        <w:t>is in this Act referred to as the Principal Act.</w:t>
      </w:r>
    </w:p>
    <w:p w14:paraId="4D078178" w14:textId="329D753E" w:rsidR="00B21DA2" w:rsidRPr="002E10D3" w:rsidRDefault="002D2F5C" w:rsidP="002D2F5C">
      <w:pPr>
        <w:pStyle w:val="BodyText1"/>
        <w:spacing w:after="120" w:line="240" w:lineRule="auto"/>
        <w:ind w:firstLine="270"/>
        <w:rPr>
          <w:sz w:val="24"/>
          <w:szCs w:val="24"/>
        </w:rPr>
      </w:pPr>
      <w:r>
        <w:rPr>
          <w:rStyle w:val="Bodytext105pt"/>
          <w:sz w:val="24"/>
          <w:szCs w:val="24"/>
        </w:rPr>
        <w:t xml:space="preserve">(3) </w:t>
      </w:r>
      <w:r w:rsidR="00127ED8" w:rsidRPr="002E10D3">
        <w:rPr>
          <w:rStyle w:val="Bodytext105pt"/>
          <w:sz w:val="24"/>
          <w:szCs w:val="24"/>
        </w:rPr>
        <w:t xml:space="preserve">The Principal Act, as amended by this Act, may be cited as the </w:t>
      </w:r>
      <w:r w:rsidR="00127ED8" w:rsidRPr="002E10D3">
        <w:rPr>
          <w:rStyle w:val="Bodytext105pt0"/>
          <w:sz w:val="24"/>
          <w:szCs w:val="24"/>
        </w:rPr>
        <w:t>Service and Execution of Process Act</w:t>
      </w:r>
      <w:r w:rsidR="007F0F6F">
        <w:rPr>
          <w:rStyle w:val="Bodytext105pt"/>
          <w:sz w:val="24"/>
          <w:szCs w:val="24"/>
        </w:rPr>
        <w:t xml:space="preserve"> 1901</w:t>
      </w:r>
      <w:bookmarkStart w:id="1" w:name="_GoBack"/>
      <w:bookmarkEnd w:id="1"/>
      <w:r w:rsidR="00127ED8" w:rsidRPr="002E10D3">
        <w:rPr>
          <w:rStyle w:val="Bodytext105pt"/>
          <w:sz w:val="24"/>
          <w:szCs w:val="24"/>
        </w:rPr>
        <w:t>-1974.</w:t>
      </w:r>
    </w:p>
    <w:p w14:paraId="33FEC2FE" w14:textId="77777777" w:rsidR="002D2F5C" w:rsidRPr="004014D6" w:rsidRDefault="002D2F5C" w:rsidP="004014D6">
      <w:pPr>
        <w:pStyle w:val="Bodytext32"/>
        <w:spacing w:before="120" w:after="60" w:line="240" w:lineRule="auto"/>
        <w:ind w:firstLine="0"/>
        <w:rPr>
          <w:b/>
          <w:sz w:val="20"/>
          <w:szCs w:val="20"/>
        </w:rPr>
      </w:pPr>
      <w:r w:rsidRPr="004014D6">
        <w:rPr>
          <w:rStyle w:val="Bodytext30"/>
          <w:b/>
          <w:sz w:val="20"/>
          <w:szCs w:val="20"/>
        </w:rPr>
        <w:t>Indorsement on writ for service outside State.</w:t>
      </w:r>
    </w:p>
    <w:p w14:paraId="4F8B616A" w14:textId="69D4329E" w:rsidR="00B21DA2" w:rsidRPr="002E10D3" w:rsidRDefault="004014D6" w:rsidP="004014D6">
      <w:pPr>
        <w:pStyle w:val="BodyText1"/>
        <w:tabs>
          <w:tab w:val="left" w:pos="630"/>
        </w:tabs>
        <w:spacing w:line="240" w:lineRule="auto"/>
        <w:ind w:firstLine="270"/>
        <w:rPr>
          <w:sz w:val="24"/>
          <w:szCs w:val="24"/>
        </w:rPr>
      </w:pPr>
      <w:r w:rsidRPr="004014D6">
        <w:rPr>
          <w:rStyle w:val="Bodytext105pt0"/>
          <w:b/>
          <w:i w:val="0"/>
          <w:sz w:val="24"/>
          <w:szCs w:val="24"/>
        </w:rPr>
        <w:t>2.</w:t>
      </w:r>
      <w:r>
        <w:rPr>
          <w:rStyle w:val="Bodytext105pt0"/>
          <w:i w:val="0"/>
          <w:sz w:val="24"/>
          <w:szCs w:val="24"/>
        </w:rPr>
        <w:tab/>
      </w:r>
      <w:r w:rsidR="00127ED8" w:rsidRPr="004014D6">
        <w:rPr>
          <w:rStyle w:val="Bodytext105pt0"/>
          <w:i w:val="0"/>
          <w:sz w:val="24"/>
          <w:szCs w:val="24"/>
        </w:rPr>
        <w:t>Section</w:t>
      </w:r>
      <w:r w:rsidR="00127ED8" w:rsidRPr="002E10D3">
        <w:rPr>
          <w:rStyle w:val="Bodytext105pt"/>
          <w:sz w:val="24"/>
          <w:szCs w:val="24"/>
        </w:rPr>
        <w:t xml:space="preserve"> 5 of the Principal Act is amended by omitting from sub</w:t>
      </w:r>
      <w:r w:rsidR="007F0F6F">
        <w:rPr>
          <w:rStyle w:val="Bodytext105pt"/>
          <w:sz w:val="24"/>
          <w:szCs w:val="24"/>
        </w:rPr>
        <w:t>-</w:t>
      </w:r>
      <w:r w:rsidR="00127ED8" w:rsidRPr="002E10D3">
        <w:rPr>
          <w:rStyle w:val="Bodytext105pt"/>
          <w:sz w:val="24"/>
          <w:szCs w:val="24"/>
        </w:rPr>
        <w:t xml:space="preserve">section (2) the words “five miles” and substituting the figure and word “10 </w:t>
      </w:r>
      <w:proofErr w:type="spellStart"/>
      <w:r w:rsidR="00127ED8" w:rsidRPr="002E10D3">
        <w:rPr>
          <w:rStyle w:val="Bodytext105pt"/>
          <w:sz w:val="24"/>
          <w:szCs w:val="24"/>
        </w:rPr>
        <w:t>kilometres</w:t>
      </w:r>
      <w:proofErr w:type="spellEnd"/>
      <w:r w:rsidR="00127ED8" w:rsidRPr="002E10D3">
        <w:rPr>
          <w:rStyle w:val="Bodytext105pt"/>
          <w:sz w:val="24"/>
          <w:szCs w:val="24"/>
        </w:rPr>
        <w:t>”.</w:t>
      </w:r>
    </w:p>
    <w:p w14:paraId="312502DD" w14:textId="77777777" w:rsidR="004014D6" w:rsidRPr="004014D6" w:rsidRDefault="002D2F5C" w:rsidP="004014D6">
      <w:pPr>
        <w:pStyle w:val="BodyText1"/>
        <w:tabs>
          <w:tab w:val="left" w:pos="673"/>
        </w:tabs>
        <w:spacing w:before="120" w:after="60" w:line="240" w:lineRule="auto"/>
        <w:rPr>
          <w:rStyle w:val="Bodytext30"/>
          <w:b/>
          <w:sz w:val="20"/>
          <w:szCs w:val="20"/>
        </w:rPr>
      </w:pPr>
      <w:r w:rsidRPr="004014D6">
        <w:rPr>
          <w:rStyle w:val="Bodytext30"/>
          <w:b/>
          <w:sz w:val="20"/>
          <w:szCs w:val="20"/>
        </w:rPr>
        <w:t>Appearance to state address for service.</w:t>
      </w:r>
    </w:p>
    <w:p w14:paraId="73EBAC94" w14:textId="4B075DA6" w:rsidR="00B21DA2" w:rsidRPr="002E10D3" w:rsidRDefault="004014D6" w:rsidP="004014D6">
      <w:pPr>
        <w:pStyle w:val="BodyText1"/>
        <w:tabs>
          <w:tab w:val="left" w:pos="630"/>
        </w:tabs>
        <w:spacing w:line="240" w:lineRule="auto"/>
        <w:ind w:firstLine="270"/>
        <w:rPr>
          <w:sz w:val="24"/>
          <w:szCs w:val="24"/>
        </w:rPr>
      </w:pPr>
      <w:r w:rsidRPr="007F0F6F">
        <w:rPr>
          <w:rStyle w:val="Bodytext105pt0"/>
          <w:b/>
          <w:i w:val="0"/>
          <w:iCs w:val="0"/>
          <w:sz w:val="24"/>
          <w:szCs w:val="24"/>
        </w:rPr>
        <w:t>3.</w:t>
      </w:r>
      <w:r>
        <w:rPr>
          <w:rStyle w:val="Bodytext105pt0"/>
          <w:i w:val="0"/>
          <w:iCs w:val="0"/>
          <w:sz w:val="24"/>
          <w:szCs w:val="24"/>
        </w:rPr>
        <w:tab/>
      </w:r>
      <w:r w:rsidR="00127ED8" w:rsidRPr="004014D6">
        <w:rPr>
          <w:rStyle w:val="Bodytext105pt0"/>
          <w:i w:val="0"/>
          <w:iCs w:val="0"/>
          <w:sz w:val="24"/>
          <w:szCs w:val="24"/>
        </w:rPr>
        <w:t>Section</w:t>
      </w:r>
      <w:r w:rsidR="00127ED8" w:rsidRPr="002E10D3">
        <w:rPr>
          <w:rStyle w:val="Bodytext105pt"/>
          <w:sz w:val="24"/>
          <w:szCs w:val="24"/>
        </w:rPr>
        <w:t xml:space="preserve"> 9 of the Principal Act </w:t>
      </w:r>
      <w:r>
        <w:rPr>
          <w:rStyle w:val="Bodytext105pt"/>
          <w:sz w:val="24"/>
          <w:szCs w:val="24"/>
        </w:rPr>
        <w:t>is amended by omitting from sub</w:t>
      </w:r>
      <w:r w:rsidR="007F0F6F">
        <w:rPr>
          <w:rStyle w:val="Bodytext105pt"/>
          <w:sz w:val="24"/>
          <w:szCs w:val="24"/>
        </w:rPr>
        <w:t>-</w:t>
      </w:r>
      <w:r w:rsidR="00127ED8" w:rsidRPr="002E10D3">
        <w:rPr>
          <w:rStyle w:val="Bodytext105pt"/>
          <w:sz w:val="24"/>
          <w:szCs w:val="24"/>
        </w:rPr>
        <w:t xml:space="preserve">section (1) the words “five miles” and substituting the figure and word “10 </w:t>
      </w:r>
      <w:proofErr w:type="spellStart"/>
      <w:r w:rsidR="00127ED8" w:rsidRPr="002E10D3">
        <w:rPr>
          <w:rStyle w:val="Bodytext105pt"/>
          <w:sz w:val="24"/>
          <w:szCs w:val="24"/>
        </w:rPr>
        <w:t>kilometres</w:t>
      </w:r>
      <w:proofErr w:type="spellEnd"/>
      <w:r w:rsidR="00127ED8" w:rsidRPr="002E10D3">
        <w:rPr>
          <w:rStyle w:val="Bodytext105pt"/>
          <w:sz w:val="24"/>
          <w:szCs w:val="24"/>
        </w:rPr>
        <w:t>”.</w:t>
      </w:r>
    </w:p>
    <w:p w14:paraId="334890DE" w14:textId="77777777" w:rsidR="002D2F5C" w:rsidRPr="004014D6" w:rsidRDefault="002D2F5C" w:rsidP="004014D6">
      <w:pPr>
        <w:pStyle w:val="Bodytext32"/>
        <w:spacing w:before="120" w:after="60" w:line="240" w:lineRule="auto"/>
        <w:ind w:firstLine="0"/>
        <w:rPr>
          <w:b/>
          <w:sz w:val="20"/>
          <w:szCs w:val="20"/>
        </w:rPr>
      </w:pPr>
      <w:r w:rsidRPr="004014D6">
        <w:rPr>
          <w:rStyle w:val="Bodytext30"/>
          <w:b/>
          <w:sz w:val="20"/>
          <w:szCs w:val="20"/>
        </w:rPr>
        <w:t>Application.</w:t>
      </w:r>
    </w:p>
    <w:p w14:paraId="01EA6C18" w14:textId="77777777" w:rsidR="00B21DA2" w:rsidRPr="002E10D3" w:rsidRDefault="004014D6" w:rsidP="004014D6">
      <w:pPr>
        <w:pStyle w:val="BodyText1"/>
        <w:tabs>
          <w:tab w:val="left" w:pos="630"/>
        </w:tabs>
        <w:spacing w:line="240" w:lineRule="auto"/>
        <w:ind w:firstLine="270"/>
        <w:rPr>
          <w:sz w:val="24"/>
          <w:szCs w:val="24"/>
        </w:rPr>
      </w:pPr>
      <w:r w:rsidRPr="004014D6">
        <w:rPr>
          <w:rStyle w:val="Bodytext105pt"/>
          <w:b/>
          <w:sz w:val="24"/>
          <w:szCs w:val="24"/>
        </w:rPr>
        <w:t>4.</w:t>
      </w:r>
      <w:r>
        <w:rPr>
          <w:rStyle w:val="Bodytext105pt"/>
          <w:sz w:val="24"/>
          <w:szCs w:val="24"/>
        </w:rPr>
        <w:tab/>
      </w:r>
      <w:r w:rsidR="00127ED8" w:rsidRPr="002E10D3">
        <w:rPr>
          <w:rStyle w:val="Bodytext105pt"/>
          <w:sz w:val="24"/>
          <w:szCs w:val="24"/>
        </w:rPr>
        <w:t>The amendment made by section 2 of this Act applies to any writ of summons issued after the commence</w:t>
      </w:r>
      <w:r>
        <w:rPr>
          <w:rStyle w:val="Bodytext105pt"/>
          <w:sz w:val="24"/>
          <w:szCs w:val="24"/>
        </w:rPr>
        <w:t>ment of this Act, and the amend</w:t>
      </w:r>
      <w:r w:rsidR="00127ED8" w:rsidRPr="002E10D3">
        <w:rPr>
          <w:rStyle w:val="Bodytext105pt"/>
          <w:sz w:val="24"/>
          <w:szCs w:val="24"/>
        </w:rPr>
        <w:t>ment made by section 3 of this Act applies to any appearance entered after the commencement of this Act, including an appearance to a writ of summons issued before the commencement of this Act.</w:t>
      </w:r>
    </w:p>
    <w:p w14:paraId="19418739" w14:textId="77777777" w:rsidR="004014D6" w:rsidRPr="004014D6" w:rsidRDefault="004014D6" w:rsidP="004014D6">
      <w:pPr>
        <w:pStyle w:val="Bodytext32"/>
        <w:spacing w:before="120" w:after="60" w:line="240" w:lineRule="auto"/>
        <w:ind w:firstLine="0"/>
        <w:rPr>
          <w:b/>
          <w:sz w:val="20"/>
          <w:szCs w:val="20"/>
        </w:rPr>
      </w:pPr>
      <w:r w:rsidRPr="004014D6">
        <w:rPr>
          <w:rStyle w:val="Bodytext30"/>
          <w:b/>
          <w:sz w:val="20"/>
          <w:szCs w:val="20"/>
        </w:rPr>
        <w:t>Formal amendments.</w:t>
      </w:r>
    </w:p>
    <w:p w14:paraId="01ED5986" w14:textId="77777777" w:rsidR="00B21DA2" w:rsidRDefault="004014D6" w:rsidP="004014D6">
      <w:pPr>
        <w:pStyle w:val="BodyText1"/>
        <w:tabs>
          <w:tab w:val="left" w:pos="630"/>
        </w:tabs>
        <w:spacing w:line="240" w:lineRule="auto"/>
        <w:ind w:firstLine="270"/>
        <w:rPr>
          <w:rStyle w:val="Bodytext105pt"/>
          <w:sz w:val="24"/>
          <w:szCs w:val="24"/>
        </w:rPr>
      </w:pPr>
      <w:r w:rsidRPr="004014D6">
        <w:rPr>
          <w:rStyle w:val="Bodytext105pt"/>
          <w:b/>
          <w:sz w:val="24"/>
          <w:szCs w:val="24"/>
        </w:rPr>
        <w:t>5.</w:t>
      </w:r>
      <w:r>
        <w:rPr>
          <w:rStyle w:val="Bodytext105pt"/>
          <w:sz w:val="24"/>
          <w:szCs w:val="24"/>
        </w:rPr>
        <w:tab/>
      </w:r>
      <w:r w:rsidR="00127ED8" w:rsidRPr="002E10D3">
        <w:rPr>
          <w:rStyle w:val="Bodytext105pt"/>
          <w:sz w:val="24"/>
          <w:szCs w:val="24"/>
        </w:rPr>
        <w:t xml:space="preserve">The </w:t>
      </w:r>
      <w:r w:rsidR="00127ED8" w:rsidRPr="004014D6">
        <w:rPr>
          <w:rStyle w:val="Bodytext105pt0"/>
          <w:i w:val="0"/>
          <w:sz w:val="24"/>
          <w:szCs w:val="24"/>
        </w:rPr>
        <w:t>Principal</w:t>
      </w:r>
      <w:r w:rsidR="00127ED8" w:rsidRPr="002E10D3">
        <w:rPr>
          <w:rStyle w:val="Bodytext105pt"/>
          <w:sz w:val="24"/>
          <w:szCs w:val="24"/>
        </w:rPr>
        <w:t xml:space="preserve"> Act is amended as set out in the Schedule.</w:t>
      </w:r>
    </w:p>
    <w:p w14:paraId="09901C8F" w14:textId="77777777" w:rsidR="004B1BC7" w:rsidRDefault="004B1BC7" w:rsidP="004014D6">
      <w:pPr>
        <w:pStyle w:val="BodyText1"/>
        <w:tabs>
          <w:tab w:val="left" w:pos="630"/>
        </w:tabs>
        <w:spacing w:line="240" w:lineRule="auto"/>
        <w:ind w:firstLine="270"/>
        <w:rPr>
          <w:rStyle w:val="Bodytext105pt"/>
          <w:sz w:val="24"/>
          <w:szCs w:val="24"/>
        </w:rPr>
      </w:pPr>
    </w:p>
    <w:p w14:paraId="5426C126" w14:textId="77777777" w:rsidR="004B1BC7" w:rsidRDefault="004B1BC7" w:rsidP="004B1BC7">
      <w:pPr>
        <w:pStyle w:val="BodyText1"/>
        <w:tabs>
          <w:tab w:val="left" w:pos="630"/>
        </w:tabs>
        <w:spacing w:line="240" w:lineRule="auto"/>
        <w:ind w:firstLine="270"/>
        <w:jc w:val="center"/>
        <w:rPr>
          <w:rStyle w:val="Bodytext105pt"/>
          <w:sz w:val="24"/>
          <w:szCs w:val="24"/>
        </w:rPr>
      </w:pPr>
      <w:r>
        <w:rPr>
          <w:rStyle w:val="Bodytext105pt"/>
          <w:sz w:val="24"/>
          <w:szCs w:val="24"/>
        </w:rPr>
        <w:t>____________</w:t>
      </w:r>
    </w:p>
    <w:p w14:paraId="6DCCA831" w14:textId="77777777" w:rsidR="004B1BC7" w:rsidRPr="002E10D3" w:rsidRDefault="004B1BC7" w:rsidP="004014D6">
      <w:pPr>
        <w:pStyle w:val="BodyText1"/>
        <w:tabs>
          <w:tab w:val="left" w:pos="630"/>
        </w:tabs>
        <w:spacing w:line="240" w:lineRule="auto"/>
        <w:ind w:firstLine="270"/>
        <w:rPr>
          <w:sz w:val="24"/>
          <w:szCs w:val="24"/>
        </w:rPr>
      </w:pPr>
    </w:p>
    <w:p w14:paraId="5F5D5463" w14:textId="77777777" w:rsidR="00B21DA2" w:rsidRDefault="00127ED8" w:rsidP="004B1BC7">
      <w:pPr>
        <w:pStyle w:val="Bodytext32"/>
        <w:tabs>
          <w:tab w:val="right" w:pos="9270"/>
        </w:tabs>
        <w:spacing w:line="240" w:lineRule="auto"/>
        <w:ind w:firstLine="4230"/>
        <w:rPr>
          <w:rStyle w:val="Bodytext33"/>
          <w:sz w:val="24"/>
          <w:szCs w:val="24"/>
        </w:rPr>
      </w:pPr>
      <w:r w:rsidRPr="002E10D3">
        <w:rPr>
          <w:rStyle w:val="Bodytext3105pt"/>
          <w:sz w:val="24"/>
          <w:szCs w:val="24"/>
        </w:rPr>
        <w:t>SCHEDULE</w:t>
      </w:r>
      <w:r w:rsidRPr="002E10D3">
        <w:rPr>
          <w:rStyle w:val="Bodytext3105pt"/>
          <w:sz w:val="24"/>
          <w:szCs w:val="24"/>
        </w:rPr>
        <w:tab/>
      </w:r>
      <w:r w:rsidR="004B1BC7">
        <w:rPr>
          <w:rStyle w:val="Bodytext33"/>
          <w:sz w:val="24"/>
          <w:szCs w:val="24"/>
        </w:rPr>
        <w:t xml:space="preserve">Section </w:t>
      </w:r>
      <w:r w:rsidRPr="002E10D3">
        <w:rPr>
          <w:rStyle w:val="Bodytext33"/>
          <w:sz w:val="24"/>
          <w:szCs w:val="24"/>
        </w:rPr>
        <w:t>5</w:t>
      </w:r>
    </w:p>
    <w:p w14:paraId="1A7B4C15" w14:textId="77777777" w:rsidR="004B1BC7" w:rsidRPr="002E10D3" w:rsidRDefault="004B1BC7" w:rsidP="004B1BC7">
      <w:pPr>
        <w:pStyle w:val="Bodytext32"/>
        <w:tabs>
          <w:tab w:val="right" w:pos="9270"/>
        </w:tabs>
        <w:spacing w:line="240" w:lineRule="auto"/>
        <w:ind w:firstLine="4230"/>
        <w:rPr>
          <w:sz w:val="24"/>
          <w:szCs w:val="24"/>
        </w:rPr>
      </w:pPr>
    </w:p>
    <w:p w14:paraId="07228D9C" w14:textId="77777777" w:rsidR="00B21DA2" w:rsidRPr="002E10D3" w:rsidRDefault="00127ED8" w:rsidP="004B1BC7">
      <w:pPr>
        <w:pStyle w:val="Bodytext32"/>
        <w:spacing w:after="120" w:line="240" w:lineRule="auto"/>
        <w:ind w:firstLine="0"/>
        <w:jc w:val="center"/>
        <w:rPr>
          <w:sz w:val="24"/>
          <w:szCs w:val="24"/>
        </w:rPr>
      </w:pPr>
      <w:r w:rsidRPr="002E10D3">
        <w:rPr>
          <w:rStyle w:val="Bodytext33"/>
          <w:sz w:val="24"/>
          <w:szCs w:val="24"/>
        </w:rPr>
        <w:t>FORMAL AMENDMENTS</w:t>
      </w:r>
    </w:p>
    <w:p w14:paraId="539F5431" w14:textId="77777777" w:rsidR="00B21DA2" w:rsidRPr="002E10D3" w:rsidRDefault="004B1BC7" w:rsidP="004B1BC7">
      <w:pPr>
        <w:pStyle w:val="BodyText1"/>
        <w:tabs>
          <w:tab w:val="left" w:pos="630"/>
        </w:tabs>
        <w:spacing w:after="60" w:line="240" w:lineRule="auto"/>
        <w:ind w:firstLine="270"/>
        <w:rPr>
          <w:sz w:val="24"/>
          <w:szCs w:val="24"/>
        </w:rPr>
      </w:pPr>
      <w:r w:rsidRPr="007F0F6F">
        <w:rPr>
          <w:rStyle w:val="Bodytext33"/>
          <w:sz w:val="24"/>
          <w:szCs w:val="24"/>
        </w:rPr>
        <w:t>1.</w:t>
      </w:r>
      <w:r>
        <w:rPr>
          <w:rStyle w:val="Bodytext33"/>
          <w:sz w:val="24"/>
          <w:szCs w:val="24"/>
        </w:rPr>
        <w:tab/>
      </w:r>
      <w:r w:rsidR="00127ED8" w:rsidRPr="002E10D3">
        <w:rPr>
          <w:rStyle w:val="Bodytext33"/>
          <w:sz w:val="24"/>
          <w:szCs w:val="24"/>
        </w:rPr>
        <w:t xml:space="preserve">The following provisions of the Principal Act are amended by omitting any number expressed in words </w:t>
      </w:r>
      <w:r w:rsidR="00127ED8" w:rsidRPr="004B1BC7">
        <w:rPr>
          <w:rStyle w:val="Bodytext105pt0"/>
          <w:i w:val="0"/>
          <w:sz w:val="24"/>
          <w:szCs w:val="24"/>
        </w:rPr>
        <w:t>that</w:t>
      </w:r>
      <w:r w:rsidR="00127ED8" w:rsidRPr="002E10D3">
        <w:rPr>
          <w:rStyle w:val="Bodytext33"/>
          <w:sz w:val="24"/>
          <w:szCs w:val="24"/>
        </w:rPr>
        <w:t xml:space="preserve"> is used, whether with or without the addition of a letter, to identify a section of that Act, and substituting that number expressed in figures:—</w:t>
      </w:r>
    </w:p>
    <w:p w14:paraId="226DB052" w14:textId="2CDCC8D1" w:rsidR="004B1BC7" w:rsidRDefault="00127ED8" w:rsidP="004B1BC7">
      <w:pPr>
        <w:pStyle w:val="Bodytext32"/>
        <w:spacing w:line="240" w:lineRule="auto"/>
        <w:ind w:firstLine="270"/>
        <w:rPr>
          <w:rStyle w:val="Bodytext33"/>
          <w:sz w:val="24"/>
          <w:szCs w:val="24"/>
        </w:rPr>
      </w:pPr>
      <w:r w:rsidRPr="002E10D3">
        <w:rPr>
          <w:rStyle w:val="Bodytext33"/>
          <w:sz w:val="24"/>
          <w:szCs w:val="24"/>
        </w:rPr>
        <w:t>Sections 11(1)(</w:t>
      </w:r>
      <w:proofErr w:type="spellStart"/>
      <w:r w:rsidRPr="002E10D3">
        <w:rPr>
          <w:rStyle w:val="Bodytext33"/>
          <w:sz w:val="24"/>
          <w:szCs w:val="24"/>
        </w:rPr>
        <w:t>i</w:t>
      </w:r>
      <w:proofErr w:type="spellEnd"/>
      <w:r w:rsidRPr="002E10D3">
        <w:rPr>
          <w:rStyle w:val="Bodytext33"/>
          <w:sz w:val="24"/>
          <w:szCs w:val="24"/>
        </w:rPr>
        <w:t xml:space="preserve">), 15(1), </w:t>
      </w:r>
      <w:r w:rsidRPr="002E10D3">
        <w:rPr>
          <w:rStyle w:val="Bodytext375pt"/>
          <w:spacing w:val="0"/>
          <w:sz w:val="24"/>
          <w:szCs w:val="24"/>
        </w:rPr>
        <w:t xml:space="preserve">16(3), 18(1), 19a(1), 26a(1) </w:t>
      </w:r>
      <w:r w:rsidRPr="002E10D3">
        <w:rPr>
          <w:rStyle w:val="Bodytext33"/>
          <w:sz w:val="24"/>
          <w:szCs w:val="24"/>
        </w:rPr>
        <w:t xml:space="preserve">(definitions of “warrant of apprehension” and “warrant of commitment”), </w:t>
      </w:r>
      <w:r w:rsidRPr="002E10D3">
        <w:rPr>
          <w:rStyle w:val="Bodytext375pt"/>
          <w:spacing w:val="0"/>
          <w:sz w:val="24"/>
          <w:szCs w:val="24"/>
        </w:rPr>
        <w:t>26</w:t>
      </w:r>
      <w:r w:rsidR="007F0F6F">
        <w:rPr>
          <w:rStyle w:val="Bodytext375pt"/>
          <w:spacing w:val="0"/>
          <w:sz w:val="24"/>
          <w:szCs w:val="24"/>
        </w:rPr>
        <w:t>g</w:t>
      </w:r>
      <w:r w:rsidRPr="002E10D3">
        <w:rPr>
          <w:rStyle w:val="Bodytext375pt"/>
          <w:spacing w:val="0"/>
          <w:sz w:val="24"/>
          <w:szCs w:val="24"/>
        </w:rPr>
        <w:t>(6), 26h(2)</w:t>
      </w:r>
      <w:r w:rsidRPr="002E10D3">
        <w:rPr>
          <w:rStyle w:val="Bodytext33"/>
          <w:sz w:val="24"/>
          <w:szCs w:val="24"/>
        </w:rPr>
        <w:t xml:space="preserve">(b), </w:t>
      </w:r>
      <w:r w:rsidRPr="002E10D3">
        <w:rPr>
          <w:rStyle w:val="Bodytext375pt0"/>
          <w:spacing w:val="0"/>
          <w:sz w:val="24"/>
          <w:szCs w:val="24"/>
        </w:rPr>
        <w:t>26</w:t>
      </w:r>
      <w:r w:rsidR="007F0F6F">
        <w:rPr>
          <w:rStyle w:val="Bodytext375pt0"/>
          <w:smallCaps/>
          <w:spacing w:val="0"/>
          <w:sz w:val="24"/>
          <w:szCs w:val="24"/>
        </w:rPr>
        <w:t>j</w:t>
      </w:r>
      <w:r w:rsidR="007F0F6F">
        <w:rPr>
          <w:rStyle w:val="Bodytext375pt0"/>
          <w:spacing w:val="0"/>
          <w:sz w:val="24"/>
          <w:szCs w:val="24"/>
        </w:rPr>
        <w:t>(</w:t>
      </w:r>
      <w:r w:rsidRPr="002E10D3">
        <w:rPr>
          <w:rStyle w:val="Bodytext33"/>
          <w:sz w:val="24"/>
          <w:szCs w:val="24"/>
        </w:rPr>
        <w:t xml:space="preserve">7)(a), </w:t>
      </w:r>
      <w:r w:rsidR="007F0F6F">
        <w:rPr>
          <w:rStyle w:val="Bodytext375pt0"/>
          <w:spacing w:val="0"/>
          <w:sz w:val="24"/>
          <w:szCs w:val="24"/>
        </w:rPr>
        <w:t>28,</w:t>
      </w:r>
      <w:r w:rsidRPr="002E10D3">
        <w:rPr>
          <w:rStyle w:val="Bodytext375pt0"/>
          <w:spacing w:val="0"/>
          <w:sz w:val="24"/>
          <w:szCs w:val="24"/>
        </w:rPr>
        <w:t xml:space="preserve"> </w:t>
      </w:r>
      <w:r w:rsidRPr="002E10D3">
        <w:rPr>
          <w:rStyle w:val="Bodytext33"/>
          <w:sz w:val="24"/>
          <w:szCs w:val="24"/>
        </w:rPr>
        <w:t xml:space="preserve">Form </w:t>
      </w:r>
      <w:r w:rsidRPr="002E10D3">
        <w:rPr>
          <w:rStyle w:val="Bodytext375pt0"/>
          <w:spacing w:val="0"/>
          <w:sz w:val="24"/>
          <w:szCs w:val="24"/>
        </w:rPr>
        <w:t xml:space="preserve">2 </w:t>
      </w:r>
      <w:r w:rsidRPr="002E10D3">
        <w:rPr>
          <w:rStyle w:val="Bodytext33"/>
          <w:sz w:val="24"/>
          <w:szCs w:val="24"/>
        </w:rPr>
        <w:t>in the Fourth Schedule.</w:t>
      </w:r>
    </w:p>
    <w:p w14:paraId="65120F6E" w14:textId="0C4F0F02" w:rsidR="004B1BC7" w:rsidRDefault="004B1BC7">
      <w:pPr>
        <w:rPr>
          <w:rStyle w:val="Bodytext33"/>
          <w:rFonts w:eastAsia="Courier New"/>
          <w:sz w:val="24"/>
          <w:szCs w:val="24"/>
        </w:rPr>
      </w:pPr>
    </w:p>
    <w:p w14:paraId="343BA968" w14:textId="191DFF18" w:rsidR="00B21DA2" w:rsidRPr="002E10D3" w:rsidRDefault="004B1BC7" w:rsidP="004B1BC7">
      <w:pPr>
        <w:pStyle w:val="BodyText1"/>
        <w:tabs>
          <w:tab w:val="left" w:pos="630"/>
        </w:tabs>
        <w:spacing w:after="60" w:line="240" w:lineRule="auto"/>
        <w:ind w:firstLine="270"/>
        <w:rPr>
          <w:sz w:val="24"/>
          <w:szCs w:val="24"/>
        </w:rPr>
      </w:pPr>
      <w:r w:rsidRPr="007F0F6F">
        <w:rPr>
          <w:rStyle w:val="Bodytext33"/>
          <w:sz w:val="24"/>
          <w:szCs w:val="24"/>
        </w:rPr>
        <w:t>2.</w:t>
      </w:r>
      <w:r>
        <w:rPr>
          <w:rStyle w:val="Bodytext33"/>
          <w:sz w:val="24"/>
          <w:szCs w:val="24"/>
        </w:rPr>
        <w:tab/>
      </w:r>
      <w:r w:rsidR="00127ED8" w:rsidRPr="002E10D3">
        <w:rPr>
          <w:rStyle w:val="Bodytext33"/>
          <w:sz w:val="24"/>
          <w:szCs w:val="24"/>
        </w:rPr>
        <w:t xml:space="preserve">The following provisions of the Principal Act are amended by omitting the words “of this Act”, “of this </w:t>
      </w:r>
      <w:r w:rsidR="00127ED8" w:rsidRPr="004B1BC7">
        <w:t>section</w:t>
      </w:r>
      <w:r w:rsidR="00127ED8" w:rsidRPr="002E10D3">
        <w:rPr>
          <w:rStyle w:val="Bodytext33"/>
          <w:sz w:val="24"/>
          <w:szCs w:val="24"/>
        </w:rPr>
        <w:t>” and “of this sub-section” (wherever occurring):—</w:t>
      </w:r>
    </w:p>
    <w:p w14:paraId="6FDEDA63" w14:textId="33A93ED3" w:rsidR="00B21DA2" w:rsidRPr="002E10D3" w:rsidRDefault="00127ED8" w:rsidP="002E10D3">
      <w:pPr>
        <w:pStyle w:val="Bodytext60"/>
        <w:spacing w:line="240" w:lineRule="auto"/>
        <w:ind w:firstLine="0"/>
        <w:rPr>
          <w:spacing w:val="0"/>
          <w:sz w:val="24"/>
          <w:szCs w:val="24"/>
        </w:rPr>
      </w:pPr>
      <w:r w:rsidRPr="002E10D3">
        <w:rPr>
          <w:rStyle w:val="Bodytext685pt"/>
          <w:sz w:val="24"/>
          <w:szCs w:val="24"/>
        </w:rPr>
        <w:t xml:space="preserve">Sections </w:t>
      </w:r>
      <w:r w:rsidRPr="002E10D3">
        <w:rPr>
          <w:spacing w:val="0"/>
          <w:sz w:val="24"/>
          <w:szCs w:val="24"/>
        </w:rPr>
        <w:t>11</w:t>
      </w:r>
      <w:r w:rsidRPr="002E10D3">
        <w:rPr>
          <w:rStyle w:val="Bodytext685pt"/>
          <w:sz w:val="24"/>
          <w:szCs w:val="24"/>
        </w:rPr>
        <w:t>(</w:t>
      </w:r>
      <w:r w:rsidRPr="002E10D3">
        <w:rPr>
          <w:spacing w:val="0"/>
          <w:sz w:val="24"/>
          <w:szCs w:val="24"/>
        </w:rPr>
        <w:t>1)</w:t>
      </w:r>
      <w:r w:rsidRPr="002E10D3">
        <w:rPr>
          <w:rStyle w:val="Bodytext685pt"/>
          <w:sz w:val="24"/>
          <w:szCs w:val="24"/>
        </w:rPr>
        <w:t>(</w:t>
      </w:r>
      <w:proofErr w:type="spellStart"/>
      <w:r w:rsidRPr="002E10D3">
        <w:rPr>
          <w:rStyle w:val="Bodytext685pt"/>
          <w:sz w:val="24"/>
          <w:szCs w:val="24"/>
        </w:rPr>
        <w:t>i</w:t>
      </w:r>
      <w:proofErr w:type="spellEnd"/>
      <w:r w:rsidRPr="002E10D3">
        <w:rPr>
          <w:rStyle w:val="Bodytext685pt"/>
          <w:sz w:val="24"/>
          <w:szCs w:val="24"/>
        </w:rPr>
        <w:t xml:space="preserve">), </w:t>
      </w:r>
      <w:r w:rsidRPr="002E10D3">
        <w:rPr>
          <w:rStyle w:val="Bodytext6SmallCaps"/>
          <w:spacing w:val="0"/>
          <w:sz w:val="24"/>
          <w:szCs w:val="24"/>
        </w:rPr>
        <w:t>13, 15(1), 16</w:t>
      </w:r>
      <w:r w:rsidR="007F0F6F">
        <w:rPr>
          <w:rStyle w:val="Bodytext6SmallCaps"/>
          <w:spacing w:val="0"/>
          <w:sz w:val="24"/>
          <w:szCs w:val="24"/>
        </w:rPr>
        <w:t>(</w:t>
      </w:r>
      <w:r w:rsidRPr="002E10D3">
        <w:rPr>
          <w:rStyle w:val="Bodytext6SmallCaps"/>
          <w:spacing w:val="0"/>
          <w:sz w:val="24"/>
          <w:szCs w:val="24"/>
        </w:rPr>
        <w:t>3), 16a</w:t>
      </w:r>
      <w:r w:rsidR="00E34D2D">
        <w:rPr>
          <w:rStyle w:val="Bodytext6SmallCaps"/>
          <w:spacing w:val="0"/>
          <w:sz w:val="24"/>
          <w:szCs w:val="24"/>
        </w:rPr>
        <w:t xml:space="preserve"> </w:t>
      </w:r>
      <w:r w:rsidRPr="002E10D3">
        <w:rPr>
          <w:rStyle w:val="Bodytext6SmallCaps"/>
          <w:spacing w:val="0"/>
          <w:sz w:val="24"/>
          <w:szCs w:val="24"/>
        </w:rPr>
        <w:t xml:space="preserve">(1a), 18(1), 19a(1), 26a (1) </w:t>
      </w:r>
      <w:r w:rsidRPr="002E10D3">
        <w:rPr>
          <w:rStyle w:val="Bodytext685pt"/>
          <w:sz w:val="24"/>
          <w:szCs w:val="24"/>
        </w:rPr>
        <w:t xml:space="preserve">(definitions of “warrant of apprehension” and “warrant of commitment”), </w:t>
      </w:r>
      <w:r w:rsidRPr="002E10D3">
        <w:rPr>
          <w:rStyle w:val="Bodytext6SmallCaps"/>
          <w:spacing w:val="0"/>
          <w:sz w:val="24"/>
          <w:szCs w:val="24"/>
        </w:rPr>
        <w:t>26d(1), 26</w:t>
      </w:r>
      <w:r w:rsidR="007F0F6F">
        <w:rPr>
          <w:rStyle w:val="Bodytext6SmallCaps"/>
          <w:spacing w:val="0"/>
          <w:sz w:val="24"/>
          <w:szCs w:val="24"/>
        </w:rPr>
        <w:t>f</w:t>
      </w:r>
      <w:r w:rsidRPr="002E10D3">
        <w:rPr>
          <w:rStyle w:val="Bodytext685pt"/>
          <w:sz w:val="24"/>
          <w:szCs w:val="24"/>
        </w:rPr>
        <w:t>(</w:t>
      </w:r>
      <w:r w:rsidRPr="002E10D3">
        <w:rPr>
          <w:spacing w:val="0"/>
          <w:sz w:val="24"/>
          <w:szCs w:val="24"/>
        </w:rPr>
        <w:t>1</w:t>
      </w:r>
      <w:r w:rsidRPr="002E10D3">
        <w:rPr>
          <w:rStyle w:val="Bodytext685pt"/>
          <w:sz w:val="24"/>
          <w:szCs w:val="24"/>
        </w:rPr>
        <w:t xml:space="preserve">)(a), </w:t>
      </w:r>
      <w:r w:rsidRPr="002E10D3">
        <w:rPr>
          <w:spacing w:val="0"/>
          <w:sz w:val="24"/>
          <w:szCs w:val="24"/>
        </w:rPr>
        <w:t>26</w:t>
      </w:r>
      <w:r w:rsidR="007F0F6F" w:rsidRPr="007F0F6F">
        <w:rPr>
          <w:smallCaps/>
          <w:spacing w:val="0"/>
          <w:sz w:val="24"/>
          <w:szCs w:val="24"/>
        </w:rPr>
        <w:t>g</w:t>
      </w:r>
      <w:r w:rsidRPr="002E10D3">
        <w:rPr>
          <w:spacing w:val="0"/>
          <w:sz w:val="24"/>
          <w:szCs w:val="24"/>
        </w:rPr>
        <w:t>(6), 26</w:t>
      </w:r>
      <w:r w:rsidR="007F0F6F" w:rsidRPr="007F0F6F">
        <w:rPr>
          <w:smallCaps/>
          <w:spacing w:val="0"/>
          <w:sz w:val="24"/>
          <w:szCs w:val="24"/>
        </w:rPr>
        <w:t>h</w:t>
      </w:r>
      <w:r w:rsidRPr="002E10D3">
        <w:rPr>
          <w:spacing w:val="0"/>
          <w:sz w:val="24"/>
          <w:szCs w:val="24"/>
        </w:rPr>
        <w:t>(2)(b), 26</w:t>
      </w:r>
      <w:r w:rsidR="007F0F6F" w:rsidRPr="007F0F6F">
        <w:rPr>
          <w:smallCaps/>
          <w:spacing w:val="0"/>
          <w:sz w:val="24"/>
          <w:szCs w:val="24"/>
        </w:rPr>
        <w:t>j</w:t>
      </w:r>
      <w:r w:rsidRPr="002E10D3">
        <w:rPr>
          <w:spacing w:val="0"/>
          <w:sz w:val="24"/>
          <w:szCs w:val="24"/>
        </w:rPr>
        <w:t>(7)</w:t>
      </w:r>
      <w:r w:rsidRPr="002E10D3">
        <w:rPr>
          <w:rStyle w:val="Bodytext685pt"/>
          <w:sz w:val="24"/>
          <w:szCs w:val="24"/>
        </w:rPr>
        <w:t xml:space="preserve">(a), </w:t>
      </w:r>
      <w:r w:rsidRPr="002E10D3">
        <w:rPr>
          <w:spacing w:val="0"/>
          <w:sz w:val="24"/>
          <w:szCs w:val="24"/>
        </w:rPr>
        <w:t>28.</w:t>
      </w:r>
    </w:p>
    <w:p w14:paraId="536D0AFA" w14:textId="77777777" w:rsidR="004B1BC7" w:rsidRDefault="004B1BC7" w:rsidP="00C61710">
      <w:pPr>
        <w:pStyle w:val="BodyText1"/>
        <w:pBdr>
          <w:bottom w:val="single" w:sz="4" w:space="1" w:color="auto"/>
        </w:pBdr>
        <w:spacing w:after="120" w:line="240" w:lineRule="auto"/>
        <w:rPr>
          <w:rStyle w:val="Bodytext105pt"/>
          <w:sz w:val="24"/>
          <w:szCs w:val="24"/>
        </w:rPr>
      </w:pPr>
    </w:p>
    <w:sectPr w:rsidR="004B1BC7" w:rsidSect="00FD076B">
      <w:headerReference w:type="default" r:id="rId8"/>
      <w:footnotePr>
        <w:numRestart w:val="eachPage"/>
      </w:footnotePr>
      <w:type w:val="continuous"/>
      <w:pgSz w:w="11909" w:h="18000"/>
      <w:pgMar w:top="1080" w:right="1080" w:bottom="1080" w:left="1080" w:header="540" w:footer="0" w:gutter="0"/>
      <w:cols w:space="720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0890C8" w15:done="0"/>
  <w15:commentEx w15:paraId="637C0239" w15:done="0"/>
  <w15:commentEx w15:paraId="2B3E8006" w15:done="0"/>
  <w15:commentEx w15:paraId="7AD64F31" w15:done="0"/>
  <w15:commentEx w15:paraId="4839042E" w15:done="0"/>
  <w15:commentEx w15:paraId="2524D358" w15:done="0"/>
  <w15:commentEx w15:paraId="1504A8BE" w15:done="0"/>
  <w15:commentEx w15:paraId="212BFA74" w15:done="0"/>
  <w15:commentEx w15:paraId="6B487F64" w15:done="0"/>
  <w15:commentEx w15:paraId="2B67B18A" w15:done="0"/>
  <w15:commentEx w15:paraId="4E78617E" w15:done="0"/>
  <w15:commentEx w15:paraId="7CF38000" w15:done="0"/>
  <w15:commentEx w15:paraId="4D187931" w15:done="0"/>
  <w15:commentEx w15:paraId="3D725170" w15:done="0"/>
  <w15:commentEx w15:paraId="3F9C7E2E" w15:done="0"/>
  <w15:commentEx w15:paraId="169CD2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0890C8" w16cid:durableId="1F4B9A8B"/>
  <w16cid:commentId w16cid:paraId="637C0239" w16cid:durableId="1F4B9A93"/>
  <w16cid:commentId w16cid:paraId="2B3E8006" w16cid:durableId="1F4B9AB4"/>
  <w16cid:commentId w16cid:paraId="7AD64F31" w16cid:durableId="1F4B9ABB"/>
  <w16cid:commentId w16cid:paraId="4839042E" w16cid:durableId="1F4B9AC1"/>
  <w16cid:commentId w16cid:paraId="2524D358" w16cid:durableId="1F4B9AC6"/>
  <w16cid:commentId w16cid:paraId="1504A8BE" w16cid:durableId="1F4B9AD3"/>
  <w16cid:commentId w16cid:paraId="212BFA74" w16cid:durableId="1F4B9ADD"/>
  <w16cid:commentId w16cid:paraId="6B487F64" w16cid:durableId="1F4B9AEC"/>
  <w16cid:commentId w16cid:paraId="2B67B18A" w16cid:durableId="1F4B9AFA"/>
  <w16cid:commentId w16cid:paraId="4E78617E" w16cid:durableId="1F4B9B05"/>
  <w16cid:commentId w16cid:paraId="7CF38000" w16cid:durableId="1F4B9B0B"/>
  <w16cid:commentId w16cid:paraId="4D187931" w16cid:durableId="1F4B9B12"/>
  <w16cid:commentId w16cid:paraId="3D725170" w16cid:durableId="1F4B9B1B"/>
  <w16cid:commentId w16cid:paraId="3F9C7E2E" w16cid:durableId="1F4B9B20"/>
  <w16cid:commentId w16cid:paraId="169CD2F4" w16cid:durableId="1F4B9B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F79F9" w14:textId="77777777" w:rsidR="00932188" w:rsidRDefault="00932188">
      <w:r>
        <w:separator/>
      </w:r>
    </w:p>
  </w:endnote>
  <w:endnote w:type="continuationSeparator" w:id="0">
    <w:p w14:paraId="303C000B" w14:textId="77777777" w:rsidR="00932188" w:rsidRDefault="0093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73CA5" w14:textId="77777777" w:rsidR="00932188" w:rsidRDefault="00932188">
      <w:r>
        <w:separator/>
      </w:r>
    </w:p>
  </w:footnote>
  <w:footnote w:type="continuationSeparator" w:id="0">
    <w:p w14:paraId="0181F51C" w14:textId="77777777" w:rsidR="00932188" w:rsidRDefault="00932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84B13" w14:textId="77777777" w:rsidR="00FD076B" w:rsidRPr="00FD076B" w:rsidRDefault="00FD076B">
    <w:pPr>
      <w:pStyle w:val="Header"/>
      <w:rPr>
        <w:rFonts w:ascii="Times New Roman" w:hAnsi="Times New Roman" w:cs="Times New Roman"/>
        <w:sz w:val="22"/>
        <w:szCs w:val="22"/>
        <w:lang w:val="en-IN"/>
      </w:rPr>
    </w:pPr>
    <w:r w:rsidRPr="00FD076B">
      <w:rPr>
        <w:rFonts w:ascii="Times New Roman" w:hAnsi="Times New Roman" w:cs="Times New Roman"/>
        <w:sz w:val="22"/>
        <w:szCs w:val="22"/>
        <w:lang w:val="en-IN"/>
      </w:rPr>
      <w:t>No. 96</w:t>
    </w:r>
    <w:r w:rsidRPr="00FD076B">
      <w:rPr>
        <w:rFonts w:ascii="Times New Roman" w:hAnsi="Times New Roman" w:cs="Times New Roman"/>
        <w:sz w:val="22"/>
        <w:szCs w:val="22"/>
        <w:lang w:val="en-IN"/>
      </w:rPr>
      <w:tab/>
    </w:r>
    <w:r w:rsidRPr="00FD076B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>Service and Execution of Process</w:t>
    </w:r>
    <w:r w:rsidRPr="00FD076B">
      <w:rPr>
        <w:rFonts w:ascii="Times New Roman" w:hAnsi="Times New Roman" w:cs="Times New Roman"/>
        <w:i/>
        <w:iCs/>
        <w:color w:val="auto"/>
        <w:sz w:val="22"/>
        <w:szCs w:val="22"/>
        <w:lang w:val="en-IN"/>
      </w:rPr>
      <w:tab/>
    </w:r>
    <w:r w:rsidRPr="00FD076B">
      <w:rPr>
        <w:rFonts w:ascii="Times New Roman" w:hAnsi="Times New Roman" w:cs="Times New Roman"/>
        <w:iCs/>
        <w:color w:val="auto"/>
        <w:sz w:val="22"/>
        <w:szCs w:val="22"/>
        <w:lang w:val="en-IN"/>
      </w:rPr>
      <w:t>1974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0E45"/>
    <w:multiLevelType w:val="multilevel"/>
    <w:tmpl w:val="4D1EE61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032429"/>
    <w:multiLevelType w:val="hybridMultilevel"/>
    <w:tmpl w:val="7AC69760"/>
    <w:lvl w:ilvl="0" w:tplc="CAC6BE20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3F042C42"/>
    <w:multiLevelType w:val="multilevel"/>
    <w:tmpl w:val="19D21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F42854"/>
    <w:multiLevelType w:val="multilevel"/>
    <w:tmpl w:val="9790F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E84B48"/>
    <w:multiLevelType w:val="multilevel"/>
    <w:tmpl w:val="A0208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BD5DEF"/>
    <w:multiLevelType w:val="hybridMultilevel"/>
    <w:tmpl w:val="D44C2682"/>
    <w:lvl w:ilvl="0" w:tplc="9A5EB25A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21DA2"/>
    <w:rsid w:val="00127ED8"/>
    <w:rsid w:val="00253553"/>
    <w:rsid w:val="002D2F5C"/>
    <w:rsid w:val="002E10D3"/>
    <w:rsid w:val="003E017C"/>
    <w:rsid w:val="004014D6"/>
    <w:rsid w:val="00401792"/>
    <w:rsid w:val="004B1BC7"/>
    <w:rsid w:val="006F0FD8"/>
    <w:rsid w:val="007114B9"/>
    <w:rsid w:val="00761D2E"/>
    <w:rsid w:val="00797449"/>
    <w:rsid w:val="007F0F6F"/>
    <w:rsid w:val="00932188"/>
    <w:rsid w:val="00B21DA2"/>
    <w:rsid w:val="00BA0028"/>
    <w:rsid w:val="00C61710"/>
    <w:rsid w:val="00CC228A"/>
    <w:rsid w:val="00E34D2D"/>
    <w:rsid w:val="00FD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3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0">
    <w:name w:val="Body text (3)"/>
    <w:basedOn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27"/>
      <w:szCs w:val="27"/>
      <w:u w:val="none"/>
    </w:rPr>
  </w:style>
  <w:style w:type="character" w:customStyle="1" w:styleId="Heading12">
    <w:name w:val="Heading #1 (2)_"/>
    <w:basedOn w:val="DefaultParagraphFont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105pt">
    <w:name w:val="Body text (2) + 10.5 pt"/>
    <w:aliases w:val="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105pt0">
    <w:name w:val="Body text (2) + 10.5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5pt">
    <w:name w:val="Body text + 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05pt0">
    <w:name w:val="Body text + 10.5 pt"/>
    <w:aliases w:val="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Arial">
    <w:name w:val="Body text + Arial"/>
    <w:aliases w:val="11.5 pt,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Bodytext31">
    <w:name w:val="Body text (3)_"/>
    <w:basedOn w:val="DefaultParagraphFont"/>
    <w:link w:val="Bodytext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105pt">
    <w:name w:val="Body text (3) + 10.5 pt"/>
    <w:basedOn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33">
    <w:name w:val="Body text (3)"/>
    <w:basedOn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375pt">
    <w:name w:val="Body text (3) + 7.5 pt"/>
    <w:aliases w:val="Small Caps,Spacing 0 pt"/>
    <w:basedOn w:val="Bodytext3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en-US"/>
    </w:rPr>
  </w:style>
  <w:style w:type="character" w:customStyle="1" w:styleId="Bodytext375pt0">
    <w:name w:val="Body text (3) + 7.5 pt"/>
    <w:aliases w:val="Spacing 0 pt"/>
    <w:basedOn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Bodytext685pt">
    <w:name w:val="Body text (6) + 8.5 pt"/>
    <w:aliases w:val="Spacing 0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6SmallCaps">
    <w:name w:val="Body text (6) + Small Caps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en-US"/>
    </w:rPr>
  </w:style>
  <w:style w:type="paragraph" w:customStyle="1" w:styleId="Footnote0">
    <w:name w:val="Footnote"/>
    <w:basedOn w:val="Normal"/>
    <w:link w:val="Footnote"/>
    <w:pPr>
      <w:spacing w:line="197" w:lineRule="exact"/>
      <w:ind w:hanging="2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32">
    <w:name w:val="Body text (3)"/>
    <w:basedOn w:val="Normal"/>
    <w:link w:val="Bodytext31"/>
    <w:pPr>
      <w:spacing w:line="192" w:lineRule="exact"/>
      <w:ind w:hanging="28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70">
    <w:name w:val="Body text (7)"/>
    <w:basedOn w:val="Normal"/>
    <w:link w:val="Bodytext7"/>
    <w:pPr>
      <w:spacing w:line="0" w:lineRule="atLeas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Bodytext80">
    <w:name w:val="Body text (8)"/>
    <w:basedOn w:val="Normal"/>
    <w:link w:val="Bodytext8"/>
    <w:pPr>
      <w:spacing w:line="0" w:lineRule="atLeast"/>
      <w:jc w:val="center"/>
    </w:pPr>
    <w:rPr>
      <w:rFonts w:ascii="Arial" w:eastAsia="Arial" w:hAnsi="Arial" w:cs="Arial"/>
      <w:b/>
      <w:bCs/>
      <w:spacing w:val="20"/>
      <w:sz w:val="27"/>
      <w:szCs w:val="27"/>
    </w:rPr>
  </w:style>
  <w:style w:type="paragraph" w:customStyle="1" w:styleId="Heading120">
    <w:name w:val="Heading #1 (2)"/>
    <w:basedOn w:val="Normal"/>
    <w:link w:val="Heading12"/>
    <w:pPr>
      <w:spacing w:line="0" w:lineRule="atLeas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20">
    <w:name w:val="Body text (2)"/>
    <w:basedOn w:val="Normal"/>
    <w:link w:val="Bodytext2"/>
    <w:pPr>
      <w:spacing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1">
    <w:name w:val="Body Text1"/>
    <w:basedOn w:val="Normal"/>
    <w:link w:val="Bodytext"/>
    <w:pPr>
      <w:spacing w:line="24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60">
    <w:name w:val="Body text (6)"/>
    <w:basedOn w:val="Normal"/>
    <w:link w:val="Bodytext6"/>
    <w:pPr>
      <w:spacing w:line="178" w:lineRule="exact"/>
      <w:ind w:hanging="340"/>
      <w:jc w:val="both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FD0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76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D0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76B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53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5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553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553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5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553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7F0F6F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</cp:revision>
  <dcterms:created xsi:type="dcterms:W3CDTF">2018-09-18T05:42:00Z</dcterms:created>
  <dcterms:modified xsi:type="dcterms:W3CDTF">2019-06-25T03:06:00Z</dcterms:modified>
</cp:coreProperties>
</file>