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960A2" w14:textId="77777777" w:rsidR="00896635" w:rsidRPr="00896635" w:rsidRDefault="001D0DCA" w:rsidP="00075D1E">
      <w:pPr>
        <w:pStyle w:val="BodyText1"/>
        <w:spacing w:after="60" w:line="240" w:lineRule="auto"/>
        <w:ind w:firstLine="0"/>
        <w:jc w:val="center"/>
        <w:rPr>
          <w:b/>
          <w:sz w:val="32"/>
          <w:szCs w:val="32"/>
        </w:rPr>
      </w:pPr>
      <w:bookmarkStart w:id="0" w:name="bookmark0"/>
      <w:r>
        <w:rPr>
          <w:b/>
          <w:sz w:val="32"/>
          <w:szCs w:val="32"/>
        </w:rPr>
        <w:t>SEAMEN’</w:t>
      </w:r>
      <w:r w:rsidR="005B0FA0" w:rsidRPr="00896635">
        <w:rPr>
          <w:b/>
          <w:sz w:val="32"/>
          <w:szCs w:val="32"/>
        </w:rPr>
        <w:t xml:space="preserve">S COMPENSATION ACT 1974 </w:t>
      </w:r>
    </w:p>
    <w:p w14:paraId="1BACE199" w14:textId="77777777" w:rsidR="004B255C" w:rsidRDefault="005B0FA0" w:rsidP="00075D1E">
      <w:pPr>
        <w:pStyle w:val="BodyText1"/>
        <w:spacing w:line="240" w:lineRule="auto"/>
        <w:ind w:firstLine="0"/>
        <w:jc w:val="center"/>
        <w:rPr>
          <w:b/>
          <w:sz w:val="28"/>
          <w:szCs w:val="28"/>
        </w:rPr>
      </w:pPr>
      <w:r w:rsidRPr="00896635">
        <w:rPr>
          <w:b/>
          <w:sz w:val="28"/>
          <w:szCs w:val="28"/>
        </w:rPr>
        <w:t>No. 93 of 1974</w:t>
      </w:r>
      <w:bookmarkEnd w:id="0"/>
    </w:p>
    <w:p w14:paraId="52576DA4" w14:textId="77777777" w:rsidR="004C0929" w:rsidRPr="00896635" w:rsidRDefault="004C0929" w:rsidP="00075D1E">
      <w:pPr>
        <w:pStyle w:val="BodyText1"/>
        <w:spacing w:line="240" w:lineRule="auto"/>
        <w:ind w:firstLine="0"/>
        <w:jc w:val="center"/>
        <w:rPr>
          <w:b/>
          <w:sz w:val="28"/>
          <w:szCs w:val="28"/>
        </w:rPr>
      </w:pPr>
    </w:p>
    <w:p w14:paraId="7F161C38" w14:textId="77777777" w:rsidR="004B255C" w:rsidRDefault="005B0FA0" w:rsidP="004B0E68">
      <w:pPr>
        <w:pStyle w:val="BodyText1"/>
        <w:spacing w:after="60" w:line="240" w:lineRule="auto"/>
        <w:ind w:firstLine="0"/>
        <w:jc w:val="center"/>
        <w:rPr>
          <w:rStyle w:val="Bodytext115pt"/>
          <w:sz w:val="24"/>
          <w:szCs w:val="24"/>
        </w:rPr>
      </w:pPr>
      <w:r w:rsidRPr="00896635">
        <w:rPr>
          <w:rStyle w:val="Bodytext115pt"/>
          <w:sz w:val="24"/>
          <w:szCs w:val="24"/>
        </w:rPr>
        <w:t>An Act to increase certain Amounts of Compensation payable to and in respect of Seamen.</w:t>
      </w:r>
    </w:p>
    <w:p w14:paraId="0E4582EA" w14:textId="77777777" w:rsidR="00075D1E" w:rsidRPr="00896635" w:rsidRDefault="00075D1E" w:rsidP="00075D1E">
      <w:pPr>
        <w:pStyle w:val="BodyText1"/>
        <w:spacing w:after="60" w:line="240" w:lineRule="auto"/>
        <w:ind w:firstLine="0"/>
        <w:rPr>
          <w:sz w:val="24"/>
          <w:szCs w:val="24"/>
        </w:rPr>
      </w:pPr>
    </w:p>
    <w:p w14:paraId="1BBBF425" w14:textId="77777777" w:rsidR="004B255C" w:rsidRPr="00896635" w:rsidRDefault="005B0FA0" w:rsidP="00075D1E">
      <w:pPr>
        <w:pStyle w:val="BodyText1"/>
        <w:spacing w:line="240" w:lineRule="auto"/>
        <w:ind w:firstLine="274"/>
        <w:rPr>
          <w:sz w:val="24"/>
          <w:szCs w:val="24"/>
        </w:rPr>
      </w:pPr>
      <w:r w:rsidRPr="00896635">
        <w:rPr>
          <w:rStyle w:val="Bodytext115pt"/>
          <w:sz w:val="24"/>
          <w:szCs w:val="24"/>
        </w:rPr>
        <w:t>BE IT ENACTED by the Queen, the Senate and the House of Representatives of Australia, as follows:—</w:t>
      </w:r>
    </w:p>
    <w:p w14:paraId="1491FE92" w14:textId="77777777" w:rsidR="004B255C" w:rsidRPr="00896635" w:rsidRDefault="005B0FA0" w:rsidP="00075D1E">
      <w:pPr>
        <w:pStyle w:val="Bodytext40"/>
        <w:spacing w:before="120" w:after="60" w:line="240" w:lineRule="auto"/>
        <w:jc w:val="left"/>
        <w:rPr>
          <w:sz w:val="24"/>
          <w:szCs w:val="24"/>
        </w:rPr>
      </w:pPr>
      <w:r w:rsidRPr="004C0929">
        <w:rPr>
          <w:b/>
          <w:sz w:val="20"/>
          <w:szCs w:val="20"/>
        </w:rPr>
        <w:t>Short title and citation</w:t>
      </w:r>
      <w:r w:rsidRPr="00896635">
        <w:rPr>
          <w:sz w:val="24"/>
          <w:szCs w:val="24"/>
        </w:rPr>
        <w:t>.</w:t>
      </w:r>
    </w:p>
    <w:p w14:paraId="3FDFD352" w14:textId="2BCE5161" w:rsidR="004B255C" w:rsidRPr="00896635" w:rsidRDefault="00075D1E" w:rsidP="00075D1E">
      <w:pPr>
        <w:pStyle w:val="BodyText1"/>
        <w:spacing w:after="60" w:line="240" w:lineRule="auto"/>
        <w:ind w:firstLine="274"/>
        <w:rPr>
          <w:sz w:val="24"/>
          <w:szCs w:val="24"/>
        </w:rPr>
      </w:pPr>
      <w:r w:rsidRPr="00075D1E">
        <w:rPr>
          <w:rStyle w:val="Bodytext115pt0"/>
          <w:b/>
          <w:spacing w:val="0"/>
          <w:sz w:val="24"/>
          <w:szCs w:val="24"/>
        </w:rPr>
        <w:t>1.</w:t>
      </w:r>
      <w:r>
        <w:rPr>
          <w:rStyle w:val="Bodytext115pt0"/>
          <w:spacing w:val="0"/>
          <w:sz w:val="24"/>
          <w:szCs w:val="24"/>
        </w:rPr>
        <w:t xml:space="preserve"> </w:t>
      </w:r>
      <w:r w:rsidR="005B0FA0" w:rsidRPr="00896635">
        <w:rPr>
          <w:rStyle w:val="Bodytext115pt0"/>
          <w:spacing w:val="0"/>
          <w:sz w:val="24"/>
          <w:szCs w:val="24"/>
        </w:rPr>
        <w:t>(1)</w:t>
      </w:r>
      <w:r w:rsidR="005B0FA0" w:rsidRPr="00896635">
        <w:rPr>
          <w:rStyle w:val="Bodytext115pt"/>
          <w:sz w:val="24"/>
          <w:szCs w:val="24"/>
        </w:rPr>
        <w:t xml:space="preserve"> This Act may be cited as the </w:t>
      </w:r>
      <w:r w:rsidR="005B0FA0" w:rsidRPr="00896635">
        <w:rPr>
          <w:rStyle w:val="Bodytext115pt1"/>
          <w:sz w:val="24"/>
          <w:szCs w:val="24"/>
        </w:rPr>
        <w:t xml:space="preserve">Seamen’s Compensation Act </w:t>
      </w:r>
      <w:r w:rsidR="005B0FA0" w:rsidRPr="00896635">
        <w:rPr>
          <w:rStyle w:val="Bodytext115pt"/>
          <w:sz w:val="24"/>
          <w:szCs w:val="24"/>
        </w:rPr>
        <w:t>1974.</w:t>
      </w:r>
    </w:p>
    <w:p w14:paraId="08BAD80B" w14:textId="70CAB6A8" w:rsidR="004B255C" w:rsidRPr="00896635" w:rsidRDefault="004C0929" w:rsidP="00075D1E">
      <w:pPr>
        <w:pStyle w:val="BodyText1"/>
        <w:spacing w:after="60" w:line="240" w:lineRule="auto"/>
        <w:ind w:firstLine="274"/>
        <w:rPr>
          <w:sz w:val="24"/>
          <w:szCs w:val="24"/>
        </w:rPr>
      </w:pPr>
      <w:r>
        <w:rPr>
          <w:rStyle w:val="Bodytext115pt"/>
          <w:sz w:val="24"/>
          <w:szCs w:val="24"/>
        </w:rPr>
        <w:t>(2).</w:t>
      </w:r>
      <w:r w:rsidR="004B0E68">
        <w:rPr>
          <w:rStyle w:val="Bodytext115pt"/>
          <w:sz w:val="24"/>
          <w:szCs w:val="24"/>
        </w:rPr>
        <w:t xml:space="preserve"> </w:t>
      </w:r>
      <w:r w:rsidR="005B0FA0" w:rsidRPr="00896635">
        <w:rPr>
          <w:rStyle w:val="Bodytext115pt"/>
          <w:sz w:val="24"/>
          <w:szCs w:val="24"/>
        </w:rPr>
        <w:t xml:space="preserve">The </w:t>
      </w:r>
      <w:r w:rsidR="005B0FA0" w:rsidRPr="00896635">
        <w:rPr>
          <w:rStyle w:val="Bodytext115pt1"/>
          <w:sz w:val="24"/>
          <w:szCs w:val="24"/>
        </w:rPr>
        <w:t>Seamen’s Compensation Act</w:t>
      </w:r>
      <w:r w:rsidR="005B0FA0" w:rsidRPr="00896635">
        <w:rPr>
          <w:rStyle w:val="Bodytext115pt"/>
          <w:sz w:val="24"/>
          <w:szCs w:val="24"/>
        </w:rPr>
        <w:t xml:space="preserve"> 1911-1973 is in this Act referred to as the Principal Act.</w:t>
      </w:r>
    </w:p>
    <w:p w14:paraId="02FEDD04" w14:textId="28ADB5E4" w:rsidR="004B255C" w:rsidRPr="00896635" w:rsidRDefault="004C0929" w:rsidP="00075D1E">
      <w:pPr>
        <w:pStyle w:val="BodyText1"/>
        <w:spacing w:line="240" w:lineRule="auto"/>
        <w:ind w:firstLine="274"/>
        <w:rPr>
          <w:sz w:val="24"/>
          <w:szCs w:val="24"/>
        </w:rPr>
      </w:pPr>
      <w:r>
        <w:rPr>
          <w:rStyle w:val="Bodytext115pt"/>
          <w:sz w:val="24"/>
          <w:szCs w:val="24"/>
        </w:rPr>
        <w:t>(3).</w:t>
      </w:r>
      <w:r w:rsidR="004B0E68">
        <w:rPr>
          <w:rStyle w:val="Bodytext115pt"/>
          <w:sz w:val="24"/>
          <w:szCs w:val="24"/>
        </w:rPr>
        <w:t xml:space="preserve"> </w:t>
      </w:r>
      <w:r w:rsidR="005B0FA0" w:rsidRPr="00896635">
        <w:rPr>
          <w:rStyle w:val="Bodytext115pt"/>
          <w:sz w:val="24"/>
          <w:szCs w:val="24"/>
        </w:rPr>
        <w:t xml:space="preserve">The Principal Act, as amended by this Act, may be cited as the </w:t>
      </w:r>
      <w:r w:rsidR="005B0FA0" w:rsidRPr="00896635">
        <w:rPr>
          <w:rStyle w:val="Bodytext115pt1"/>
          <w:sz w:val="24"/>
          <w:szCs w:val="24"/>
        </w:rPr>
        <w:t>Seamen’s Compensation Act</w:t>
      </w:r>
      <w:r w:rsidR="005B0FA0" w:rsidRPr="00896635">
        <w:rPr>
          <w:rStyle w:val="Bodytext115pt"/>
          <w:sz w:val="24"/>
          <w:szCs w:val="24"/>
        </w:rPr>
        <w:t xml:space="preserve"> 1911-1974.</w:t>
      </w:r>
    </w:p>
    <w:p w14:paraId="06718CB7" w14:textId="77777777" w:rsidR="00B41778" w:rsidRPr="00B41778" w:rsidRDefault="00B41778" w:rsidP="00075D1E">
      <w:pPr>
        <w:pStyle w:val="Bodytext40"/>
        <w:spacing w:before="120" w:after="60" w:line="240" w:lineRule="auto"/>
        <w:jc w:val="left"/>
        <w:rPr>
          <w:b/>
          <w:sz w:val="20"/>
          <w:szCs w:val="24"/>
        </w:rPr>
      </w:pPr>
      <w:r w:rsidRPr="00B41778">
        <w:rPr>
          <w:b/>
          <w:sz w:val="20"/>
          <w:szCs w:val="20"/>
        </w:rPr>
        <w:t>Commencement</w:t>
      </w:r>
      <w:r w:rsidRPr="00B41778">
        <w:rPr>
          <w:b/>
          <w:sz w:val="20"/>
          <w:szCs w:val="24"/>
        </w:rPr>
        <w:t>.</w:t>
      </w:r>
    </w:p>
    <w:p w14:paraId="4D300D0B" w14:textId="4943451A" w:rsidR="004B255C" w:rsidRDefault="00B41778" w:rsidP="00075D1E">
      <w:pPr>
        <w:pStyle w:val="BodyText1"/>
        <w:tabs>
          <w:tab w:val="left" w:pos="630"/>
        </w:tabs>
        <w:spacing w:after="60" w:line="240" w:lineRule="auto"/>
        <w:ind w:firstLine="270"/>
        <w:rPr>
          <w:rStyle w:val="Bodytext115pt"/>
          <w:sz w:val="24"/>
          <w:szCs w:val="24"/>
          <w:vertAlign w:val="superscript"/>
        </w:rPr>
      </w:pPr>
      <w:r w:rsidRPr="00B41778">
        <w:rPr>
          <w:rStyle w:val="Bodytext115pt"/>
          <w:b/>
          <w:sz w:val="24"/>
          <w:szCs w:val="24"/>
        </w:rPr>
        <w:t>2.</w:t>
      </w:r>
      <w:r>
        <w:rPr>
          <w:rStyle w:val="Bodytext115pt"/>
          <w:b/>
          <w:sz w:val="24"/>
          <w:szCs w:val="24"/>
        </w:rPr>
        <w:tab/>
      </w:r>
      <w:r w:rsidR="005B0FA0" w:rsidRPr="00896635">
        <w:rPr>
          <w:rStyle w:val="Bodytext115pt"/>
          <w:sz w:val="24"/>
          <w:szCs w:val="24"/>
        </w:rPr>
        <w:t>This Act shall come into operation on the day on which it receives the Royal Assent.</w:t>
      </w:r>
    </w:p>
    <w:p w14:paraId="4771312F" w14:textId="77777777" w:rsidR="00B41778" w:rsidRPr="00B41778" w:rsidRDefault="00B41778" w:rsidP="00075D1E">
      <w:pPr>
        <w:pStyle w:val="Bodytext40"/>
        <w:spacing w:before="120" w:after="60" w:line="240" w:lineRule="auto"/>
        <w:jc w:val="left"/>
        <w:rPr>
          <w:b/>
          <w:sz w:val="24"/>
          <w:szCs w:val="24"/>
        </w:rPr>
      </w:pPr>
      <w:r w:rsidRPr="00B41778">
        <w:rPr>
          <w:b/>
          <w:sz w:val="20"/>
          <w:szCs w:val="20"/>
        </w:rPr>
        <w:t>Compensation for certain injuries</w:t>
      </w:r>
      <w:r w:rsidRPr="00B41778">
        <w:rPr>
          <w:b/>
          <w:sz w:val="24"/>
          <w:szCs w:val="24"/>
        </w:rPr>
        <w:t>.</w:t>
      </w:r>
    </w:p>
    <w:p w14:paraId="5C78AC98" w14:textId="359063BF" w:rsidR="004B255C" w:rsidRDefault="00B41778" w:rsidP="00075D1E">
      <w:pPr>
        <w:pStyle w:val="BodyText1"/>
        <w:tabs>
          <w:tab w:val="left" w:pos="630"/>
        </w:tabs>
        <w:spacing w:after="60" w:line="240" w:lineRule="auto"/>
        <w:ind w:firstLine="270"/>
        <w:rPr>
          <w:rStyle w:val="Bodytext115pt"/>
          <w:sz w:val="24"/>
          <w:szCs w:val="24"/>
        </w:rPr>
      </w:pPr>
      <w:r w:rsidRPr="00B41778">
        <w:rPr>
          <w:rStyle w:val="Bodytext115pt"/>
          <w:b/>
          <w:sz w:val="24"/>
          <w:szCs w:val="24"/>
        </w:rPr>
        <w:t>3.</w:t>
      </w:r>
      <w:r>
        <w:rPr>
          <w:rStyle w:val="Bodytext115pt"/>
          <w:b/>
          <w:sz w:val="24"/>
          <w:szCs w:val="24"/>
        </w:rPr>
        <w:tab/>
      </w:r>
      <w:r w:rsidR="005B0FA0" w:rsidRPr="00896635">
        <w:rPr>
          <w:rStyle w:val="Bodytext115pt"/>
          <w:sz w:val="24"/>
          <w:szCs w:val="24"/>
        </w:rPr>
        <w:t>Section 5</w:t>
      </w:r>
      <w:r w:rsidR="00075D1E">
        <w:rPr>
          <w:rStyle w:val="Bodytext115pt"/>
          <w:smallCaps/>
          <w:sz w:val="24"/>
          <w:szCs w:val="24"/>
        </w:rPr>
        <w:t>b</w:t>
      </w:r>
      <w:r w:rsidR="005B0FA0" w:rsidRPr="00896635">
        <w:rPr>
          <w:rStyle w:val="Bodytext115pt"/>
          <w:sz w:val="24"/>
          <w:szCs w:val="24"/>
        </w:rPr>
        <w:t xml:space="preserve"> of the Principal Act is amended by omitting from sub</w:t>
      </w:r>
      <w:r w:rsidR="00075D1E">
        <w:rPr>
          <w:rStyle w:val="Bodytext115pt"/>
          <w:sz w:val="24"/>
          <w:szCs w:val="24"/>
        </w:rPr>
        <w:t>-</w:t>
      </w:r>
      <w:r w:rsidR="005B0FA0" w:rsidRPr="00896635">
        <w:rPr>
          <w:rStyle w:val="Bodytext115pt"/>
          <w:sz w:val="24"/>
          <w:szCs w:val="24"/>
        </w:rPr>
        <w:t>section (1) the words “Fourteen thousand five hundred dollars” and substituting the figures “$20,000</w:t>
      </w:r>
      <w:r w:rsidR="004B0E68">
        <w:rPr>
          <w:rStyle w:val="Bodytext115pt"/>
          <w:sz w:val="24"/>
          <w:szCs w:val="24"/>
        </w:rPr>
        <w:t>”.</w:t>
      </w:r>
    </w:p>
    <w:p w14:paraId="1C8218DD" w14:textId="22E51186" w:rsidR="00B41778" w:rsidRPr="00B41778" w:rsidRDefault="00B41778" w:rsidP="00075D1E">
      <w:pPr>
        <w:pStyle w:val="Bodytext40"/>
        <w:spacing w:before="120" w:after="60" w:line="240" w:lineRule="auto"/>
        <w:jc w:val="left"/>
        <w:rPr>
          <w:b/>
          <w:sz w:val="20"/>
          <w:szCs w:val="20"/>
        </w:rPr>
      </w:pPr>
      <w:r w:rsidRPr="00B41778">
        <w:rPr>
          <w:b/>
          <w:sz w:val="20"/>
          <w:szCs w:val="20"/>
        </w:rPr>
        <w:t>Maximum compensation</w:t>
      </w:r>
      <w:r w:rsidR="004B0E68">
        <w:rPr>
          <w:b/>
          <w:sz w:val="20"/>
          <w:szCs w:val="20"/>
        </w:rPr>
        <w:t>.</w:t>
      </w:r>
    </w:p>
    <w:p w14:paraId="4600A15D" w14:textId="5BC79614" w:rsidR="004B255C" w:rsidRDefault="00B41778" w:rsidP="00075D1E">
      <w:pPr>
        <w:pStyle w:val="BodyText1"/>
        <w:tabs>
          <w:tab w:val="left" w:pos="630"/>
        </w:tabs>
        <w:spacing w:after="60" w:line="240" w:lineRule="auto"/>
        <w:ind w:firstLine="270"/>
        <w:rPr>
          <w:rStyle w:val="Bodytext115pt"/>
          <w:sz w:val="24"/>
          <w:szCs w:val="24"/>
        </w:rPr>
      </w:pPr>
      <w:r w:rsidRPr="00B41778">
        <w:rPr>
          <w:rStyle w:val="Bodytext115pt"/>
          <w:b/>
          <w:sz w:val="24"/>
          <w:szCs w:val="24"/>
        </w:rPr>
        <w:t>4.</w:t>
      </w:r>
      <w:r>
        <w:rPr>
          <w:rStyle w:val="Bodytext115pt"/>
          <w:b/>
          <w:sz w:val="24"/>
          <w:szCs w:val="24"/>
        </w:rPr>
        <w:tab/>
      </w:r>
      <w:r w:rsidR="005B0FA0" w:rsidRPr="00896635">
        <w:rPr>
          <w:rStyle w:val="Bodytext115pt"/>
          <w:sz w:val="24"/>
          <w:szCs w:val="24"/>
        </w:rPr>
        <w:t>Section 5</w:t>
      </w:r>
      <w:r w:rsidR="00075D1E">
        <w:rPr>
          <w:rStyle w:val="Bodytext115pt"/>
          <w:smallCaps/>
          <w:sz w:val="24"/>
          <w:szCs w:val="24"/>
        </w:rPr>
        <w:t>d</w:t>
      </w:r>
      <w:r w:rsidR="005B0FA0" w:rsidRPr="00896635">
        <w:rPr>
          <w:rStyle w:val="Bodytext115pt"/>
          <w:sz w:val="24"/>
          <w:szCs w:val="24"/>
        </w:rPr>
        <w:t xml:space="preserve"> of the Principal Act is amended by omitting from sub</w:t>
      </w:r>
      <w:r w:rsidR="004B0E68">
        <w:rPr>
          <w:rStyle w:val="Bodytext115pt"/>
          <w:sz w:val="24"/>
          <w:szCs w:val="24"/>
        </w:rPr>
        <w:t>-</w:t>
      </w:r>
      <w:r w:rsidR="005B0FA0" w:rsidRPr="00896635">
        <w:rPr>
          <w:rStyle w:val="Bodytext115pt"/>
          <w:sz w:val="24"/>
          <w:szCs w:val="24"/>
        </w:rPr>
        <w:t>section (1) the words “Fourteen thousand five hundred dollars” and substituting the figures “$20,000”.</w:t>
      </w:r>
    </w:p>
    <w:p w14:paraId="213B46C7" w14:textId="77777777" w:rsidR="00B41778" w:rsidRPr="00075D1E" w:rsidRDefault="00B41778" w:rsidP="00075D1E">
      <w:pPr>
        <w:pStyle w:val="BodyText1"/>
        <w:spacing w:before="120" w:after="60" w:line="240" w:lineRule="auto"/>
        <w:ind w:firstLine="0"/>
        <w:rPr>
          <w:b/>
          <w:sz w:val="20"/>
          <w:szCs w:val="24"/>
        </w:rPr>
      </w:pPr>
      <w:r w:rsidRPr="00075D1E">
        <w:rPr>
          <w:b/>
          <w:sz w:val="20"/>
          <w:szCs w:val="24"/>
        </w:rPr>
        <w:t>First Schedule.</w:t>
      </w:r>
    </w:p>
    <w:p w14:paraId="7A16F989" w14:textId="77777777" w:rsidR="004B255C" w:rsidRPr="00896635" w:rsidRDefault="00B41778" w:rsidP="00075D1E">
      <w:pPr>
        <w:pStyle w:val="BodyText1"/>
        <w:tabs>
          <w:tab w:val="left" w:pos="630"/>
        </w:tabs>
        <w:spacing w:after="60" w:line="240" w:lineRule="auto"/>
        <w:ind w:firstLine="270"/>
        <w:rPr>
          <w:sz w:val="24"/>
          <w:szCs w:val="24"/>
        </w:rPr>
      </w:pPr>
      <w:r w:rsidRPr="00B41778">
        <w:rPr>
          <w:rStyle w:val="Bodytext115pt"/>
          <w:b/>
          <w:sz w:val="24"/>
          <w:szCs w:val="24"/>
        </w:rPr>
        <w:t>5.</w:t>
      </w:r>
      <w:r>
        <w:rPr>
          <w:rStyle w:val="Bodytext115pt"/>
          <w:b/>
          <w:sz w:val="24"/>
          <w:szCs w:val="24"/>
        </w:rPr>
        <w:tab/>
      </w:r>
      <w:r w:rsidR="005B0FA0" w:rsidRPr="00896635">
        <w:rPr>
          <w:rStyle w:val="Bodytext115pt"/>
          <w:sz w:val="24"/>
          <w:szCs w:val="24"/>
        </w:rPr>
        <w:t>The First Schedule to the Principal Act is amended—</w:t>
      </w:r>
    </w:p>
    <w:p w14:paraId="5E6FF447" w14:textId="413032EB" w:rsidR="004B255C" w:rsidRPr="00896635" w:rsidRDefault="00A77BCA" w:rsidP="00075D1E">
      <w:pPr>
        <w:pStyle w:val="BodyText1"/>
        <w:spacing w:after="60" w:line="240" w:lineRule="auto"/>
        <w:ind w:left="567" w:hanging="297"/>
        <w:rPr>
          <w:sz w:val="24"/>
          <w:szCs w:val="24"/>
        </w:rPr>
      </w:pPr>
      <w:r>
        <w:rPr>
          <w:rStyle w:val="Bodytext115pt"/>
          <w:sz w:val="24"/>
          <w:szCs w:val="24"/>
        </w:rPr>
        <w:t>(a)</w:t>
      </w:r>
      <w:r w:rsidR="004B0E68">
        <w:rPr>
          <w:rStyle w:val="Bodytext115pt"/>
          <w:sz w:val="24"/>
          <w:szCs w:val="24"/>
        </w:rPr>
        <w:t xml:space="preserve"> </w:t>
      </w:r>
      <w:r w:rsidR="005B0FA0" w:rsidRPr="00896635">
        <w:rPr>
          <w:rStyle w:val="Bodytext115pt"/>
          <w:sz w:val="24"/>
          <w:szCs w:val="24"/>
        </w:rPr>
        <w:t>by omitting from clause (i) of sub-paragraph (a) of paragraph (1) the words “Fourteen thousand five hundred dollars” and substituting the figures “$20,000 ”;</w:t>
      </w:r>
    </w:p>
    <w:p w14:paraId="07FB3D36" w14:textId="77777777" w:rsidR="004B255C" w:rsidRPr="00896635" w:rsidRDefault="00075D1E" w:rsidP="00075D1E">
      <w:pPr>
        <w:pStyle w:val="BodyText1"/>
        <w:spacing w:after="60" w:line="240" w:lineRule="auto"/>
        <w:ind w:left="567" w:hanging="297"/>
        <w:rPr>
          <w:sz w:val="24"/>
          <w:szCs w:val="24"/>
        </w:rPr>
      </w:pPr>
      <w:r>
        <w:rPr>
          <w:rStyle w:val="Bodytext115pt"/>
          <w:sz w:val="24"/>
          <w:szCs w:val="24"/>
        </w:rPr>
        <w:t xml:space="preserve">(b) </w:t>
      </w:r>
      <w:r w:rsidR="005B0FA0" w:rsidRPr="00896635">
        <w:rPr>
          <w:rStyle w:val="Bodytext115pt"/>
          <w:sz w:val="24"/>
          <w:szCs w:val="24"/>
        </w:rPr>
        <w:t>by omitting from clause (iii) of sub-paragraph (a) of paragraph (1) the words “Three hundred dollars” and substituting the figures “$450”;</w:t>
      </w:r>
    </w:p>
    <w:p w14:paraId="4C67E5EE" w14:textId="77777777" w:rsidR="004B255C" w:rsidRPr="00896635" w:rsidRDefault="00075D1E" w:rsidP="00075D1E">
      <w:pPr>
        <w:pStyle w:val="BodyText1"/>
        <w:spacing w:after="60" w:line="240" w:lineRule="auto"/>
        <w:ind w:left="567" w:hanging="297"/>
        <w:rPr>
          <w:sz w:val="24"/>
          <w:szCs w:val="24"/>
        </w:rPr>
      </w:pPr>
      <w:r>
        <w:rPr>
          <w:rStyle w:val="Bodytext115pt"/>
          <w:sz w:val="24"/>
          <w:szCs w:val="24"/>
        </w:rPr>
        <w:t xml:space="preserve">(c) </w:t>
      </w:r>
      <w:r w:rsidR="005B0FA0" w:rsidRPr="00896635">
        <w:rPr>
          <w:rStyle w:val="Bodytext115pt"/>
          <w:sz w:val="24"/>
          <w:szCs w:val="24"/>
        </w:rPr>
        <w:t>by omitting from sub-paragraph (b) of paragraph (1) the words “Forty-three dollars” and substituting the figures “$57”;</w:t>
      </w:r>
    </w:p>
    <w:p w14:paraId="48ECC6D5" w14:textId="77777777" w:rsidR="004B255C" w:rsidRPr="00896635" w:rsidRDefault="00075D1E" w:rsidP="00075D1E">
      <w:pPr>
        <w:pStyle w:val="BodyText1"/>
        <w:spacing w:after="60" w:line="240" w:lineRule="auto"/>
        <w:ind w:left="567" w:hanging="297"/>
        <w:rPr>
          <w:sz w:val="24"/>
          <w:szCs w:val="24"/>
        </w:rPr>
      </w:pPr>
      <w:r>
        <w:rPr>
          <w:rStyle w:val="Bodytext115pt"/>
          <w:sz w:val="24"/>
          <w:szCs w:val="24"/>
        </w:rPr>
        <w:t xml:space="preserve">(d) </w:t>
      </w:r>
      <w:r w:rsidR="005B0FA0" w:rsidRPr="00896635">
        <w:rPr>
          <w:rStyle w:val="Bodytext115pt"/>
          <w:sz w:val="24"/>
          <w:szCs w:val="24"/>
        </w:rPr>
        <w:t>by omitting from clause (i) of sub-paragraph (b) of paragraph (1) the words “Eleven dollars” and substituting the figures “$15”;</w:t>
      </w:r>
    </w:p>
    <w:p w14:paraId="6B5889BE" w14:textId="1395DF9F" w:rsidR="00075D1E" w:rsidRPr="004B0E68" w:rsidRDefault="00075D1E" w:rsidP="004B0E68">
      <w:pPr>
        <w:pStyle w:val="BodyText1"/>
        <w:spacing w:after="60" w:line="240" w:lineRule="auto"/>
        <w:ind w:left="567" w:hanging="297"/>
        <w:rPr>
          <w:rStyle w:val="Bodytext115pt"/>
          <w:sz w:val="24"/>
          <w:szCs w:val="24"/>
        </w:rPr>
      </w:pPr>
      <w:r>
        <w:rPr>
          <w:rStyle w:val="Bodytext115pt"/>
          <w:sz w:val="24"/>
          <w:szCs w:val="24"/>
        </w:rPr>
        <w:t xml:space="preserve">(e) </w:t>
      </w:r>
      <w:r w:rsidR="005B0FA0" w:rsidRPr="00896635">
        <w:rPr>
          <w:rStyle w:val="Bodytext115pt"/>
          <w:sz w:val="24"/>
          <w:szCs w:val="24"/>
        </w:rPr>
        <w:t>by omitting from clause (ii) of sub-paragraph (b) of paragraph (1) the words “Five dollars” and substituting the figures “$7 ”;</w:t>
      </w:r>
    </w:p>
    <w:p w14:paraId="3EA93D8D" w14:textId="77777777" w:rsidR="004B255C" w:rsidRPr="00896635" w:rsidRDefault="00075D1E" w:rsidP="00075D1E">
      <w:pPr>
        <w:pStyle w:val="BodyText1"/>
        <w:spacing w:after="60" w:line="240" w:lineRule="auto"/>
        <w:ind w:left="567" w:hanging="297"/>
        <w:rPr>
          <w:sz w:val="24"/>
          <w:szCs w:val="24"/>
        </w:rPr>
      </w:pPr>
      <w:r>
        <w:rPr>
          <w:rStyle w:val="Bodytext115pt"/>
          <w:sz w:val="24"/>
          <w:szCs w:val="24"/>
        </w:rPr>
        <w:t xml:space="preserve">(f) </w:t>
      </w:r>
      <w:r w:rsidR="005B0FA0" w:rsidRPr="00896635">
        <w:rPr>
          <w:rStyle w:val="Bodytext115pt"/>
          <w:sz w:val="24"/>
          <w:szCs w:val="24"/>
        </w:rPr>
        <w:t>by omitting from clause (i) of sub-paragraph (c) of paragraph</w:t>
      </w:r>
      <w:r>
        <w:rPr>
          <w:rStyle w:val="Bodytext115pt"/>
          <w:sz w:val="24"/>
          <w:szCs w:val="24"/>
        </w:rPr>
        <w:t xml:space="preserve"> </w:t>
      </w:r>
      <w:r w:rsidR="005B0FA0" w:rsidRPr="00896635">
        <w:rPr>
          <w:rStyle w:val="Bodytext115pt"/>
          <w:sz w:val="24"/>
          <w:szCs w:val="24"/>
        </w:rPr>
        <w:t>the words “Forty-three dollars” and substituting the figures “$57”; and</w:t>
      </w:r>
    </w:p>
    <w:p w14:paraId="7DAB2A0D" w14:textId="77777777" w:rsidR="004B255C" w:rsidRPr="00896635" w:rsidRDefault="00075D1E" w:rsidP="00075D1E">
      <w:pPr>
        <w:pStyle w:val="BodyText1"/>
        <w:spacing w:after="60" w:line="240" w:lineRule="auto"/>
        <w:ind w:left="567" w:hanging="297"/>
        <w:rPr>
          <w:sz w:val="24"/>
          <w:szCs w:val="24"/>
        </w:rPr>
      </w:pPr>
      <w:r>
        <w:rPr>
          <w:rStyle w:val="Bodytext115pt"/>
          <w:sz w:val="24"/>
          <w:szCs w:val="24"/>
        </w:rPr>
        <w:t xml:space="preserve">(g) </w:t>
      </w:r>
      <w:r w:rsidR="005B0FA0" w:rsidRPr="00896635">
        <w:rPr>
          <w:rStyle w:val="Bodytext115pt"/>
          <w:sz w:val="24"/>
          <w:szCs w:val="24"/>
        </w:rPr>
        <w:t>by omitting from paragraph (10</w:t>
      </w:r>
      <w:r w:rsidR="005B0FA0" w:rsidRPr="00896635">
        <w:rPr>
          <w:rStyle w:val="Bodytext115pt3"/>
          <w:sz w:val="24"/>
          <w:szCs w:val="24"/>
        </w:rPr>
        <w:t>a)</w:t>
      </w:r>
      <w:r w:rsidR="005B0FA0" w:rsidRPr="00896635">
        <w:rPr>
          <w:rStyle w:val="Bodytext115pt"/>
          <w:sz w:val="24"/>
          <w:szCs w:val="24"/>
        </w:rPr>
        <w:t xml:space="preserve"> the words “Five hundred dollars” (wherever occurring) and substituting the figures “$700”.</w:t>
      </w:r>
    </w:p>
    <w:p w14:paraId="2A794124" w14:textId="77777777" w:rsidR="004B255C" w:rsidRPr="00075D1E" w:rsidRDefault="005B0FA0" w:rsidP="00075D1E">
      <w:pPr>
        <w:pStyle w:val="Bodytext40"/>
        <w:spacing w:before="120" w:after="60" w:line="240" w:lineRule="auto"/>
        <w:jc w:val="left"/>
        <w:rPr>
          <w:b/>
          <w:sz w:val="20"/>
          <w:szCs w:val="24"/>
        </w:rPr>
      </w:pPr>
      <w:r w:rsidRPr="00075D1E">
        <w:rPr>
          <w:b/>
          <w:sz w:val="20"/>
          <w:szCs w:val="24"/>
        </w:rPr>
        <w:t>Application o</w:t>
      </w:r>
      <w:r w:rsidR="00075D1E" w:rsidRPr="00075D1E">
        <w:rPr>
          <w:b/>
          <w:sz w:val="20"/>
          <w:szCs w:val="24"/>
        </w:rPr>
        <w:t>f</w:t>
      </w:r>
      <w:r w:rsidRPr="00075D1E">
        <w:rPr>
          <w:b/>
          <w:sz w:val="20"/>
          <w:szCs w:val="24"/>
        </w:rPr>
        <w:t xml:space="preserve"> amendments.</w:t>
      </w:r>
    </w:p>
    <w:p w14:paraId="08C4C4D8" w14:textId="77777777" w:rsidR="004B255C" w:rsidRPr="00896635" w:rsidRDefault="00075D1E" w:rsidP="00075D1E">
      <w:pPr>
        <w:pStyle w:val="BodyText1"/>
        <w:spacing w:after="160" w:line="240" w:lineRule="auto"/>
        <w:ind w:firstLine="270"/>
        <w:rPr>
          <w:sz w:val="24"/>
          <w:szCs w:val="24"/>
        </w:rPr>
      </w:pPr>
      <w:r w:rsidRPr="00075D1E">
        <w:rPr>
          <w:rStyle w:val="Bodytext115pt"/>
          <w:b/>
          <w:sz w:val="24"/>
          <w:szCs w:val="24"/>
        </w:rPr>
        <w:t>6.</w:t>
      </w:r>
      <w:r>
        <w:rPr>
          <w:rStyle w:val="Bodytext115pt"/>
          <w:sz w:val="24"/>
          <w:szCs w:val="24"/>
        </w:rPr>
        <w:t xml:space="preserve"> </w:t>
      </w:r>
      <w:r w:rsidR="005B0FA0" w:rsidRPr="00896635">
        <w:rPr>
          <w:rStyle w:val="Bodytext115pt"/>
          <w:sz w:val="24"/>
          <w:szCs w:val="24"/>
        </w:rPr>
        <w:t>(1) Where, immediately before the date of commencement of this Act, a person was receiving, or was entitled to receive, weekly payments in accordance with the First Schedule to the Principal Act, he is, from and including that date, entitled to receive weekly payments in accordance with the Principal Act as amended by this Act.</w:t>
      </w:r>
    </w:p>
    <w:p w14:paraId="7FC03FDF" w14:textId="77777777" w:rsidR="004B255C" w:rsidRPr="00896635" w:rsidRDefault="00075D1E" w:rsidP="00075D1E">
      <w:pPr>
        <w:pStyle w:val="BodyText1"/>
        <w:spacing w:after="160" w:line="240" w:lineRule="auto"/>
        <w:ind w:firstLine="270"/>
        <w:rPr>
          <w:sz w:val="24"/>
          <w:szCs w:val="24"/>
        </w:rPr>
      </w:pPr>
      <w:r>
        <w:rPr>
          <w:rStyle w:val="Bodytext115pt"/>
          <w:sz w:val="24"/>
          <w:szCs w:val="24"/>
        </w:rPr>
        <w:t xml:space="preserve">(2) </w:t>
      </w:r>
      <w:r w:rsidR="005B0FA0" w:rsidRPr="00896635">
        <w:rPr>
          <w:rStyle w:val="Bodytext115pt"/>
          <w:sz w:val="24"/>
          <w:szCs w:val="24"/>
        </w:rPr>
        <w:t>Where, before the date of commencement of this Act, weekly payments in accordance with the First Schedule to the Principal Act would have been payable to a seaman in respect of an injury or disease but for the fact that he was not then incapacitated for work or but for the operation of clause (ii) of sub-paragraph (b) of paragraph (2) of that Schedule, and on or after that date he becomes incapacitated for work as a result of the injury or disease or that clause ceases to have effect in relation to him, weekly payments in respect of that injury or disease shall be in accordance with the Principal Act as amended by this Act.</w:t>
      </w:r>
    </w:p>
    <w:p w14:paraId="4AD69648" w14:textId="77777777" w:rsidR="004B0E68" w:rsidRDefault="004B0E68">
      <w:pPr>
        <w:rPr>
          <w:rStyle w:val="Bodytext115pt"/>
          <w:rFonts w:eastAsia="Courier New"/>
          <w:sz w:val="24"/>
          <w:szCs w:val="24"/>
        </w:rPr>
      </w:pPr>
      <w:r>
        <w:rPr>
          <w:rStyle w:val="Bodytext115pt"/>
          <w:rFonts w:eastAsia="Courier New"/>
          <w:sz w:val="24"/>
          <w:szCs w:val="24"/>
        </w:rPr>
        <w:br w:type="page"/>
      </w:r>
    </w:p>
    <w:p w14:paraId="0D5F5111" w14:textId="77B08B22" w:rsidR="004B255C" w:rsidRPr="00896635" w:rsidRDefault="00075D1E" w:rsidP="00075D1E">
      <w:pPr>
        <w:pStyle w:val="BodyText1"/>
        <w:spacing w:after="160" w:line="240" w:lineRule="auto"/>
        <w:ind w:firstLine="270"/>
        <w:rPr>
          <w:sz w:val="24"/>
          <w:szCs w:val="24"/>
        </w:rPr>
      </w:pPr>
      <w:r>
        <w:rPr>
          <w:rStyle w:val="Bodytext115pt"/>
          <w:sz w:val="24"/>
          <w:szCs w:val="24"/>
        </w:rPr>
        <w:lastRenderedPageBreak/>
        <w:t xml:space="preserve">(3) </w:t>
      </w:r>
      <w:r w:rsidR="005B0FA0" w:rsidRPr="00896635">
        <w:rPr>
          <w:rStyle w:val="Bodytext115pt"/>
          <w:sz w:val="24"/>
          <w:szCs w:val="24"/>
        </w:rPr>
        <w:t>Where, on or after the date of commencement of this Act, death results from an inju</w:t>
      </w:r>
      <w:r>
        <w:rPr>
          <w:rStyle w:val="Bodytext115pt"/>
          <w:sz w:val="24"/>
          <w:szCs w:val="24"/>
        </w:rPr>
        <w:t>r</w:t>
      </w:r>
      <w:r w:rsidR="005B0FA0" w:rsidRPr="00896635">
        <w:rPr>
          <w:rStyle w:val="Bodytext115pt"/>
          <w:sz w:val="24"/>
          <w:szCs w:val="24"/>
        </w:rPr>
        <w:t>y or disease in respect of which compensation was payable before that date under the Principal Act, compensation shall be paid in respect of that death in accordance with the Principal Act as amended by this Act.</w:t>
      </w:r>
    </w:p>
    <w:p w14:paraId="1CB5A0D1" w14:textId="77777777" w:rsidR="004B255C" w:rsidRPr="00896635" w:rsidRDefault="00075D1E" w:rsidP="00075D1E">
      <w:pPr>
        <w:pStyle w:val="BodyText1"/>
        <w:spacing w:after="160" w:line="240" w:lineRule="auto"/>
        <w:ind w:firstLine="270"/>
        <w:rPr>
          <w:sz w:val="24"/>
          <w:szCs w:val="24"/>
        </w:rPr>
      </w:pPr>
      <w:r>
        <w:rPr>
          <w:rStyle w:val="Bodytext115pt"/>
          <w:sz w:val="24"/>
          <w:szCs w:val="24"/>
        </w:rPr>
        <w:t xml:space="preserve">(4) </w:t>
      </w:r>
      <w:r w:rsidR="005B0FA0" w:rsidRPr="00896635">
        <w:rPr>
          <w:rStyle w:val="Bodytext115pt"/>
          <w:sz w:val="24"/>
          <w:szCs w:val="24"/>
        </w:rPr>
        <w:t>Where weekly payments that, by virtue of sub-section (1), became payable in respect of a child in accordance with clause (i) of sub</w:t>
      </w:r>
      <w:r>
        <w:rPr>
          <w:rStyle w:val="Bodytext115pt"/>
          <w:sz w:val="24"/>
          <w:szCs w:val="24"/>
        </w:rPr>
        <w:t>-</w:t>
      </w:r>
      <w:r w:rsidR="005B0FA0" w:rsidRPr="00896635">
        <w:rPr>
          <w:rStyle w:val="Bodytext115pt"/>
          <w:sz w:val="24"/>
          <w:szCs w:val="24"/>
        </w:rPr>
        <w:t>paragraph (a) of paragraph (1) of the First Schedule to the Principal Act as amended by this Act cease, on or after the date of commencement of this Act, to be payable, any additional amount of compensation payable in respect of that child shall be payable in accordance with the Principal Act as amended by this Act.</w:t>
      </w:r>
    </w:p>
    <w:p w14:paraId="7EE728C5" w14:textId="77777777" w:rsidR="004B255C" w:rsidRPr="00896635" w:rsidRDefault="00075D1E" w:rsidP="00075D1E">
      <w:pPr>
        <w:pStyle w:val="BodyText1"/>
        <w:spacing w:after="160" w:line="240" w:lineRule="auto"/>
        <w:ind w:firstLine="270"/>
        <w:rPr>
          <w:sz w:val="24"/>
          <w:szCs w:val="24"/>
        </w:rPr>
      </w:pPr>
      <w:r>
        <w:rPr>
          <w:rStyle w:val="Bodytext115pt"/>
          <w:sz w:val="24"/>
          <w:szCs w:val="24"/>
        </w:rPr>
        <w:t xml:space="preserve">(5) </w:t>
      </w:r>
      <w:r w:rsidR="005B0FA0" w:rsidRPr="00896635">
        <w:rPr>
          <w:rStyle w:val="Bodytext115pt"/>
          <w:sz w:val="24"/>
          <w:szCs w:val="24"/>
        </w:rPr>
        <w:t>Where, immediately before the date of commencement of this Act, a seaman was receiving, was entitled to receive, or, but for the operation of clause (ii) of sub-paragraph (b) of paragraph (2) of the First Schedule to the Principal Act, would have been entitled to receive, weekly payments in accordance with that Schedule in respect of an injury or injuries or a disease, the provisions of section 5</w:t>
      </w:r>
      <w:r>
        <w:rPr>
          <w:rStyle w:val="Bodytext115pt"/>
          <w:smallCaps/>
          <w:sz w:val="24"/>
          <w:szCs w:val="24"/>
        </w:rPr>
        <w:t>d</w:t>
      </w:r>
      <w:r w:rsidR="005B0FA0" w:rsidRPr="00896635">
        <w:rPr>
          <w:rStyle w:val="Bodytext115pt"/>
          <w:sz w:val="24"/>
          <w:szCs w:val="24"/>
        </w:rPr>
        <w:t xml:space="preserve"> of the Principal Act as amended by this Act apply in relation to the injury, injuries or disease.</w:t>
      </w:r>
    </w:p>
    <w:p w14:paraId="05140C46" w14:textId="77777777" w:rsidR="00075D1E" w:rsidRDefault="00075D1E" w:rsidP="00075D1E">
      <w:pPr>
        <w:pStyle w:val="BodyText1"/>
        <w:spacing w:after="60" w:line="240" w:lineRule="auto"/>
        <w:ind w:firstLine="270"/>
        <w:rPr>
          <w:rStyle w:val="Bodytext115pt"/>
          <w:sz w:val="24"/>
          <w:szCs w:val="24"/>
        </w:rPr>
      </w:pPr>
      <w:r>
        <w:rPr>
          <w:rStyle w:val="Bodytext115pt"/>
          <w:sz w:val="24"/>
          <w:szCs w:val="24"/>
        </w:rPr>
        <w:t xml:space="preserve">(6) </w:t>
      </w:r>
      <w:r w:rsidR="005B0FA0" w:rsidRPr="00896635">
        <w:rPr>
          <w:rStyle w:val="Bodytext115pt"/>
          <w:sz w:val="24"/>
          <w:szCs w:val="24"/>
        </w:rPr>
        <w:t>The amendments made by this Act apply in relation to an injury sustained on or after the date of commencement of this Act, and so apply whether the accident or disease that caused the injury occurred before, on or after that date.</w:t>
      </w:r>
    </w:p>
    <w:p w14:paraId="223B679C" w14:textId="77777777" w:rsidR="004B255C" w:rsidRDefault="00A60FC7" w:rsidP="00A60FC7">
      <w:pPr>
        <w:pStyle w:val="BodyText1"/>
        <w:spacing w:after="60" w:line="240" w:lineRule="auto"/>
        <w:ind w:firstLine="270"/>
        <w:rPr>
          <w:rStyle w:val="Bodytext115pt"/>
          <w:sz w:val="24"/>
          <w:szCs w:val="24"/>
        </w:rPr>
      </w:pPr>
      <w:r>
        <w:rPr>
          <w:rStyle w:val="Bodytext115pt"/>
          <w:sz w:val="24"/>
          <w:szCs w:val="24"/>
        </w:rPr>
        <w:t xml:space="preserve">(7) </w:t>
      </w:r>
      <w:r w:rsidR="005B0FA0" w:rsidRPr="00896635">
        <w:rPr>
          <w:rStyle w:val="Bodytext115pt"/>
          <w:sz w:val="24"/>
          <w:szCs w:val="24"/>
        </w:rPr>
        <w:t>Expressions used in this section have the same respective meanings as in the Principal Act.</w:t>
      </w:r>
    </w:p>
    <w:p w14:paraId="5C028E6E" w14:textId="77777777" w:rsidR="00A60FC7" w:rsidRPr="00896635" w:rsidRDefault="00A60FC7" w:rsidP="00A60FC7">
      <w:pPr>
        <w:pStyle w:val="BodyText1"/>
        <w:pBdr>
          <w:bottom w:val="single" w:sz="12" w:space="1" w:color="auto"/>
        </w:pBdr>
        <w:spacing w:after="60" w:line="240" w:lineRule="auto"/>
        <w:ind w:firstLine="270"/>
        <w:rPr>
          <w:sz w:val="24"/>
          <w:szCs w:val="24"/>
        </w:rPr>
      </w:pPr>
    </w:p>
    <w:p w14:paraId="4AB150B5" w14:textId="0C7A593A" w:rsidR="004B255C" w:rsidRPr="00896635" w:rsidRDefault="004B255C" w:rsidP="00A60FC7">
      <w:pPr>
        <w:pStyle w:val="Bodytext30"/>
        <w:tabs>
          <w:tab w:val="left" w:pos="630"/>
        </w:tabs>
        <w:spacing w:after="160" w:line="240" w:lineRule="auto"/>
        <w:ind w:left="630" w:hanging="630"/>
        <w:jc w:val="left"/>
        <w:rPr>
          <w:sz w:val="24"/>
          <w:szCs w:val="24"/>
        </w:rPr>
      </w:pPr>
      <w:bookmarkStart w:id="1" w:name="_GoBack"/>
      <w:bookmarkEnd w:id="1"/>
    </w:p>
    <w:sectPr w:rsidR="004B255C" w:rsidRPr="00896635" w:rsidSect="00A60FC7">
      <w:headerReference w:type="even" r:id="rId8"/>
      <w:headerReference w:type="default" r:id="rId9"/>
      <w:type w:val="continuous"/>
      <w:pgSz w:w="12240" w:h="18000"/>
      <w:pgMar w:top="1080" w:right="1080" w:bottom="1080" w:left="1080" w:header="36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3823CF" w15:done="0"/>
  <w15:commentEx w15:paraId="123C89D5" w15:done="0"/>
  <w15:commentEx w15:paraId="35386679" w15:done="0"/>
  <w15:commentEx w15:paraId="646E3739" w15:done="0"/>
  <w15:commentEx w15:paraId="05FED075" w15:done="0"/>
  <w15:commentEx w15:paraId="32B4B17A" w15:done="0"/>
  <w15:commentEx w15:paraId="4556B4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823CF" w16cid:durableId="1F4B9816"/>
  <w16cid:commentId w16cid:paraId="123C89D5" w16cid:durableId="1F4B981E"/>
  <w16cid:commentId w16cid:paraId="35386679" w16cid:durableId="1F4B982D"/>
  <w16cid:commentId w16cid:paraId="646E3739" w16cid:durableId="1F4B9838"/>
  <w16cid:commentId w16cid:paraId="05FED075" w16cid:durableId="1F4B9844"/>
  <w16cid:commentId w16cid:paraId="32B4B17A" w16cid:durableId="1F4B9850"/>
  <w16cid:commentId w16cid:paraId="4556B42E" w16cid:durableId="1F4B98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026E0" w14:textId="77777777" w:rsidR="008C27FF" w:rsidRDefault="008C27FF">
      <w:r>
        <w:separator/>
      </w:r>
    </w:p>
  </w:endnote>
  <w:endnote w:type="continuationSeparator" w:id="0">
    <w:p w14:paraId="0412E92B" w14:textId="77777777" w:rsidR="008C27FF" w:rsidRDefault="008C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25943" w14:textId="77777777" w:rsidR="008C27FF" w:rsidRDefault="008C27FF"/>
  </w:footnote>
  <w:footnote w:type="continuationSeparator" w:id="0">
    <w:p w14:paraId="194DAB96" w14:textId="77777777" w:rsidR="008C27FF" w:rsidRDefault="008C27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AD699" w14:textId="77777777" w:rsidR="00A60FC7" w:rsidRPr="00A60FC7" w:rsidRDefault="00A60FC7" w:rsidP="00A60FC7">
    <w:pPr>
      <w:pStyle w:val="Header"/>
      <w:tabs>
        <w:tab w:val="clear" w:pos="4680"/>
        <w:tab w:val="clear" w:pos="9360"/>
        <w:tab w:val="center" w:pos="5040"/>
        <w:tab w:val="right" w:pos="10080"/>
      </w:tabs>
      <w:rPr>
        <w:rFonts w:ascii="Times New Roman" w:hAnsi="Times New Roman" w:cs="Times New Roman"/>
        <w:sz w:val="22"/>
        <w:szCs w:val="22"/>
      </w:rPr>
    </w:pPr>
    <w:r w:rsidRPr="00A60FC7">
      <w:rPr>
        <w:rFonts w:ascii="Times New Roman" w:hAnsi="Times New Roman" w:cs="Times New Roman"/>
        <w:sz w:val="22"/>
        <w:szCs w:val="22"/>
      </w:rPr>
      <w:t>No. 93</w:t>
    </w:r>
    <w:r w:rsidRPr="00A60FC7">
      <w:rPr>
        <w:rFonts w:ascii="Times New Roman" w:hAnsi="Times New Roman" w:cs="Times New Roman"/>
        <w:sz w:val="22"/>
        <w:szCs w:val="22"/>
      </w:rPr>
      <w:tab/>
    </w:r>
    <w:r w:rsidRPr="00A60FC7">
      <w:rPr>
        <w:rFonts w:ascii="Times New Roman" w:hAnsi="Times New Roman" w:cs="Times New Roman"/>
        <w:i/>
        <w:iCs/>
        <w:color w:val="auto"/>
        <w:sz w:val="22"/>
        <w:szCs w:val="22"/>
      </w:rPr>
      <w:t>Seamen's Compensation</w:t>
    </w:r>
    <w:r w:rsidRPr="00A60FC7">
      <w:rPr>
        <w:rFonts w:ascii="Times New Roman" w:hAnsi="Times New Roman" w:cs="Times New Roman"/>
        <w:i/>
        <w:iCs/>
        <w:color w:val="auto"/>
        <w:sz w:val="22"/>
        <w:szCs w:val="22"/>
      </w:rPr>
      <w:tab/>
    </w:r>
    <w:r w:rsidRPr="00A60FC7">
      <w:rPr>
        <w:rFonts w:ascii="Times New Roman" w:hAnsi="Times New Roman" w:cs="Times New Roman"/>
        <w:iCs/>
        <w:color w:val="auto"/>
        <w:sz w:val="22"/>
        <w:szCs w:val="22"/>
      </w:rPr>
      <w:t>1974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02216" w14:textId="77777777" w:rsidR="00A60FC7" w:rsidRPr="00A60FC7" w:rsidRDefault="00A60FC7" w:rsidP="00A60FC7">
    <w:pPr>
      <w:pStyle w:val="Header"/>
      <w:tabs>
        <w:tab w:val="clear" w:pos="4680"/>
        <w:tab w:val="clear" w:pos="9360"/>
        <w:tab w:val="center" w:pos="5040"/>
        <w:tab w:val="right" w:pos="10080"/>
      </w:tabs>
      <w:rPr>
        <w:rFonts w:ascii="Times New Roman" w:hAnsi="Times New Roman" w:cs="Times New Roman"/>
        <w:sz w:val="22"/>
        <w:szCs w:val="22"/>
      </w:rPr>
    </w:pPr>
    <w:r w:rsidRPr="00A60FC7">
      <w:rPr>
        <w:rFonts w:ascii="Times New Roman" w:hAnsi="Times New Roman" w:cs="Times New Roman"/>
        <w:sz w:val="22"/>
        <w:szCs w:val="22"/>
      </w:rPr>
      <w:t>1974</w:t>
    </w:r>
    <w:r w:rsidRPr="00A60FC7">
      <w:rPr>
        <w:rFonts w:ascii="Times New Roman" w:hAnsi="Times New Roman" w:cs="Times New Roman"/>
        <w:sz w:val="22"/>
        <w:szCs w:val="22"/>
      </w:rPr>
      <w:tab/>
    </w:r>
    <w:r w:rsidRPr="00A60FC7">
      <w:rPr>
        <w:rFonts w:ascii="Times New Roman" w:hAnsi="Times New Roman" w:cs="Times New Roman"/>
        <w:i/>
        <w:iCs/>
        <w:color w:val="auto"/>
        <w:sz w:val="22"/>
        <w:szCs w:val="22"/>
      </w:rPr>
      <w:t>Seamen's Compensation</w:t>
    </w:r>
    <w:r w:rsidRPr="00A60FC7">
      <w:rPr>
        <w:rFonts w:ascii="Times New Roman" w:hAnsi="Times New Roman" w:cs="Times New Roman"/>
        <w:i/>
        <w:iCs/>
        <w:color w:val="auto"/>
        <w:sz w:val="22"/>
        <w:szCs w:val="22"/>
      </w:rPr>
      <w:tab/>
    </w:r>
    <w:r w:rsidRPr="00A60FC7">
      <w:rPr>
        <w:rFonts w:ascii="Times New Roman" w:hAnsi="Times New Roman" w:cs="Times New Roman"/>
        <w:iCs/>
        <w:color w:val="auto"/>
        <w:sz w:val="22"/>
        <w:szCs w:val="22"/>
      </w:rPr>
      <w:t>No. 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248D"/>
    <w:multiLevelType w:val="multilevel"/>
    <w:tmpl w:val="C144D2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C45251"/>
    <w:multiLevelType w:val="multilevel"/>
    <w:tmpl w:val="7BA25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FC6AE2"/>
    <w:multiLevelType w:val="multilevel"/>
    <w:tmpl w:val="AFA27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37350EE"/>
    <w:multiLevelType w:val="multilevel"/>
    <w:tmpl w:val="19BA79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993517C"/>
    <w:multiLevelType w:val="multilevel"/>
    <w:tmpl w:val="AFD63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B255C"/>
    <w:rsid w:val="00075D1E"/>
    <w:rsid w:val="001D0DCA"/>
    <w:rsid w:val="003321E6"/>
    <w:rsid w:val="004B0E68"/>
    <w:rsid w:val="004B255C"/>
    <w:rsid w:val="004C0929"/>
    <w:rsid w:val="005B0FA0"/>
    <w:rsid w:val="00896635"/>
    <w:rsid w:val="008C27FF"/>
    <w:rsid w:val="00A60FC7"/>
    <w:rsid w:val="00A77BCA"/>
    <w:rsid w:val="00B41778"/>
    <w:rsid w:val="00B90913"/>
    <w:rsid w:val="00DE7361"/>
    <w:rsid w:val="00ED7BBA"/>
    <w:rsid w:val="00FC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8"/>
      <w:szCs w:val="28"/>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115pt">
    <w:name w:val="Body text + 11.5 pt"/>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15pt0">
    <w:name w:val="Body text + 11.5 pt"/>
    <w:aliases w:val="Spacing 1 pt"/>
    <w:basedOn w:val="Bodytext"/>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en-US"/>
    </w:rPr>
  </w:style>
  <w:style w:type="character" w:customStyle="1" w:styleId="Bodytext115pt1">
    <w:name w:val="Body text + 11.5 pt"/>
    <w:aliases w:val="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15pt2">
    <w:name w:val="Body text + 11.5 pt"/>
    <w:aliases w:val="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Arial">
    <w:name w:val="Body text + Arial"/>
    <w:aliases w:val="13 pt,Bold"/>
    <w:basedOn w:val="Bodytext"/>
    <w:rPr>
      <w:rFonts w:ascii="Arial" w:eastAsia="Arial" w:hAnsi="Arial" w:cs="Arial"/>
      <w:b/>
      <w:bCs/>
      <w:i w:val="0"/>
      <w:iCs w:val="0"/>
      <w:smallCaps w:val="0"/>
      <w:strike w:val="0"/>
      <w:color w:val="000000"/>
      <w:spacing w:val="0"/>
      <w:w w:val="100"/>
      <w:position w:val="0"/>
      <w:sz w:val="26"/>
      <w:szCs w:val="26"/>
      <w:u w:val="none"/>
      <w:lang w:val="en-US"/>
    </w:rPr>
  </w:style>
  <w:style w:type="character" w:customStyle="1" w:styleId="Bodytext115pt3">
    <w:name w:val="Body text + 11.5 pt"/>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3"/>
      <w:szCs w:val="23"/>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rPr>
  </w:style>
  <w:style w:type="paragraph" w:customStyle="1" w:styleId="Bodytext40">
    <w:name w:val="Body text (4)"/>
    <w:basedOn w:val="Normal"/>
    <w:link w:val="Bodytext4"/>
    <w:pPr>
      <w:spacing w:line="173" w:lineRule="exact"/>
      <w:jc w:val="both"/>
    </w:pPr>
    <w:rPr>
      <w:rFonts w:ascii="Times New Roman" w:eastAsia="Times New Roman" w:hAnsi="Times New Roman" w:cs="Times New Roman"/>
      <w:sz w:val="17"/>
      <w:szCs w:val="17"/>
    </w:rPr>
  </w:style>
  <w:style w:type="paragraph" w:customStyle="1" w:styleId="Heading10">
    <w:name w:val="Heading #1"/>
    <w:basedOn w:val="Normal"/>
    <w:link w:val="Heading1"/>
    <w:pPr>
      <w:spacing w:line="523" w:lineRule="exact"/>
      <w:jc w:val="center"/>
      <w:outlineLvl w:val="0"/>
    </w:pPr>
    <w:rPr>
      <w:rFonts w:ascii="Arial" w:eastAsia="Arial" w:hAnsi="Arial" w:cs="Arial"/>
      <w:b/>
      <w:bCs/>
      <w:sz w:val="28"/>
      <w:szCs w:val="28"/>
    </w:rPr>
  </w:style>
  <w:style w:type="paragraph" w:customStyle="1" w:styleId="BodyText1">
    <w:name w:val="Body Text1"/>
    <w:basedOn w:val="Normal"/>
    <w:link w:val="Bodytext"/>
    <w:pPr>
      <w:spacing w:line="235" w:lineRule="exact"/>
      <w:ind w:hanging="420"/>
    </w:pPr>
    <w:rPr>
      <w:rFonts w:ascii="Times New Roman" w:eastAsia="Times New Roman" w:hAnsi="Times New Roman" w:cs="Times New Roman"/>
      <w:sz w:val="22"/>
      <w:szCs w:val="22"/>
    </w:rPr>
  </w:style>
  <w:style w:type="paragraph" w:customStyle="1" w:styleId="Bodytext30">
    <w:name w:val="Body text (3)"/>
    <w:basedOn w:val="Normal"/>
    <w:link w:val="Bodytext3"/>
    <w:pPr>
      <w:spacing w:line="0" w:lineRule="atLeast"/>
      <w:ind w:hanging="320"/>
      <w:jc w:val="center"/>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A60FC7"/>
    <w:pPr>
      <w:tabs>
        <w:tab w:val="center" w:pos="4680"/>
        <w:tab w:val="right" w:pos="9360"/>
      </w:tabs>
    </w:pPr>
  </w:style>
  <w:style w:type="character" w:customStyle="1" w:styleId="HeaderChar">
    <w:name w:val="Header Char"/>
    <w:basedOn w:val="DefaultParagraphFont"/>
    <w:link w:val="Header"/>
    <w:uiPriority w:val="99"/>
    <w:rsid w:val="00A60FC7"/>
    <w:rPr>
      <w:color w:val="000000"/>
    </w:rPr>
  </w:style>
  <w:style w:type="paragraph" w:styleId="Footer">
    <w:name w:val="footer"/>
    <w:basedOn w:val="Normal"/>
    <w:link w:val="FooterChar"/>
    <w:uiPriority w:val="99"/>
    <w:unhideWhenUsed/>
    <w:rsid w:val="00A60FC7"/>
    <w:pPr>
      <w:tabs>
        <w:tab w:val="center" w:pos="4680"/>
        <w:tab w:val="right" w:pos="9360"/>
      </w:tabs>
    </w:pPr>
  </w:style>
  <w:style w:type="character" w:customStyle="1" w:styleId="FooterChar">
    <w:name w:val="Footer Char"/>
    <w:basedOn w:val="DefaultParagraphFont"/>
    <w:link w:val="Footer"/>
    <w:uiPriority w:val="99"/>
    <w:rsid w:val="00A60FC7"/>
    <w:rPr>
      <w:color w:val="000000"/>
    </w:rPr>
  </w:style>
  <w:style w:type="character" w:styleId="CommentReference">
    <w:name w:val="annotation reference"/>
    <w:basedOn w:val="DefaultParagraphFont"/>
    <w:uiPriority w:val="99"/>
    <w:semiHidden/>
    <w:unhideWhenUsed/>
    <w:rsid w:val="00FC2932"/>
    <w:rPr>
      <w:sz w:val="16"/>
      <w:szCs w:val="16"/>
    </w:rPr>
  </w:style>
  <w:style w:type="paragraph" w:styleId="CommentText">
    <w:name w:val="annotation text"/>
    <w:basedOn w:val="Normal"/>
    <w:link w:val="CommentTextChar"/>
    <w:uiPriority w:val="99"/>
    <w:semiHidden/>
    <w:unhideWhenUsed/>
    <w:rsid w:val="00FC2932"/>
    <w:rPr>
      <w:sz w:val="20"/>
      <w:szCs w:val="20"/>
    </w:rPr>
  </w:style>
  <w:style w:type="character" w:customStyle="1" w:styleId="CommentTextChar">
    <w:name w:val="Comment Text Char"/>
    <w:basedOn w:val="DefaultParagraphFont"/>
    <w:link w:val="CommentText"/>
    <w:uiPriority w:val="99"/>
    <w:semiHidden/>
    <w:rsid w:val="00FC2932"/>
    <w:rPr>
      <w:color w:val="000000"/>
      <w:sz w:val="20"/>
      <w:szCs w:val="20"/>
    </w:rPr>
  </w:style>
  <w:style w:type="paragraph" w:styleId="CommentSubject">
    <w:name w:val="annotation subject"/>
    <w:basedOn w:val="CommentText"/>
    <w:next w:val="CommentText"/>
    <w:link w:val="CommentSubjectChar"/>
    <w:uiPriority w:val="99"/>
    <w:semiHidden/>
    <w:unhideWhenUsed/>
    <w:rsid w:val="00FC2932"/>
    <w:rPr>
      <w:b/>
      <w:bCs/>
    </w:rPr>
  </w:style>
  <w:style w:type="character" w:customStyle="1" w:styleId="CommentSubjectChar">
    <w:name w:val="Comment Subject Char"/>
    <w:basedOn w:val="CommentTextChar"/>
    <w:link w:val="CommentSubject"/>
    <w:uiPriority w:val="99"/>
    <w:semiHidden/>
    <w:rsid w:val="00FC2932"/>
    <w:rPr>
      <w:b/>
      <w:bCs/>
      <w:color w:val="000000"/>
      <w:sz w:val="20"/>
      <w:szCs w:val="20"/>
    </w:rPr>
  </w:style>
  <w:style w:type="paragraph" w:styleId="BalloonText">
    <w:name w:val="Balloon Text"/>
    <w:basedOn w:val="Normal"/>
    <w:link w:val="BalloonTextChar"/>
    <w:uiPriority w:val="99"/>
    <w:semiHidden/>
    <w:unhideWhenUsed/>
    <w:rsid w:val="00FC29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932"/>
    <w:rPr>
      <w:rFonts w:ascii="Segoe UI" w:hAnsi="Segoe UI" w:cs="Segoe UI"/>
      <w:color w:val="000000"/>
      <w:sz w:val="18"/>
      <w:szCs w:val="18"/>
    </w:rPr>
  </w:style>
  <w:style w:type="paragraph" w:styleId="Revision">
    <w:name w:val="Revision"/>
    <w:hidden/>
    <w:uiPriority w:val="99"/>
    <w:semiHidden/>
    <w:rsid w:val="004B0E68"/>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2018-09-18T05:30:00Z</dcterms:created>
  <dcterms:modified xsi:type="dcterms:W3CDTF">2019-06-24T23:42:00Z</dcterms:modified>
</cp:coreProperties>
</file>