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63361" w14:textId="77777777" w:rsidR="0097719A" w:rsidRPr="00BC3C64" w:rsidRDefault="00B57F6D" w:rsidP="003D377E">
      <w:pPr>
        <w:pStyle w:val="Bodytext20"/>
        <w:spacing w:after="60" w:line="240" w:lineRule="auto"/>
        <w:rPr>
          <w:rFonts w:ascii="Times New Roman" w:hAnsi="Times New Roman" w:cs="Times New Roman"/>
          <w:sz w:val="32"/>
          <w:szCs w:val="32"/>
        </w:rPr>
      </w:pPr>
      <w:bookmarkStart w:id="0" w:name="_GoBack"/>
      <w:bookmarkEnd w:id="0"/>
      <w:r w:rsidRPr="00BC3C64">
        <w:rPr>
          <w:rFonts w:ascii="Times New Roman" w:hAnsi="Times New Roman" w:cs="Times New Roman"/>
          <w:sz w:val="32"/>
          <w:szCs w:val="32"/>
        </w:rPr>
        <w:t>AUSTRALIAN TOURIST COMMISSION ACT</w:t>
      </w:r>
    </w:p>
    <w:p w14:paraId="30ADF864" w14:textId="77777777" w:rsidR="00BC3C64" w:rsidRPr="003D377E" w:rsidRDefault="00B57F6D" w:rsidP="003D377E">
      <w:pPr>
        <w:pStyle w:val="Bodytext30"/>
        <w:spacing w:after="240" w:line="240" w:lineRule="auto"/>
        <w:rPr>
          <w:rFonts w:ascii="Times New Roman" w:hAnsi="Times New Roman" w:cs="Times New Roman"/>
          <w:spacing w:val="0"/>
          <w:sz w:val="32"/>
          <w:szCs w:val="32"/>
        </w:rPr>
      </w:pPr>
      <w:r w:rsidRPr="00BC3C64">
        <w:rPr>
          <w:rFonts w:ascii="Times New Roman" w:hAnsi="Times New Roman" w:cs="Times New Roman"/>
          <w:spacing w:val="0"/>
          <w:sz w:val="32"/>
          <w:szCs w:val="32"/>
        </w:rPr>
        <w:t>1974</w:t>
      </w:r>
    </w:p>
    <w:p w14:paraId="1D1EDA3D" w14:textId="77777777" w:rsidR="0097719A" w:rsidRPr="00BC3C64" w:rsidRDefault="00B57F6D" w:rsidP="00486F18">
      <w:pPr>
        <w:pStyle w:val="Bodytext30"/>
        <w:spacing w:line="240" w:lineRule="auto"/>
        <w:rPr>
          <w:rFonts w:ascii="Times New Roman" w:hAnsi="Times New Roman" w:cs="Times New Roman"/>
          <w:spacing w:val="0"/>
          <w:sz w:val="28"/>
          <w:szCs w:val="28"/>
        </w:rPr>
      </w:pPr>
      <w:bookmarkStart w:id="1" w:name="bookmark0"/>
      <w:r w:rsidRPr="00BC3C64">
        <w:rPr>
          <w:rFonts w:ascii="Times New Roman" w:hAnsi="Times New Roman" w:cs="Times New Roman"/>
          <w:spacing w:val="0"/>
          <w:sz w:val="28"/>
          <w:szCs w:val="28"/>
        </w:rPr>
        <w:t>No. 82 of 1974</w:t>
      </w:r>
      <w:bookmarkEnd w:id="1"/>
    </w:p>
    <w:p w14:paraId="7CDE44B7" w14:textId="77777777" w:rsidR="00BC3C64" w:rsidRPr="00BC3C64" w:rsidRDefault="00BC3C64" w:rsidP="00486F18">
      <w:pPr>
        <w:pStyle w:val="Bodytext30"/>
        <w:spacing w:line="240" w:lineRule="auto"/>
        <w:rPr>
          <w:rFonts w:ascii="Times New Roman" w:hAnsi="Times New Roman" w:cs="Times New Roman"/>
          <w:spacing w:val="0"/>
          <w:sz w:val="24"/>
          <w:szCs w:val="24"/>
        </w:rPr>
      </w:pPr>
    </w:p>
    <w:p w14:paraId="75FF2480" w14:textId="77777777" w:rsidR="0097719A" w:rsidRDefault="00B57F6D" w:rsidP="00486F18">
      <w:pPr>
        <w:pStyle w:val="Bodytext40"/>
        <w:spacing w:line="240" w:lineRule="auto"/>
        <w:jc w:val="left"/>
        <w:rPr>
          <w:rStyle w:val="Bodytext4NotItalic"/>
          <w:sz w:val="24"/>
          <w:szCs w:val="24"/>
        </w:rPr>
      </w:pPr>
      <w:r w:rsidRPr="00BC3C64">
        <w:rPr>
          <w:rStyle w:val="Bodytext4NotItalic"/>
          <w:sz w:val="24"/>
          <w:szCs w:val="24"/>
        </w:rPr>
        <w:t xml:space="preserve">An Act to amend </w:t>
      </w:r>
      <w:r w:rsidRPr="00B6473C">
        <w:rPr>
          <w:i w:val="0"/>
          <w:sz w:val="24"/>
          <w:szCs w:val="24"/>
        </w:rPr>
        <w:t>the</w:t>
      </w:r>
      <w:r w:rsidRPr="00BC3C64">
        <w:rPr>
          <w:sz w:val="24"/>
          <w:szCs w:val="24"/>
        </w:rPr>
        <w:t xml:space="preserve"> Australian Tourist Commission Act</w:t>
      </w:r>
      <w:r w:rsidRPr="00BC3C64">
        <w:rPr>
          <w:rStyle w:val="Bodytext4NotItalic"/>
          <w:sz w:val="24"/>
          <w:szCs w:val="24"/>
        </w:rPr>
        <w:t xml:space="preserve"> 1967-1973.</w:t>
      </w:r>
    </w:p>
    <w:p w14:paraId="582844CD" w14:textId="77777777" w:rsidR="00BC3C64" w:rsidRPr="00BC3C64" w:rsidRDefault="00BC3C64" w:rsidP="00486F18">
      <w:pPr>
        <w:pStyle w:val="Bodytext40"/>
        <w:spacing w:line="240" w:lineRule="auto"/>
        <w:jc w:val="left"/>
        <w:rPr>
          <w:sz w:val="24"/>
          <w:szCs w:val="24"/>
        </w:rPr>
      </w:pPr>
    </w:p>
    <w:p w14:paraId="1BE44185" w14:textId="77777777" w:rsidR="0097719A" w:rsidRPr="00BC3C64" w:rsidRDefault="00B57F6D" w:rsidP="00486F18">
      <w:pPr>
        <w:pStyle w:val="BodyText1"/>
        <w:spacing w:line="240" w:lineRule="auto"/>
        <w:ind w:firstLine="270"/>
        <w:jc w:val="left"/>
        <w:rPr>
          <w:sz w:val="24"/>
          <w:szCs w:val="24"/>
        </w:rPr>
      </w:pPr>
      <w:r w:rsidRPr="00BC3C64">
        <w:rPr>
          <w:sz w:val="24"/>
          <w:szCs w:val="24"/>
        </w:rPr>
        <w:t>BE IT ENACTED by the Queen, the Senate and the House of Representatives of Australia, as follows:—</w:t>
      </w:r>
    </w:p>
    <w:p w14:paraId="1EB24503" w14:textId="77777777" w:rsidR="0097719A" w:rsidRPr="00BC3C64" w:rsidRDefault="00B57F6D" w:rsidP="00486F18">
      <w:pPr>
        <w:pStyle w:val="Bodytext51"/>
        <w:spacing w:before="120" w:after="60" w:line="240" w:lineRule="auto"/>
        <w:jc w:val="left"/>
        <w:rPr>
          <w:b/>
          <w:sz w:val="20"/>
          <w:szCs w:val="24"/>
        </w:rPr>
      </w:pPr>
      <w:r w:rsidRPr="00BC3C64">
        <w:rPr>
          <w:rStyle w:val="Bodytext5"/>
          <w:b/>
          <w:sz w:val="20"/>
          <w:szCs w:val="24"/>
        </w:rPr>
        <w:t>Short title and citation.</w:t>
      </w:r>
    </w:p>
    <w:p w14:paraId="380E58AF" w14:textId="05B77EAC" w:rsidR="0097719A" w:rsidRPr="00BC3C64" w:rsidRDefault="00BC3C64" w:rsidP="00486F18">
      <w:pPr>
        <w:pStyle w:val="BodyText1"/>
        <w:spacing w:after="60" w:line="240" w:lineRule="auto"/>
        <w:ind w:firstLine="270"/>
        <w:jc w:val="left"/>
        <w:rPr>
          <w:sz w:val="24"/>
          <w:szCs w:val="24"/>
        </w:rPr>
      </w:pPr>
      <w:r w:rsidRPr="00BC3C64">
        <w:rPr>
          <w:b/>
          <w:sz w:val="24"/>
          <w:szCs w:val="24"/>
        </w:rPr>
        <w:t>1.</w:t>
      </w:r>
      <w:r>
        <w:rPr>
          <w:sz w:val="24"/>
          <w:szCs w:val="24"/>
        </w:rPr>
        <w:t xml:space="preserve"> (1) </w:t>
      </w:r>
      <w:r w:rsidR="00B57F6D" w:rsidRPr="00BC3C64">
        <w:rPr>
          <w:sz w:val="24"/>
          <w:szCs w:val="24"/>
        </w:rPr>
        <w:t xml:space="preserve">This Act may be cited as the </w:t>
      </w:r>
      <w:r w:rsidR="00B57F6D" w:rsidRPr="00BC3C64">
        <w:rPr>
          <w:rStyle w:val="BodytextItalic"/>
          <w:sz w:val="24"/>
          <w:szCs w:val="24"/>
        </w:rPr>
        <w:t>Australian Tourist Commission Act</w:t>
      </w:r>
      <w:r w:rsidR="00B57F6D" w:rsidRPr="00BC3C64">
        <w:rPr>
          <w:sz w:val="24"/>
          <w:szCs w:val="24"/>
        </w:rPr>
        <w:t xml:space="preserve"> 1974.</w:t>
      </w:r>
    </w:p>
    <w:p w14:paraId="196D0E30" w14:textId="589C7814" w:rsidR="0097719A" w:rsidRPr="00BC3C64" w:rsidRDefault="00BC3C64" w:rsidP="00486F18">
      <w:pPr>
        <w:pStyle w:val="BodyText1"/>
        <w:spacing w:after="60" w:line="240" w:lineRule="auto"/>
        <w:ind w:firstLine="270"/>
        <w:jc w:val="left"/>
        <w:rPr>
          <w:sz w:val="24"/>
          <w:szCs w:val="24"/>
        </w:rPr>
      </w:pPr>
      <w:r>
        <w:rPr>
          <w:sz w:val="24"/>
          <w:szCs w:val="24"/>
        </w:rPr>
        <w:t xml:space="preserve">(2) </w:t>
      </w:r>
      <w:r w:rsidR="00B57F6D" w:rsidRPr="00BC3C64">
        <w:rPr>
          <w:sz w:val="24"/>
          <w:szCs w:val="24"/>
        </w:rPr>
        <w:t xml:space="preserve">The </w:t>
      </w:r>
      <w:r w:rsidR="00B57F6D" w:rsidRPr="00BC3C64">
        <w:rPr>
          <w:rStyle w:val="BodytextItalic"/>
          <w:sz w:val="24"/>
          <w:szCs w:val="24"/>
        </w:rPr>
        <w:t>Australian Tourist Commission Act</w:t>
      </w:r>
      <w:r w:rsidR="00B57F6D" w:rsidRPr="00BC3C64">
        <w:rPr>
          <w:sz w:val="24"/>
          <w:szCs w:val="24"/>
        </w:rPr>
        <w:t xml:space="preserve"> 1</w:t>
      </w:r>
      <w:r w:rsidR="00B6473C">
        <w:rPr>
          <w:sz w:val="24"/>
          <w:szCs w:val="24"/>
        </w:rPr>
        <w:t>96</w:t>
      </w:r>
      <w:r w:rsidR="00B57F6D" w:rsidRPr="00BC3C64">
        <w:rPr>
          <w:sz w:val="24"/>
          <w:szCs w:val="24"/>
        </w:rPr>
        <w:t>7-1973 is in this Act referred to as the Principal Act.</w:t>
      </w:r>
    </w:p>
    <w:p w14:paraId="07C60E66" w14:textId="77777777" w:rsidR="0097719A" w:rsidRPr="00BC3C64" w:rsidRDefault="00BC3C64" w:rsidP="00486F18">
      <w:pPr>
        <w:pStyle w:val="BodyText1"/>
        <w:spacing w:after="60" w:line="240" w:lineRule="auto"/>
        <w:ind w:firstLine="270"/>
        <w:jc w:val="left"/>
        <w:rPr>
          <w:sz w:val="24"/>
          <w:szCs w:val="24"/>
        </w:rPr>
      </w:pPr>
      <w:r>
        <w:rPr>
          <w:sz w:val="24"/>
          <w:szCs w:val="24"/>
        </w:rPr>
        <w:t xml:space="preserve">(3) </w:t>
      </w:r>
      <w:r w:rsidR="00B57F6D" w:rsidRPr="00BC3C64">
        <w:rPr>
          <w:sz w:val="24"/>
          <w:szCs w:val="24"/>
        </w:rPr>
        <w:t xml:space="preserve">The Principal Act, as amended by this Act, may be cited as the </w:t>
      </w:r>
      <w:r w:rsidR="00B57F6D" w:rsidRPr="00BC3C64">
        <w:rPr>
          <w:rStyle w:val="BodytextItalic"/>
          <w:sz w:val="24"/>
          <w:szCs w:val="24"/>
        </w:rPr>
        <w:t>Australian Tourist Commission Act</w:t>
      </w:r>
      <w:r w:rsidR="00B57F6D" w:rsidRPr="00BC3C64">
        <w:rPr>
          <w:sz w:val="24"/>
          <w:szCs w:val="24"/>
        </w:rPr>
        <w:t xml:space="preserve"> 1967-1974.</w:t>
      </w:r>
    </w:p>
    <w:p w14:paraId="5423130E" w14:textId="77777777" w:rsidR="00BC3C64" w:rsidRPr="00BC3C64" w:rsidRDefault="00BC3C64" w:rsidP="00486F18">
      <w:pPr>
        <w:pStyle w:val="Bodytext51"/>
        <w:spacing w:before="120" w:after="60" w:line="240" w:lineRule="auto"/>
        <w:jc w:val="left"/>
        <w:rPr>
          <w:b/>
          <w:sz w:val="20"/>
          <w:szCs w:val="24"/>
        </w:rPr>
      </w:pPr>
      <w:r w:rsidRPr="00BC3C64">
        <w:rPr>
          <w:b/>
          <w:sz w:val="20"/>
        </w:rPr>
        <w:t>Commencement.</w:t>
      </w:r>
    </w:p>
    <w:p w14:paraId="609EDC2C" w14:textId="6B833312" w:rsidR="0097719A" w:rsidRPr="00BC3C64" w:rsidRDefault="00BC3C64" w:rsidP="00486F18">
      <w:pPr>
        <w:pStyle w:val="BodyText1"/>
        <w:tabs>
          <w:tab w:val="left" w:pos="630"/>
        </w:tabs>
        <w:spacing w:after="60" w:line="240" w:lineRule="auto"/>
        <w:ind w:firstLine="270"/>
        <w:jc w:val="left"/>
        <w:rPr>
          <w:sz w:val="24"/>
          <w:szCs w:val="24"/>
        </w:rPr>
      </w:pPr>
      <w:r w:rsidRPr="00BC3C64">
        <w:rPr>
          <w:b/>
          <w:sz w:val="24"/>
          <w:szCs w:val="24"/>
        </w:rPr>
        <w:t>2.</w:t>
      </w:r>
      <w:r w:rsidR="00486F18">
        <w:rPr>
          <w:b/>
          <w:sz w:val="24"/>
          <w:szCs w:val="24"/>
        </w:rPr>
        <w:tab/>
      </w:r>
      <w:r w:rsidR="00B57F6D" w:rsidRPr="00BC3C64">
        <w:rPr>
          <w:sz w:val="24"/>
          <w:szCs w:val="24"/>
        </w:rPr>
        <w:t>This Act shall come into operation on the day on which it receives the Royal Assent.</w:t>
      </w:r>
    </w:p>
    <w:p w14:paraId="497166E4" w14:textId="77777777" w:rsidR="00BC3C64" w:rsidRPr="00BC3C64" w:rsidRDefault="00BC3C64" w:rsidP="00486F18">
      <w:pPr>
        <w:pStyle w:val="Bodytext51"/>
        <w:spacing w:before="120" w:after="60" w:line="240" w:lineRule="auto"/>
        <w:jc w:val="left"/>
        <w:rPr>
          <w:b/>
          <w:sz w:val="20"/>
        </w:rPr>
      </w:pPr>
      <w:r w:rsidRPr="00BC3C64">
        <w:rPr>
          <w:b/>
          <w:sz w:val="20"/>
        </w:rPr>
        <w:t>Title.</w:t>
      </w:r>
    </w:p>
    <w:p w14:paraId="1E8509AE" w14:textId="234B2849" w:rsidR="0097719A" w:rsidRPr="00BC3C64" w:rsidRDefault="00BC3C64" w:rsidP="00486F18">
      <w:pPr>
        <w:pStyle w:val="BodyText1"/>
        <w:tabs>
          <w:tab w:val="left" w:pos="630"/>
        </w:tabs>
        <w:spacing w:after="60" w:line="240" w:lineRule="auto"/>
        <w:ind w:firstLine="270"/>
        <w:jc w:val="left"/>
        <w:rPr>
          <w:sz w:val="24"/>
          <w:szCs w:val="24"/>
        </w:rPr>
      </w:pPr>
      <w:r w:rsidRPr="00BC3C64">
        <w:rPr>
          <w:b/>
          <w:sz w:val="24"/>
          <w:szCs w:val="24"/>
        </w:rPr>
        <w:t>3.</w:t>
      </w:r>
      <w:r>
        <w:rPr>
          <w:b/>
          <w:sz w:val="24"/>
          <w:szCs w:val="24"/>
        </w:rPr>
        <w:tab/>
      </w:r>
      <w:r w:rsidR="00B57F6D" w:rsidRPr="00BC3C64">
        <w:rPr>
          <w:sz w:val="24"/>
          <w:szCs w:val="24"/>
        </w:rPr>
        <w:t>The title of the Principal Act is amended by omitting the words “, and travel in Australia, by People from other Countries” and substituting the words “by People from other Countries and of travel in Australia”.</w:t>
      </w:r>
    </w:p>
    <w:p w14:paraId="70D10B4F" w14:textId="77777777" w:rsidR="00BC3C64" w:rsidRPr="00486F18" w:rsidRDefault="00BC3C64" w:rsidP="00486F18">
      <w:pPr>
        <w:pStyle w:val="Bodytext51"/>
        <w:spacing w:before="120" w:after="60" w:line="240" w:lineRule="auto"/>
        <w:jc w:val="left"/>
        <w:rPr>
          <w:b/>
          <w:sz w:val="24"/>
          <w:szCs w:val="24"/>
        </w:rPr>
      </w:pPr>
      <w:r w:rsidRPr="00486F18">
        <w:rPr>
          <w:b/>
          <w:sz w:val="20"/>
        </w:rPr>
        <w:t>Definitions</w:t>
      </w:r>
      <w:r w:rsidRPr="00486F18">
        <w:rPr>
          <w:rStyle w:val="Bodytext5"/>
          <w:b/>
          <w:sz w:val="24"/>
          <w:szCs w:val="24"/>
        </w:rPr>
        <w:t>.</w:t>
      </w:r>
    </w:p>
    <w:p w14:paraId="1EABD142" w14:textId="15553DD5" w:rsidR="0097719A" w:rsidRPr="00BC3C64" w:rsidRDefault="00BC3C64" w:rsidP="00486F18">
      <w:pPr>
        <w:pStyle w:val="BodyText1"/>
        <w:tabs>
          <w:tab w:val="left" w:pos="630"/>
        </w:tabs>
        <w:spacing w:after="60" w:line="240" w:lineRule="auto"/>
        <w:ind w:firstLine="270"/>
        <w:jc w:val="left"/>
        <w:rPr>
          <w:sz w:val="24"/>
          <w:szCs w:val="24"/>
        </w:rPr>
      </w:pPr>
      <w:r w:rsidRPr="00BC3C64">
        <w:rPr>
          <w:b/>
          <w:sz w:val="24"/>
          <w:szCs w:val="24"/>
        </w:rPr>
        <w:t>4.</w:t>
      </w:r>
      <w:r>
        <w:rPr>
          <w:b/>
          <w:sz w:val="24"/>
          <w:szCs w:val="24"/>
        </w:rPr>
        <w:tab/>
      </w:r>
      <w:r w:rsidR="00B57F6D" w:rsidRPr="00BC3C64">
        <w:rPr>
          <w:sz w:val="24"/>
          <w:szCs w:val="24"/>
        </w:rPr>
        <w:t>Section 4 of the Principal Act is amended by omitting the definition of “voting member”.</w:t>
      </w:r>
    </w:p>
    <w:p w14:paraId="408798AF" w14:textId="77777777" w:rsidR="00486F18" w:rsidRPr="00486F18" w:rsidRDefault="00486F18" w:rsidP="00486F18">
      <w:pPr>
        <w:pStyle w:val="Bodytext51"/>
        <w:spacing w:before="120" w:after="60" w:line="240" w:lineRule="auto"/>
        <w:jc w:val="left"/>
        <w:rPr>
          <w:b/>
          <w:sz w:val="20"/>
        </w:rPr>
      </w:pPr>
      <w:r w:rsidRPr="00486F18">
        <w:rPr>
          <w:b/>
          <w:sz w:val="20"/>
        </w:rPr>
        <w:t>Constitution of the Commission.</w:t>
      </w:r>
    </w:p>
    <w:p w14:paraId="2CF944E5" w14:textId="77777777" w:rsidR="0097719A" w:rsidRPr="00BC3C64" w:rsidRDefault="00486F18" w:rsidP="00486F18">
      <w:pPr>
        <w:pStyle w:val="BodyText1"/>
        <w:tabs>
          <w:tab w:val="left" w:pos="630"/>
        </w:tabs>
        <w:spacing w:after="60" w:line="240" w:lineRule="auto"/>
        <w:ind w:firstLine="270"/>
        <w:jc w:val="left"/>
        <w:rPr>
          <w:sz w:val="24"/>
          <w:szCs w:val="24"/>
        </w:rPr>
      </w:pPr>
      <w:r w:rsidRPr="00486F18">
        <w:rPr>
          <w:b/>
          <w:sz w:val="24"/>
          <w:szCs w:val="24"/>
        </w:rPr>
        <w:t>5.</w:t>
      </w:r>
      <w:r>
        <w:rPr>
          <w:b/>
          <w:sz w:val="24"/>
          <w:szCs w:val="24"/>
        </w:rPr>
        <w:tab/>
      </w:r>
      <w:r w:rsidR="00B57F6D" w:rsidRPr="00BC3C64">
        <w:rPr>
          <w:sz w:val="24"/>
          <w:szCs w:val="24"/>
        </w:rPr>
        <w:t>Section 6 of the Principal Act is amended—</w:t>
      </w:r>
    </w:p>
    <w:p w14:paraId="71D4DE6E" w14:textId="1355DFD8" w:rsidR="0097719A" w:rsidRPr="00BC3C64" w:rsidRDefault="00486F18" w:rsidP="00657F0D">
      <w:pPr>
        <w:pStyle w:val="BodyText1"/>
        <w:spacing w:after="60" w:line="240" w:lineRule="auto"/>
        <w:ind w:firstLine="360"/>
        <w:jc w:val="left"/>
        <w:rPr>
          <w:sz w:val="24"/>
          <w:szCs w:val="24"/>
        </w:rPr>
      </w:pPr>
      <w:r>
        <w:rPr>
          <w:sz w:val="24"/>
          <w:szCs w:val="24"/>
        </w:rPr>
        <w:t xml:space="preserve">(a) </w:t>
      </w:r>
      <w:r w:rsidR="00B57F6D" w:rsidRPr="00BC3C64">
        <w:rPr>
          <w:sz w:val="24"/>
          <w:szCs w:val="24"/>
        </w:rPr>
        <w:t>by omitting sub-section (1) and substituting the following sub</w:t>
      </w:r>
      <w:r w:rsidR="00B6473C">
        <w:rPr>
          <w:sz w:val="24"/>
          <w:szCs w:val="24"/>
        </w:rPr>
        <w:t>-</w:t>
      </w:r>
      <w:r w:rsidR="00B57F6D" w:rsidRPr="00BC3C64">
        <w:rPr>
          <w:sz w:val="24"/>
          <w:szCs w:val="24"/>
        </w:rPr>
        <w:t>section:—</w:t>
      </w:r>
    </w:p>
    <w:p w14:paraId="0E66089E" w14:textId="77777777" w:rsidR="0097719A" w:rsidRPr="00BC3C64" w:rsidRDefault="00B57F6D" w:rsidP="00486F18">
      <w:pPr>
        <w:pStyle w:val="BodyText1"/>
        <w:spacing w:line="240" w:lineRule="auto"/>
        <w:ind w:firstLine="810"/>
        <w:jc w:val="left"/>
        <w:rPr>
          <w:sz w:val="24"/>
          <w:szCs w:val="24"/>
        </w:rPr>
      </w:pPr>
      <w:r w:rsidRPr="00BC3C64">
        <w:rPr>
          <w:sz w:val="24"/>
          <w:szCs w:val="24"/>
        </w:rPr>
        <w:t>“ (1) The Commission shall consist of nine members. ’</w:t>
      </w:r>
    </w:p>
    <w:p w14:paraId="7B65432D" w14:textId="77777777" w:rsidR="0097719A" w:rsidRPr="00BC3C64" w:rsidRDefault="00486F18" w:rsidP="00657F0D">
      <w:pPr>
        <w:pStyle w:val="BodyText1"/>
        <w:spacing w:after="60" w:line="240" w:lineRule="auto"/>
        <w:ind w:firstLine="360"/>
        <w:jc w:val="left"/>
        <w:rPr>
          <w:sz w:val="24"/>
          <w:szCs w:val="24"/>
        </w:rPr>
      </w:pPr>
      <w:r>
        <w:rPr>
          <w:sz w:val="24"/>
          <w:szCs w:val="24"/>
        </w:rPr>
        <w:t xml:space="preserve">(b) </w:t>
      </w:r>
      <w:r w:rsidR="00B57F6D" w:rsidRPr="00BC3C64">
        <w:rPr>
          <w:sz w:val="24"/>
          <w:szCs w:val="24"/>
        </w:rPr>
        <w:t>by omitting from sub-section (3) the words “of the voting”;</w:t>
      </w:r>
    </w:p>
    <w:p w14:paraId="76CF14DF" w14:textId="495DF60F" w:rsidR="0097719A" w:rsidRPr="00BC3C64" w:rsidRDefault="00486F18" w:rsidP="00657F0D">
      <w:pPr>
        <w:pStyle w:val="BodyText1"/>
        <w:spacing w:after="60" w:line="240" w:lineRule="auto"/>
        <w:ind w:firstLine="360"/>
        <w:jc w:val="left"/>
        <w:rPr>
          <w:sz w:val="24"/>
          <w:szCs w:val="24"/>
        </w:rPr>
      </w:pPr>
      <w:r>
        <w:rPr>
          <w:sz w:val="24"/>
          <w:szCs w:val="24"/>
        </w:rPr>
        <w:t xml:space="preserve">(c) </w:t>
      </w:r>
      <w:r w:rsidR="00B57F6D" w:rsidRPr="00BC3C64">
        <w:rPr>
          <w:sz w:val="24"/>
          <w:szCs w:val="24"/>
        </w:rPr>
        <w:t>by omitting sub-sections (4) and (5) and substituting the following sub-sections: —</w:t>
      </w:r>
    </w:p>
    <w:p w14:paraId="0160B536" w14:textId="77777777" w:rsidR="0097719A" w:rsidRPr="00BC3C64" w:rsidRDefault="00B57F6D" w:rsidP="00486F18">
      <w:pPr>
        <w:pStyle w:val="BodyText1"/>
        <w:spacing w:line="240" w:lineRule="auto"/>
        <w:ind w:firstLine="810"/>
        <w:jc w:val="left"/>
        <w:rPr>
          <w:sz w:val="24"/>
          <w:szCs w:val="24"/>
        </w:rPr>
      </w:pPr>
      <w:r w:rsidRPr="00BC3C64">
        <w:rPr>
          <w:sz w:val="24"/>
          <w:szCs w:val="24"/>
        </w:rPr>
        <w:t>“(4) Two members shall be persons nominated by the Governments of all the States.</w:t>
      </w:r>
    </w:p>
    <w:p w14:paraId="76149861" w14:textId="77777777" w:rsidR="0097719A" w:rsidRPr="00BC3C64" w:rsidRDefault="00B57F6D" w:rsidP="00657F0D">
      <w:pPr>
        <w:pStyle w:val="BodyText1"/>
        <w:spacing w:line="240" w:lineRule="auto"/>
        <w:ind w:left="720" w:firstLine="90"/>
        <w:jc w:val="left"/>
        <w:rPr>
          <w:sz w:val="24"/>
          <w:szCs w:val="24"/>
        </w:rPr>
      </w:pPr>
      <w:r w:rsidRPr="00BC3C64">
        <w:rPr>
          <w:sz w:val="24"/>
          <w:szCs w:val="24"/>
        </w:rPr>
        <w:t>“(5) Of the remaining five members, at least one shall be an officer of the Australian Public Service. and</w:t>
      </w:r>
    </w:p>
    <w:p w14:paraId="0F26B130" w14:textId="77777777" w:rsidR="00486F18" w:rsidRDefault="00486F18" w:rsidP="00657F0D">
      <w:pPr>
        <w:pStyle w:val="BodyText1"/>
        <w:spacing w:after="60" w:line="240" w:lineRule="auto"/>
        <w:ind w:left="720" w:hanging="360"/>
        <w:jc w:val="left"/>
        <w:rPr>
          <w:sz w:val="24"/>
          <w:szCs w:val="24"/>
        </w:rPr>
      </w:pPr>
      <w:r>
        <w:rPr>
          <w:sz w:val="24"/>
          <w:szCs w:val="24"/>
        </w:rPr>
        <w:t>(d) b</w:t>
      </w:r>
      <w:r w:rsidR="00B57F6D" w:rsidRPr="00BC3C64">
        <w:rPr>
          <w:sz w:val="24"/>
          <w:szCs w:val="24"/>
        </w:rPr>
        <w:t>y omitting from sub-sections (8) and (9) the words “Public Service of the Commonwealth” and substituting the words “Australian Public Service ”</w:t>
      </w:r>
    </w:p>
    <w:p w14:paraId="686CC567" w14:textId="77777777" w:rsidR="00AD56D2" w:rsidRPr="00AD56D2" w:rsidRDefault="00AD56D2" w:rsidP="00AD56D2">
      <w:pPr>
        <w:pStyle w:val="Bodytext51"/>
        <w:spacing w:before="120" w:after="60" w:line="240" w:lineRule="auto"/>
        <w:jc w:val="left"/>
        <w:rPr>
          <w:b/>
          <w:sz w:val="20"/>
        </w:rPr>
      </w:pPr>
      <w:r w:rsidRPr="00AD56D2">
        <w:rPr>
          <w:b/>
          <w:sz w:val="20"/>
        </w:rPr>
        <w:t>Chairman</w:t>
      </w:r>
    </w:p>
    <w:p w14:paraId="2FDE01F8" w14:textId="57DE0F03" w:rsidR="0097719A" w:rsidRPr="00BC3C64" w:rsidRDefault="000F5D87" w:rsidP="000F5D87">
      <w:pPr>
        <w:pStyle w:val="BodyText1"/>
        <w:tabs>
          <w:tab w:val="left" w:pos="630"/>
        </w:tabs>
        <w:spacing w:after="60" w:line="240" w:lineRule="auto"/>
        <w:ind w:firstLine="270"/>
        <w:jc w:val="left"/>
        <w:rPr>
          <w:sz w:val="24"/>
          <w:szCs w:val="24"/>
        </w:rPr>
      </w:pPr>
      <w:r w:rsidRPr="000F5D87">
        <w:rPr>
          <w:b/>
          <w:sz w:val="24"/>
          <w:szCs w:val="24"/>
        </w:rPr>
        <w:t>6.</w:t>
      </w:r>
      <w:r w:rsidR="00AD56D2">
        <w:rPr>
          <w:b/>
          <w:sz w:val="24"/>
          <w:szCs w:val="24"/>
        </w:rPr>
        <w:tab/>
      </w:r>
      <w:r w:rsidR="00B57F6D" w:rsidRPr="00BC3C64">
        <w:rPr>
          <w:sz w:val="24"/>
          <w:szCs w:val="24"/>
        </w:rPr>
        <w:t>Section 7 of the Principal Act is amended by omitting from s</w:t>
      </w:r>
      <w:r w:rsidR="00B6473C">
        <w:rPr>
          <w:sz w:val="24"/>
          <w:szCs w:val="24"/>
        </w:rPr>
        <w:t>ub-</w:t>
      </w:r>
      <w:r w:rsidR="00B57F6D" w:rsidRPr="00BC3C64">
        <w:rPr>
          <w:sz w:val="24"/>
          <w:szCs w:val="24"/>
        </w:rPr>
        <w:t>section (1) the word “voting”.</w:t>
      </w:r>
    </w:p>
    <w:p w14:paraId="72FE631A" w14:textId="77777777" w:rsidR="00AD56D2" w:rsidRPr="00AD56D2" w:rsidRDefault="00AD56D2" w:rsidP="00AD56D2">
      <w:pPr>
        <w:pStyle w:val="Bodytext51"/>
        <w:spacing w:before="120" w:after="60" w:line="240" w:lineRule="auto"/>
        <w:jc w:val="left"/>
        <w:rPr>
          <w:b/>
          <w:sz w:val="20"/>
        </w:rPr>
      </w:pPr>
      <w:r w:rsidRPr="00AD56D2">
        <w:rPr>
          <w:b/>
          <w:sz w:val="20"/>
        </w:rPr>
        <w:t>Deputy Chairman.</w:t>
      </w:r>
    </w:p>
    <w:p w14:paraId="242CDEBF" w14:textId="77777777" w:rsidR="00AD56D2" w:rsidRDefault="00AD56D2" w:rsidP="00AD56D2">
      <w:pPr>
        <w:pStyle w:val="BodyText1"/>
        <w:tabs>
          <w:tab w:val="left" w:pos="630"/>
        </w:tabs>
        <w:spacing w:after="60" w:line="240" w:lineRule="auto"/>
        <w:ind w:firstLine="270"/>
        <w:jc w:val="left"/>
        <w:rPr>
          <w:sz w:val="24"/>
          <w:szCs w:val="24"/>
        </w:rPr>
      </w:pPr>
      <w:r w:rsidRPr="00AD56D2">
        <w:rPr>
          <w:b/>
          <w:sz w:val="24"/>
          <w:szCs w:val="24"/>
        </w:rPr>
        <w:t>7.</w:t>
      </w:r>
      <w:r>
        <w:rPr>
          <w:b/>
          <w:sz w:val="24"/>
          <w:szCs w:val="24"/>
        </w:rPr>
        <w:tab/>
      </w:r>
      <w:r w:rsidR="00B57F6D" w:rsidRPr="00BC3C64">
        <w:rPr>
          <w:sz w:val="24"/>
          <w:szCs w:val="24"/>
        </w:rPr>
        <w:t xml:space="preserve">Section </w:t>
      </w:r>
      <w:r w:rsidR="00B57F6D" w:rsidRPr="00BC3C64">
        <w:rPr>
          <w:rStyle w:val="Bodytext75pt"/>
          <w:sz w:val="24"/>
          <w:szCs w:val="24"/>
        </w:rPr>
        <w:t xml:space="preserve">8 </w:t>
      </w:r>
      <w:r w:rsidR="00B57F6D" w:rsidRPr="00BC3C64">
        <w:rPr>
          <w:sz w:val="24"/>
          <w:szCs w:val="24"/>
        </w:rPr>
        <w:t>of the Prin</w:t>
      </w:r>
      <w:r>
        <w:rPr>
          <w:sz w:val="24"/>
          <w:szCs w:val="24"/>
        </w:rPr>
        <w:t>cipal Act is amended</w:t>
      </w:r>
    </w:p>
    <w:p w14:paraId="686A1A6E" w14:textId="77777777" w:rsidR="0097719A" w:rsidRPr="00BC3C64" w:rsidRDefault="00AD56D2" w:rsidP="00AD56D2">
      <w:pPr>
        <w:pStyle w:val="BodyText1"/>
        <w:tabs>
          <w:tab w:val="left" w:pos="630"/>
        </w:tabs>
        <w:spacing w:after="60" w:line="240" w:lineRule="auto"/>
        <w:ind w:firstLine="270"/>
        <w:jc w:val="left"/>
        <w:rPr>
          <w:sz w:val="24"/>
          <w:szCs w:val="24"/>
        </w:rPr>
      </w:pPr>
      <w:r>
        <w:rPr>
          <w:sz w:val="24"/>
          <w:szCs w:val="24"/>
        </w:rPr>
        <w:t xml:space="preserve">(a) </w:t>
      </w:r>
      <w:r w:rsidR="00B57F6D" w:rsidRPr="00BC3C64">
        <w:rPr>
          <w:sz w:val="24"/>
          <w:szCs w:val="24"/>
        </w:rPr>
        <w:t xml:space="preserve">by omitting from sub-section (1) the word “voting” </w:t>
      </w:r>
    </w:p>
    <w:p w14:paraId="4984CE05" w14:textId="0CCCAEA5" w:rsidR="0097719A" w:rsidRPr="00BC3C64" w:rsidRDefault="00AD56D2" w:rsidP="00AD56D2">
      <w:pPr>
        <w:pStyle w:val="BodyText1"/>
        <w:tabs>
          <w:tab w:val="left" w:pos="630"/>
        </w:tabs>
        <w:spacing w:after="60" w:line="240" w:lineRule="auto"/>
        <w:ind w:firstLine="270"/>
        <w:jc w:val="left"/>
        <w:rPr>
          <w:sz w:val="24"/>
          <w:szCs w:val="24"/>
        </w:rPr>
      </w:pPr>
      <w:r>
        <w:rPr>
          <w:sz w:val="24"/>
          <w:szCs w:val="24"/>
        </w:rPr>
        <w:t xml:space="preserve">(b) </w:t>
      </w:r>
      <w:r w:rsidR="00B57F6D" w:rsidRPr="00BC3C64">
        <w:rPr>
          <w:sz w:val="24"/>
          <w:szCs w:val="24"/>
        </w:rPr>
        <w:t>by omitting from sub-sect</w:t>
      </w:r>
      <w:r>
        <w:rPr>
          <w:sz w:val="24"/>
          <w:szCs w:val="24"/>
        </w:rPr>
        <w:t xml:space="preserve">ion (4) the word </w:t>
      </w:r>
      <w:r w:rsidR="00B6473C">
        <w:rPr>
          <w:sz w:val="24"/>
          <w:szCs w:val="24"/>
        </w:rPr>
        <w:t>“</w:t>
      </w:r>
      <w:r>
        <w:rPr>
          <w:sz w:val="24"/>
          <w:szCs w:val="24"/>
        </w:rPr>
        <w:t>voting</w:t>
      </w:r>
      <w:r w:rsidR="00B6473C">
        <w:rPr>
          <w:sz w:val="24"/>
          <w:szCs w:val="24"/>
        </w:rPr>
        <w:t>”</w:t>
      </w:r>
      <w:r>
        <w:rPr>
          <w:sz w:val="24"/>
          <w:szCs w:val="24"/>
        </w:rPr>
        <w:t xml:space="preserve"> </w:t>
      </w:r>
      <w:r w:rsidRPr="00BC3C64">
        <w:rPr>
          <w:sz w:val="24"/>
          <w:szCs w:val="24"/>
        </w:rPr>
        <w:t>(wherever occurring); and</w:t>
      </w:r>
    </w:p>
    <w:p w14:paraId="06E06A6A" w14:textId="77777777" w:rsidR="00AD56D2" w:rsidRPr="00484A50" w:rsidRDefault="00AD56D2" w:rsidP="00484A50">
      <w:pPr>
        <w:pStyle w:val="Bodytext51"/>
        <w:spacing w:before="120" w:after="60" w:line="240" w:lineRule="auto"/>
        <w:jc w:val="left"/>
        <w:rPr>
          <w:b/>
          <w:sz w:val="20"/>
        </w:rPr>
      </w:pPr>
      <w:r w:rsidRPr="00484A50">
        <w:rPr>
          <w:b/>
          <w:sz w:val="20"/>
        </w:rPr>
        <w:t>Acting</w:t>
      </w:r>
      <w:r w:rsidR="00484A50" w:rsidRPr="00484A50">
        <w:rPr>
          <w:b/>
          <w:sz w:val="20"/>
        </w:rPr>
        <w:t xml:space="preserve"> appointments.</w:t>
      </w:r>
    </w:p>
    <w:p w14:paraId="6A5F1AC1" w14:textId="7FA3E1D6" w:rsidR="0097719A" w:rsidRPr="00BC3C64" w:rsidRDefault="00AD56D2" w:rsidP="00AD56D2">
      <w:pPr>
        <w:pStyle w:val="BodyText1"/>
        <w:tabs>
          <w:tab w:val="left" w:pos="630"/>
        </w:tabs>
        <w:spacing w:after="60" w:line="240" w:lineRule="auto"/>
        <w:ind w:firstLine="270"/>
        <w:jc w:val="left"/>
        <w:rPr>
          <w:sz w:val="24"/>
          <w:szCs w:val="24"/>
        </w:rPr>
      </w:pPr>
      <w:r w:rsidRPr="00AD56D2">
        <w:rPr>
          <w:b/>
          <w:sz w:val="24"/>
          <w:szCs w:val="24"/>
        </w:rPr>
        <w:t>8.</w:t>
      </w:r>
      <w:r>
        <w:rPr>
          <w:b/>
          <w:sz w:val="24"/>
          <w:szCs w:val="24"/>
        </w:rPr>
        <w:tab/>
      </w:r>
      <w:r w:rsidR="00B57F6D" w:rsidRPr="00BC3C64">
        <w:rPr>
          <w:sz w:val="24"/>
          <w:szCs w:val="24"/>
        </w:rPr>
        <w:t>Section 10 of the Principal Act is amended by omitting from sub</w:t>
      </w:r>
      <w:r>
        <w:rPr>
          <w:sz w:val="24"/>
          <w:szCs w:val="24"/>
        </w:rPr>
        <w:t>-</w:t>
      </w:r>
      <w:r w:rsidR="00B57F6D" w:rsidRPr="00BC3C64">
        <w:rPr>
          <w:sz w:val="24"/>
          <w:szCs w:val="24"/>
        </w:rPr>
        <w:t xml:space="preserve">section (1) the words “voting member, or as a non-voting member, as the case requires’’ and </w:t>
      </w:r>
      <w:r w:rsidR="000F5D87">
        <w:rPr>
          <w:sz w:val="24"/>
          <w:szCs w:val="24"/>
        </w:rPr>
        <w:t>substituting the word “member”.</w:t>
      </w:r>
    </w:p>
    <w:p w14:paraId="5D924B6F" w14:textId="77777777" w:rsidR="00484A50" w:rsidRPr="00484A50" w:rsidRDefault="00484A50" w:rsidP="00484A50">
      <w:pPr>
        <w:pStyle w:val="Bodytext51"/>
        <w:spacing w:before="120" w:after="60" w:line="240" w:lineRule="auto"/>
        <w:jc w:val="left"/>
        <w:rPr>
          <w:b/>
          <w:sz w:val="20"/>
        </w:rPr>
      </w:pPr>
      <w:r w:rsidRPr="00484A50">
        <w:rPr>
          <w:b/>
          <w:sz w:val="20"/>
        </w:rPr>
        <w:t>Removal of members.</w:t>
      </w:r>
    </w:p>
    <w:p w14:paraId="5064BBB0" w14:textId="17553F35" w:rsidR="0097719A" w:rsidRPr="00BC3C64" w:rsidRDefault="00484A50" w:rsidP="00484A50">
      <w:pPr>
        <w:pStyle w:val="BodyText1"/>
        <w:tabs>
          <w:tab w:val="left" w:pos="630"/>
        </w:tabs>
        <w:spacing w:after="60" w:line="240" w:lineRule="auto"/>
        <w:ind w:firstLine="270"/>
        <w:jc w:val="left"/>
        <w:rPr>
          <w:sz w:val="24"/>
          <w:szCs w:val="24"/>
        </w:rPr>
      </w:pPr>
      <w:r w:rsidRPr="00484A50">
        <w:rPr>
          <w:b/>
          <w:sz w:val="24"/>
          <w:szCs w:val="24"/>
        </w:rPr>
        <w:t>9.</w:t>
      </w:r>
      <w:r>
        <w:rPr>
          <w:b/>
          <w:sz w:val="24"/>
          <w:szCs w:val="24"/>
        </w:rPr>
        <w:tab/>
      </w:r>
      <w:r w:rsidR="00B57F6D" w:rsidRPr="00BC3C64">
        <w:rPr>
          <w:sz w:val="24"/>
          <w:szCs w:val="24"/>
        </w:rPr>
        <w:t>Section 12 of the Principal Act is amended by omitting from sub-s</w:t>
      </w:r>
      <w:r w:rsidR="00B6473C">
        <w:rPr>
          <w:sz w:val="24"/>
          <w:szCs w:val="24"/>
        </w:rPr>
        <w:t>ection (4) the word “</w:t>
      </w:r>
      <w:r>
        <w:rPr>
          <w:sz w:val="24"/>
          <w:szCs w:val="24"/>
        </w:rPr>
        <w:t>voting</w:t>
      </w:r>
      <w:r w:rsidR="00B6473C">
        <w:rPr>
          <w:sz w:val="24"/>
          <w:szCs w:val="24"/>
        </w:rPr>
        <w:t>”.</w:t>
      </w:r>
    </w:p>
    <w:p w14:paraId="47743FF2" w14:textId="77777777" w:rsidR="00B6473C" w:rsidRDefault="00B6473C">
      <w:pPr>
        <w:rPr>
          <w:rFonts w:ascii="Times New Roman" w:eastAsia="Times New Roman" w:hAnsi="Times New Roman" w:cs="Times New Roman"/>
          <w:b/>
          <w:sz w:val="20"/>
          <w:szCs w:val="15"/>
        </w:rPr>
      </w:pPr>
      <w:r>
        <w:rPr>
          <w:b/>
          <w:sz w:val="20"/>
        </w:rPr>
        <w:br w:type="page"/>
      </w:r>
    </w:p>
    <w:p w14:paraId="43812B06" w14:textId="3C669BD0" w:rsidR="00484A50" w:rsidRPr="00484A50" w:rsidRDefault="00484A50" w:rsidP="00484A50">
      <w:pPr>
        <w:pStyle w:val="Bodytext51"/>
        <w:spacing w:before="120" w:after="60" w:line="240" w:lineRule="auto"/>
        <w:jc w:val="left"/>
        <w:rPr>
          <w:b/>
          <w:sz w:val="20"/>
        </w:rPr>
      </w:pPr>
      <w:r w:rsidRPr="00484A50">
        <w:rPr>
          <w:b/>
          <w:sz w:val="20"/>
        </w:rPr>
        <w:lastRenderedPageBreak/>
        <w:t>Remuneration allowances.</w:t>
      </w:r>
    </w:p>
    <w:p w14:paraId="4D5C6816" w14:textId="095BEEBC" w:rsidR="0097719A" w:rsidRPr="00BC3C64" w:rsidRDefault="00484A50" w:rsidP="00484A50">
      <w:pPr>
        <w:pStyle w:val="BodyText1"/>
        <w:tabs>
          <w:tab w:val="left" w:pos="630"/>
        </w:tabs>
        <w:spacing w:after="60" w:line="240" w:lineRule="auto"/>
        <w:ind w:firstLine="270"/>
        <w:jc w:val="left"/>
        <w:rPr>
          <w:sz w:val="24"/>
          <w:szCs w:val="24"/>
        </w:rPr>
      </w:pPr>
      <w:r w:rsidRPr="00484A50">
        <w:rPr>
          <w:b/>
          <w:sz w:val="24"/>
          <w:szCs w:val="24"/>
        </w:rPr>
        <w:t>10.</w:t>
      </w:r>
      <w:r>
        <w:rPr>
          <w:b/>
          <w:sz w:val="24"/>
          <w:szCs w:val="24"/>
        </w:rPr>
        <w:t xml:space="preserve"> </w:t>
      </w:r>
      <w:r w:rsidR="00B57F6D" w:rsidRPr="00BC3C64">
        <w:rPr>
          <w:sz w:val="24"/>
          <w:szCs w:val="24"/>
        </w:rPr>
        <w:t xml:space="preserve">(1) Section 13 of the Principal </w:t>
      </w:r>
      <w:r>
        <w:rPr>
          <w:sz w:val="24"/>
          <w:szCs w:val="24"/>
        </w:rPr>
        <w:t>Act is amended by omitting sub-</w:t>
      </w:r>
      <w:r w:rsidR="00B57F6D" w:rsidRPr="00BC3C64">
        <w:rPr>
          <w:sz w:val="24"/>
          <w:szCs w:val="24"/>
        </w:rPr>
        <w:t>section (1) and substituting the following sub-sections:—</w:t>
      </w:r>
    </w:p>
    <w:p w14:paraId="6D11E4D6" w14:textId="77777777" w:rsidR="0097719A" w:rsidRPr="00BC3C64" w:rsidRDefault="00B57F6D" w:rsidP="00484A50">
      <w:pPr>
        <w:pStyle w:val="BodyText1"/>
        <w:spacing w:line="240" w:lineRule="auto"/>
        <w:ind w:firstLine="270"/>
        <w:jc w:val="left"/>
        <w:rPr>
          <w:sz w:val="24"/>
          <w:szCs w:val="24"/>
        </w:rPr>
      </w:pPr>
      <w:r w:rsidRPr="00BC3C64">
        <w:rPr>
          <w:sz w:val="24"/>
          <w:szCs w:val="24"/>
        </w:rPr>
        <w:t>“(1) A member shall be paid such remuneration as is determined by the Remuneration Tribunal.</w:t>
      </w:r>
    </w:p>
    <w:p w14:paraId="6284E591" w14:textId="155966B3" w:rsidR="0097719A" w:rsidRPr="00BC3C64" w:rsidRDefault="00B57F6D" w:rsidP="003D377E">
      <w:pPr>
        <w:pStyle w:val="BodyText1"/>
        <w:spacing w:after="60" w:line="240" w:lineRule="auto"/>
        <w:ind w:firstLine="270"/>
        <w:jc w:val="left"/>
        <w:rPr>
          <w:sz w:val="24"/>
          <w:szCs w:val="24"/>
        </w:rPr>
      </w:pPr>
      <w:r w:rsidRPr="00BC3C64">
        <w:rPr>
          <w:sz w:val="24"/>
          <w:szCs w:val="24"/>
        </w:rPr>
        <w:t>“(1</w:t>
      </w:r>
      <w:r w:rsidR="00B6473C">
        <w:rPr>
          <w:smallCaps/>
          <w:sz w:val="24"/>
          <w:szCs w:val="24"/>
        </w:rPr>
        <w:t>a</w:t>
      </w:r>
      <w:r w:rsidRPr="00BC3C64">
        <w:rPr>
          <w:sz w:val="24"/>
          <w:szCs w:val="24"/>
        </w:rPr>
        <w:t xml:space="preserve">) Subject to the </w:t>
      </w:r>
      <w:r w:rsidRPr="00BC3C64">
        <w:rPr>
          <w:rStyle w:val="BodytextItalic"/>
          <w:sz w:val="24"/>
          <w:szCs w:val="24"/>
        </w:rPr>
        <w:t>Remuneration Tribunals Act</w:t>
      </w:r>
      <w:r w:rsidRPr="00BC3C64">
        <w:rPr>
          <w:sz w:val="24"/>
          <w:szCs w:val="24"/>
        </w:rPr>
        <w:t xml:space="preserve"> 1973-1974, a member shall be paid such allowances as are prescribed.”.</w:t>
      </w:r>
    </w:p>
    <w:p w14:paraId="1F67E762" w14:textId="36CA48E9" w:rsidR="0097719A" w:rsidRPr="00BC3C64" w:rsidRDefault="00B57F6D" w:rsidP="00484A50">
      <w:pPr>
        <w:pStyle w:val="BodyText1"/>
        <w:spacing w:line="240" w:lineRule="auto"/>
        <w:ind w:firstLine="270"/>
        <w:jc w:val="left"/>
        <w:rPr>
          <w:sz w:val="24"/>
          <w:szCs w:val="24"/>
        </w:rPr>
      </w:pPr>
      <w:r w:rsidRPr="00BC3C64">
        <w:rPr>
          <w:sz w:val="24"/>
          <w:szCs w:val="24"/>
        </w:rPr>
        <w:t>(2) The amendment made by sub-section (1) does not affect the remuneration payable to a member b</w:t>
      </w:r>
      <w:r w:rsidR="00B6473C">
        <w:rPr>
          <w:sz w:val="24"/>
          <w:szCs w:val="24"/>
        </w:rPr>
        <w:t>efore his remuneration is deter</w:t>
      </w:r>
      <w:r w:rsidRPr="00BC3C64">
        <w:rPr>
          <w:sz w:val="24"/>
          <w:szCs w:val="24"/>
        </w:rPr>
        <w:t>mined by the Remuneration Tribunal.</w:t>
      </w:r>
    </w:p>
    <w:p w14:paraId="7024702B" w14:textId="77777777" w:rsidR="00DF5D18" w:rsidRPr="00DF5D18" w:rsidRDefault="00DF5D18" w:rsidP="00DF5D18">
      <w:pPr>
        <w:pStyle w:val="Bodytext51"/>
        <w:spacing w:before="120" w:after="60" w:line="240" w:lineRule="auto"/>
        <w:jc w:val="left"/>
        <w:rPr>
          <w:b/>
          <w:sz w:val="20"/>
        </w:rPr>
      </w:pPr>
      <w:r w:rsidRPr="00DF5D18">
        <w:rPr>
          <w:b/>
          <w:sz w:val="20"/>
        </w:rPr>
        <w:t>Meetings of the Commission.</w:t>
      </w:r>
    </w:p>
    <w:p w14:paraId="40F00C18" w14:textId="77777777" w:rsidR="0097719A" w:rsidRPr="00DF5D18" w:rsidRDefault="00DF5D18" w:rsidP="00DF5D18">
      <w:pPr>
        <w:pStyle w:val="BodyText1"/>
        <w:tabs>
          <w:tab w:val="left" w:pos="630"/>
        </w:tabs>
        <w:spacing w:after="60" w:line="240" w:lineRule="auto"/>
        <w:ind w:firstLine="270"/>
        <w:jc w:val="left"/>
        <w:rPr>
          <w:sz w:val="24"/>
          <w:szCs w:val="24"/>
        </w:rPr>
      </w:pPr>
      <w:r w:rsidRPr="00DF5D18">
        <w:rPr>
          <w:b/>
          <w:sz w:val="24"/>
          <w:szCs w:val="24"/>
        </w:rPr>
        <w:t>11.</w:t>
      </w:r>
      <w:r w:rsidR="00B90377">
        <w:rPr>
          <w:b/>
          <w:sz w:val="24"/>
          <w:szCs w:val="24"/>
        </w:rPr>
        <w:tab/>
      </w:r>
      <w:r w:rsidR="00B57F6D" w:rsidRPr="00BC3C64">
        <w:rPr>
          <w:sz w:val="24"/>
          <w:szCs w:val="24"/>
        </w:rPr>
        <w:t xml:space="preserve">Section </w:t>
      </w:r>
      <w:r w:rsidR="00B57F6D" w:rsidRPr="00BC3C64">
        <w:rPr>
          <w:rStyle w:val="Bodytext75pt"/>
          <w:sz w:val="24"/>
          <w:szCs w:val="24"/>
        </w:rPr>
        <w:t xml:space="preserve">14 </w:t>
      </w:r>
      <w:r w:rsidR="00B57F6D" w:rsidRPr="00BC3C64">
        <w:rPr>
          <w:sz w:val="24"/>
          <w:szCs w:val="24"/>
        </w:rPr>
        <w:t>o</w:t>
      </w:r>
      <w:r>
        <w:rPr>
          <w:sz w:val="24"/>
          <w:szCs w:val="24"/>
        </w:rPr>
        <w:t>f the Principal Act is amended—</w:t>
      </w:r>
    </w:p>
    <w:p w14:paraId="540CD2E7" w14:textId="711FBDBF" w:rsidR="0097719A" w:rsidRPr="00DF5D18" w:rsidRDefault="00DF5D18" w:rsidP="00B90377">
      <w:pPr>
        <w:pStyle w:val="BodyText1"/>
        <w:spacing w:after="60" w:line="240" w:lineRule="auto"/>
        <w:ind w:firstLine="270"/>
        <w:jc w:val="left"/>
        <w:rPr>
          <w:sz w:val="24"/>
          <w:szCs w:val="24"/>
        </w:rPr>
      </w:pPr>
      <w:r>
        <w:rPr>
          <w:sz w:val="24"/>
          <w:szCs w:val="24"/>
        </w:rPr>
        <w:t xml:space="preserve">(a) </w:t>
      </w:r>
      <w:r w:rsidR="00B57F6D" w:rsidRPr="00DF5D18">
        <w:rPr>
          <w:sz w:val="24"/>
          <w:szCs w:val="24"/>
        </w:rPr>
        <w:t xml:space="preserve">by omitting from sub-section (5) the words “three voting”, and substituting the word </w:t>
      </w:r>
      <w:r w:rsidR="00B6473C">
        <w:rPr>
          <w:sz w:val="24"/>
          <w:szCs w:val="24"/>
        </w:rPr>
        <w:t>“</w:t>
      </w:r>
      <w:r w:rsidR="00B57F6D" w:rsidRPr="00DF5D18">
        <w:rPr>
          <w:sz w:val="24"/>
          <w:szCs w:val="24"/>
        </w:rPr>
        <w:t>five</w:t>
      </w:r>
      <w:r w:rsidR="00B6473C">
        <w:rPr>
          <w:sz w:val="24"/>
          <w:szCs w:val="24"/>
        </w:rPr>
        <w:t xml:space="preserve">”; </w:t>
      </w:r>
      <w:r w:rsidR="00B57F6D" w:rsidRPr="00DF5D18">
        <w:rPr>
          <w:sz w:val="24"/>
          <w:szCs w:val="24"/>
        </w:rPr>
        <w:t>and</w:t>
      </w:r>
    </w:p>
    <w:p w14:paraId="0B03CE20" w14:textId="1A5011FE" w:rsidR="0097719A" w:rsidRPr="00BC3C64" w:rsidRDefault="00DF5D18" w:rsidP="003D377E">
      <w:pPr>
        <w:pStyle w:val="BodyText1"/>
        <w:spacing w:after="60" w:line="240" w:lineRule="auto"/>
        <w:ind w:firstLine="270"/>
        <w:jc w:val="left"/>
        <w:rPr>
          <w:sz w:val="24"/>
          <w:szCs w:val="24"/>
        </w:rPr>
      </w:pPr>
      <w:r>
        <w:rPr>
          <w:sz w:val="24"/>
          <w:szCs w:val="24"/>
        </w:rPr>
        <w:t xml:space="preserve">(b) </w:t>
      </w:r>
      <w:r w:rsidR="00B57F6D" w:rsidRPr="00BC3C64">
        <w:rPr>
          <w:sz w:val="24"/>
          <w:szCs w:val="24"/>
        </w:rPr>
        <w:t xml:space="preserve">by omitting </w:t>
      </w:r>
      <w:r w:rsidR="00B90377">
        <w:rPr>
          <w:sz w:val="24"/>
          <w:szCs w:val="24"/>
        </w:rPr>
        <w:t xml:space="preserve">from sub-section (6) the word </w:t>
      </w:r>
      <w:r w:rsidR="00B6473C">
        <w:rPr>
          <w:sz w:val="24"/>
          <w:szCs w:val="24"/>
        </w:rPr>
        <w:t>“</w:t>
      </w:r>
      <w:r w:rsidR="00B57F6D" w:rsidRPr="00BC3C64">
        <w:rPr>
          <w:sz w:val="24"/>
          <w:szCs w:val="24"/>
        </w:rPr>
        <w:t>voting</w:t>
      </w:r>
      <w:r>
        <w:rPr>
          <w:sz w:val="24"/>
          <w:szCs w:val="24"/>
        </w:rPr>
        <w:t>”</w:t>
      </w:r>
      <w:r w:rsidR="00B6473C">
        <w:rPr>
          <w:sz w:val="24"/>
          <w:szCs w:val="24"/>
        </w:rPr>
        <w:t xml:space="preserve"> </w:t>
      </w:r>
      <w:r>
        <w:rPr>
          <w:sz w:val="24"/>
          <w:szCs w:val="24"/>
        </w:rPr>
        <w:t>(first occur</w:t>
      </w:r>
      <w:r w:rsidR="00B57F6D" w:rsidRPr="00BC3C64">
        <w:rPr>
          <w:sz w:val="24"/>
          <w:szCs w:val="24"/>
        </w:rPr>
        <w:t>ring).</w:t>
      </w:r>
    </w:p>
    <w:p w14:paraId="2C074BD0" w14:textId="49B7EE31" w:rsidR="0097719A" w:rsidRPr="00BC3C64" w:rsidRDefault="00DF5D18" w:rsidP="00B90377">
      <w:pPr>
        <w:pStyle w:val="BodyText1"/>
        <w:tabs>
          <w:tab w:val="left" w:pos="630"/>
        </w:tabs>
        <w:spacing w:after="120" w:line="240" w:lineRule="auto"/>
        <w:ind w:firstLine="270"/>
        <w:jc w:val="left"/>
        <w:rPr>
          <w:sz w:val="24"/>
          <w:szCs w:val="24"/>
        </w:rPr>
      </w:pPr>
      <w:r w:rsidRPr="00DF5D18">
        <w:rPr>
          <w:b/>
          <w:sz w:val="24"/>
          <w:szCs w:val="24"/>
        </w:rPr>
        <w:t>12.</w:t>
      </w:r>
      <w:r>
        <w:rPr>
          <w:b/>
          <w:sz w:val="24"/>
          <w:szCs w:val="24"/>
        </w:rPr>
        <w:tab/>
      </w:r>
      <w:r w:rsidR="00B57F6D" w:rsidRPr="00BC3C64">
        <w:rPr>
          <w:sz w:val="24"/>
          <w:szCs w:val="24"/>
        </w:rPr>
        <w:t>Section 15 of the Principal Act is</w:t>
      </w:r>
      <w:r w:rsidR="00B90377">
        <w:rPr>
          <w:sz w:val="24"/>
          <w:szCs w:val="24"/>
        </w:rPr>
        <w:t xml:space="preserve"> repealed and the following sec</w:t>
      </w:r>
      <w:r w:rsidR="00B6473C">
        <w:rPr>
          <w:sz w:val="24"/>
          <w:szCs w:val="24"/>
        </w:rPr>
        <w:t>tion substituted:</w:t>
      </w:r>
      <w:r w:rsidR="00B57F6D" w:rsidRPr="00BC3C64">
        <w:rPr>
          <w:sz w:val="24"/>
          <w:szCs w:val="24"/>
        </w:rPr>
        <w:t>—</w:t>
      </w:r>
    </w:p>
    <w:p w14:paraId="2EF42828" w14:textId="77777777" w:rsidR="00B90377" w:rsidRPr="00B90377" w:rsidRDefault="00B90377" w:rsidP="00B90377">
      <w:pPr>
        <w:pStyle w:val="Bodytext51"/>
        <w:spacing w:before="120" w:after="60" w:line="240" w:lineRule="auto"/>
        <w:jc w:val="left"/>
        <w:rPr>
          <w:b/>
          <w:sz w:val="20"/>
        </w:rPr>
      </w:pPr>
      <w:r w:rsidRPr="00B90377">
        <w:rPr>
          <w:b/>
          <w:sz w:val="20"/>
        </w:rPr>
        <w:t>Purpose of Commission.</w:t>
      </w:r>
    </w:p>
    <w:p w14:paraId="67B545D8" w14:textId="28621A1A" w:rsidR="0097719A" w:rsidRPr="00BC3C64" w:rsidRDefault="00B57F6D" w:rsidP="00B90377">
      <w:pPr>
        <w:pStyle w:val="BodyText1"/>
        <w:spacing w:after="120" w:line="240" w:lineRule="auto"/>
        <w:ind w:firstLine="360"/>
        <w:jc w:val="left"/>
        <w:rPr>
          <w:sz w:val="24"/>
          <w:szCs w:val="24"/>
        </w:rPr>
      </w:pPr>
      <w:r w:rsidRPr="00BC3C64">
        <w:rPr>
          <w:sz w:val="24"/>
          <w:szCs w:val="24"/>
        </w:rPr>
        <w:t xml:space="preserve">“15. The Commission is established for the purpose of the </w:t>
      </w:r>
      <w:r w:rsidR="00B90377">
        <w:rPr>
          <w:sz w:val="24"/>
          <w:szCs w:val="24"/>
        </w:rPr>
        <w:t>encouragement</w:t>
      </w:r>
      <w:r w:rsidR="00B6473C" w:rsidRPr="00BC3C64">
        <w:rPr>
          <w:sz w:val="24"/>
          <w:szCs w:val="24"/>
        </w:rPr>
        <w:t>—</w:t>
      </w:r>
    </w:p>
    <w:p w14:paraId="30455BF7" w14:textId="77777777" w:rsidR="0097719A" w:rsidRPr="00BC3C64" w:rsidRDefault="00B90377" w:rsidP="00B90377">
      <w:pPr>
        <w:pStyle w:val="BodyText1"/>
        <w:spacing w:after="60" w:line="240" w:lineRule="auto"/>
        <w:ind w:firstLine="270"/>
        <w:jc w:val="left"/>
        <w:rPr>
          <w:sz w:val="24"/>
          <w:szCs w:val="24"/>
        </w:rPr>
      </w:pPr>
      <w:r>
        <w:rPr>
          <w:sz w:val="24"/>
          <w:szCs w:val="24"/>
        </w:rPr>
        <w:t xml:space="preserve">(a) </w:t>
      </w:r>
      <w:r w:rsidR="00B57F6D" w:rsidRPr="00BC3C64">
        <w:rPr>
          <w:sz w:val="24"/>
          <w:szCs w:val="24"/>
        </w:rPr>
        <w:t>of visits to Australia by people from other countries; and</w:t>
      </w:r>
    </w:p>
    <w:p w14:paraId="6FE5ED2B" w14:textId="2A9C28EE" w:rsidR="0097719A" w:rsidRPr="00BC3C64" w:rsidRDefault="00B90377" w:rsidP="00B90377">
      <w:pPr>
        <w:pStyle w:val="BodyText1"/>
        <w:spacing w:after="120" w:line="240" w:lineRule="auto"/>
        <w:ind w:firstLine="270"/>
        <w:jc w:val="left"/>
        <w:rPr>
          <w:sz w:val="24"/>
          <w:szCs w:val="24"/>
        </w:rPr>
      </w:pPr>
      <w:r>
        <w:rPr>
          <w:sz w:val="24"/>
          <w:szCs w:val="24"/>
        </w:rPr>
        <w:t xml:space="preserve">(b) </w:t>
      </w:r>
      <w:r w:rsidR="00B57F6D" w:rsidRPr="00BC3C64">
        <w:rPr>
          <w:sz w:val="24"/>
          <w:szCs w:val="24"/>
        </w:rPr>
        <w:t xml:space="preserve">of travel in Australia, including travel </w:t>
      </w:r>
      <w:r w:rsidR="00B6473C">
        <w:rPr>
          <w:sz w:val="24"/>
          <w:szCs w:val="24"/>
        </w:rPr>
        <w:t>by people from other countries.”</w:t>
      </w:r>
      <w:r w:rsidR="00B57F6D" w:rsidRPr="00BC3C64">
        <w:rPr>
          <w:sz w:val="24"/>
          <w:szCs w:val="24"/>
        </w:rPr>
        <w:t>.</w:t>
      </w:r>
    </w:p>
    <w:p w14:paraId="5CBAF5E3" w14:textId="1BF0CA99" w:rsidR="00B6473C" w:rsidRPr="00B90377" w:rsidRDefault="00B6473C" w:rsidP="00B6473C">
      <w:pPr>
        <w:pStyle w:val="Bodytext51"/>
        <w:spacing w:before="120" w:after="60" w:line="240" w:lineRule="auto"/>
        <w:jc w:val="left"/>
        <w:rPr>
          <w:b/>
          <w:sz w:val="20"/>
        </w:rPr>
      </w:pPr>
      <w:r>
        <w:rPr>
          <w:b/>
          <w:sz w:val="20"/>
        </w:rPr>
        <w:t>Powers.</w:t>
      </w:r>
    </w:p>
    <w:p w14:paraId="62C86DAD" w14:textId="558EC9B5" w:rsidR="00B90377" w:rsidRDefault="00B90377" w:rsidP="00B90377">
      <w:pPr>
        <w:pStyle w:val="BodyText1"/>
        <w:tabs>
          <w:tab w:val="left" w:pos="630"/>
        </w:tabs>
        <w:spacing w:after="120" w:line="240" w:lineRule="auto"/>
        <w:ind w:firstLine="270"/>
        <w:jc w:val="left"/>
        <w:rPr>
          <w:sz w:val="24"/>
          <w:szCs w:val="24"/>
        </w:rPr>
      </w:pPr>
      <w:r w:rsidRPr="00B90377">
        <w:rPr>
          <w:b/>
          <w:sz w:val="24"/>
          <w:szCs w:val="24"/>
        </w:rPr>
        <w:t>13.</w:t>
      </w:r>
      <w:r>
        <w:rPr>
          <w:b/>
          <w:sz w:val="24"/>
          <w:szCs w:val="24"/>
        </w:rPr>
        <w:tab/>
      </w:r>
      <w:r w:rsidR="00B57F6D" w:rsidRPr="00BC3C64">
        <w:rPr>
          <w:sz w:val="24"/>
          <w:szCs w:val="24"/>
        </w:rPr>
        <w:t xml:space="preserve">Section 16 of the Principal </w:t>
      </w:r>
      <w:r w:rsidR="00B6473C">
        <w:rPr>
          <w:sz w:val="24"/>
          <w:szCs w:val="24"/>
        </w:rPr>
        <w:t>Act is amended by omitting from</w:t>
      </w:r>
      <w:r w:rsidR="00B57F6D" w:rsidRPr="00BC3C64">
        <w:rPr>
          <w:rStyle w:val="Bodytext75pt"/>
          <w:sz w:val="24"/>
          <w:szCs w:val="24"/>
        </w:rPr>
        <w:t xml:space="preserve"> </w:t>
      </w:r>
      <w:r>
        <w:rPr>
          <w:sz w:val="24"/>
          <w:szCs w:val="24"/>
        </w:rPr>
        <w:t>paragraph (b) of sub-</w:t>
      </w:r>
      <w:r w:rsidR="00B57F6D" w:rsidRPr="00BC3C64">
        <w:rPr>
          <w:sz w:val="24"/>
          <w:szCs w:val="24"/>
        </w:rPr>
        <w:t>section (2) the words “and to travel in Australia”</w:t>
      </w:r>
      <w:r>
        <w:rPr>
          <w:sz w:val="24"/>
          <w:szCs w:val="24"/>
        </w:rPr>
        <w:t xml:space="preserve"> </w:t>
      </w:r>
      <w:r w:rsidR="00B57F6D" w:rsidRPr="00BC3C64">
        <w:rPr>
          <w:sz w:val="24"/>
          <w:szCs w:val="24"/>
        </w:rPr>
        <w:t>and substituting the words “and to encourage travel in Australia, including travel by people from other countries”.</w:t>
      </w:r>
    </w:p>
    <w:p w14:paraId="153B2BD1" w14:textId="77777777" w:rsidR="001617B7" w:rsidRPr="001617B7" w:rsidRDefault="001617B7" w:rsidP="001617B7">
      <w:pPr>
        <w:pStyle w:val="Bodytext51"/>
        <w:spacing w:before="120" w:after="60" w:line="240" w:lineRule="auto"/>
        <w:jc w:val="left"/>
        <w:rPr>
          <w:b/>
          <w:sz w:val="20"/>
        </w:rPr>
      </w:pPr>
      <w:r w:rsidRPr="001617B7">
        <w:rPr>
          <w:b/>
          <w:sz w:val="20"/>
        </w:rPr>
        <w:t>General Manager of the Commission.</w:t>
      </w:r>
    </w:p>
    <w:p w14:paraId="1A0CBEA1" w14:textId="5CCE8D34" w:rsidR="0097719A" w:rsidRPr="00BC3C64" w:rsidRDefault="00B90377" w:rsidP="00B90377">
      <w:pPr>
        <w:pStyle w:val="BodyText1"/>
        <w:tabs>
          <w:tab w:val="left" w:pos="630"/>
        </w:tabs>
        <w:spacing w:after="120" w:line="240" w:lineRule="auto"/>
        <w:ind w:firstLine="270"/>
        <w:jc w:val="left"/>
        <w:rPr>
          <w:sz w:val="24"/>
          <w:szCs w:val="24"/>
        </w:rPr>
      </w:pPr>
      <w:r w:rsidRPr="00B90377">
        <w:rPr>
          <w:b/>
          <w:sz w:val="24"/>
          <w:szCs w:val="24"/>
        </w:rPr>
        <w:t>14.</w:t>
      </w:r>
      <w:r w:rsidR="001617B7">
        <w:rPr>
          <w:b/>
          <w:sz w:val="24"/>
          <w:szCs w:val="24"/>
        </w:rPr>
        <w:tab/>
      </w:r>
      <w:r w:rsidR="00B57F6D" w:rsidRPr="00BC3C64">
        <w:rPr>
          <w:sz w:val="24"/>
          <w:szCs w:val="24"/>
        </w:rPr>
        <w:t>(1) Section 18 of the Principal Act is amended by omitting sub</w:t>
      </w:r>
      <w:r w:rsidR="00B6473C">
        <w:rPr>
          <w:sz w:val="24"/>
          <w:szCs w:val="24"/>
        </w:rPr>
        <w:t>-</w:t>
      </w:r>
      <w:r w:rsidR="00B57F6D" w:rsidRPr="00BC3C64">
        <w:rPr>
          <w:sz w:val="24"/>
          <w:szCs w:val="24"/>
        </w:rPr>
        <w:t>section (3) and substituting the following sub-sections:—</w:t>
      </w:r>
    </w:p>
    <w:p w14:paraId="75F9E7D3" w14:textId="77777777" w:rsidR="0097719A" w:rsidRPr="00BC3C64" w:rsidRDefault="00B57F6D" w:rsidP="001617B7">
      <w:pPr>
        <w:pStyle w:val="BodyText1"/>
        <w:spacing w:line="240" w:lineRule="auto"/>
        <w:ind w:firstLine="270"/>
        <w:jc w:val="left"/>
        <w:rPr>
          <w:sz w:val="24"/>
          <w:szCs w:val="24"/>
        </w:rPr>
      </w:pPr>
      <w:r w:rsidRPr="00BC3C64">
        <w:rPr>
          <w:sz w:val="24"/>
          <w:szCs w:val="24"/>
        </w:rPr>
        <w:t>“(3) The General Manager shall be paid such remuneration as is determined by the Remuneration Tribunal.</w:t>
      </w:r>
    </w:p>
    <w:p w14:paraId="0F3F727B" w14:textId="77777777" w:rsidR="0097719A" w:rsidRPr="00BC3C64" w:rsidRDefault="00B57F6D" w:rsidP="001617B7">
      <w:pPr>
        <w:pStyle w:val="BodyText1"/>
        <w:spacing w:line="240" w:lineRule="auto"/>
        <w:ind w:firstLine="270"/>
        <w:jc w:val="left"/>
        <w:rPr>
          <w:sz w:val="24"/>
          <w:szCs w:val="24"/>
        </w:rPr>
      </w:pPr>
      <w:r w:rsidRPr="00BC3C64">
        <w:rPr>
          <w:sz w:val="24"/>
          <w:szCs w:val="24"/>
        </w:rPr>
        <w:t xml:space="preserve">“(4) Subject to the </w:t>
      </w:r>
      <w:r w:rsidRPr="00BC3C64">
        <w:rPr>
          <w:rStyle w:val="BodytextItalic"/>
          <w:sz w:val="24"/>
          <w:szCs w:val="24"/>
        </w:rPr>
        <w:t>Remuneration Tribunals Act</w:t>
      </w:r>
      <w:r w:rsidRPr="00BC3C64">
        <w:rPr>
          <w:sz w:val="24"/>
          <w:szCs w:val="24"/>
        </w:rPr>
        <w:t xml:space="preserve"> 1973-1974, the General Manager shall be paid such allowances as are prescribed.</w:t>
      </w:r>
    </w:p>
    <w:p w14:paraId="101790A9" w14:textId="77777777" w:rsidR="0097719A" w:rsidRPr="00BC3C64" w:rsidRDefault="00B57F6D" w:rsidP="001617B7">
      <w:pPr>
        <w:pStyle w:val="BodyText1"/>
        <w:spacing w:after="60" w:line="240" w:lineRule="auto"/>
        <w:ind w:firstLine="270"/>
        <w:jc w:val="left"/>
        <w:rPr>
          <w:sz w:val="24"/>
          <w:szCs w:val="24"/>
        </w:rPr>
      </w:pPr>
      <w:r w:rsidRPr="00BC3C64">
        <w:rPr>
          <w:sz w:val="24"/>
          <w:szCs w:val="24"/>
        </w:rPr>
        <w:t>“(5) Subject to sub-sections (3) and (4), the terms and conditions of employment of the General Manager are such as are, subject to the approval of the Minister</w:t>
      </w:r>
      <w:r w:rsidR="001617B7">
        <w:rPr>
          <w:sz w:val="24"/>
          <w:szCs w:val="24"/>
        </w:rPr>
        <w:t>, determined by the Commission.”</w:t>
      </w:r>
    </w:p>
    <w:p w14:paraId="73154ACE" w14:textId="77777777" w:rsidR="0097719A" w:rsidRPr="00BC3C64" w:rsidRDefault="00B57F6D" w:rsidP="001617B7">
      <w:pPr>
        <w:pStyle w:val="BodyText1"/>
        <w:spacing w:after="60" w:line="240" w:lineRule="auto"/>
        <w:ind w:firstLine="270"/>
        <w:jc w:val="left"/>
        <w:rPr>
          <w:sz w:val="24"/>
          <w:szCs w:val="24"/>
        </w:rPr>
      </w:pPr>
      <w:r w:rsidRPr="00BC3C64">
        <w:rPr>
          <w:sz w:val="24"/>
          <w:szCs w:val="24"/>
        </w:rPr>
        <w:t>(2) The amendment made by sub-section (1) does not affect the remuneration payable to the General Manager before his remuneration is determined by the Remuneration Tribunal.</w:t>
      </w:r>
    </w:p>
    <w:p w14:paraId="12E3AF82" w14:textId="1529D6EE" w:rsidR="0097719A" w:rsidRPr="00BC3C64" w:rsidRDefault="001617B7" w:rsidP="001617B7">
      <w:pPr>
        <w:pStyle w:val="BodyText1"/>
        <w:tabs>
          <w:tab w:val="left" w:pos="630"/>
        </w:tabs>
        <w:spacing w:after="120" w:line="240" w:lineRule="auto"/>
        <w:ind w:firstLine="270"/>
        <w:jc w:val="left"/>
        <w:rPr>
          <w:sz w:val="24"/>
          <w:szCs w:val="24"/>
        </w:rPr>
      </w:pPr>
      <w:r w:rsidRPr="001617B7">
        <w:rPr>
          <w:b/>
          <w:sz w:val="24"/>
          <w:szCs w:val="24"/>
        </w:rPr>
        <w:t>15.</w:t>
      </w:r>
      <w:r>
        <w:rPr>
          <w:b/>
          <w:sz w:val="24"/>
          <w:szCs w:val="24"/>
        </w:rPr>
        <w:tab/>
      </w:r>
      <w:r w:rsidR="00B57F6D" w:rsidRPr="00BC3C64">
        <w:rPr>
          <w:sz w:val="24"/>
          <w:szCs w:val="24"/>
        </w:rPr>
        <w:t>Section 27 of the Principal Act is repealed and the following section substituted:—</w:t>
      </w:r>
    </w:p>
    <w:p w14:paraId="43D0CCA4" w14:textId="77777777" w:rsidR="001617B7" w:rsidRPr="001617B7" w:rsidRDefault="001617B7" w:rsidP="001617B7">
      <w:pPr>
        <w:pStyle w:val="Bodytext51"/>
        <w:spacing w:before="120" w:after="60" w:line="240" w:lineRule="auto"/>
        <w:jc w:val="left"/>
        <w:rPr>
          <w:b/>
          <w:sz w:val="20"/>
        </w:rPr>
      </w:pPr>
      <w:r w:rsidRPr="001617B7">
        <w:rPr>
          <w:b/>
          <w:sz w:val="20"/>
        </w:rPr>
        <w:t>Exemption from taxation.</w:t>
      </w:r>
    </w:p>
    <w:p w14:paraId="3C47952E" w14:textId="77777777" w:rsidR="0097719A" w:rsidRPr="00BC3C64" w:rsidRDefault="00B57F6D" w:rsidP="001617B7">
      <w:pPr>
        <w:pStyle w:val="BodyText1"/>
        <w:spacing w:after="60" w:line="240" w:lineRule="auto"/>
        <w:ind w:firstLine="270"/>
        <w:jc w:val="left"/>
        <w:rPr>
          <w:sz w:val="24"/>
          <w:szCs w:val="24"/>
        </w:rPr>
      </w:pPr>
      <w:r w:rsidRPr="00BC3C64">
        <w:rPr>
          <w:sz w:val="24"/>
          <w:szCs w:val="24"/>
        </w:rPr>
        <w:t>“27. The Commission is not subject to taxation under a law of Australia, of a State or of a Territo</w:t>
      </w:r>
      <w:r w:rsidR="00A736F0">
        <w:rPr>
          <w:sz w:val="24"/>
          <w:szCs w:val="24"/>
        </w:rPr>
        <w:t>ry other than Papua New Guinea.</w:t>
      </w:r>
      <w:r w:rsidRPr="00BC3C64">
        <w:rPr>
          <w:sz w:val="24"/>
          <w:szCs w:val="24"/>
        </w:rPr>
        <w:t>”.</w:t>
      </w:r>
    </w:p>
    <w:p w14:paraId="2132EB3E" w14:textId="77777777" w:rsidR="001617B7" w:rsidRPr="001617B7" w:rsidRDefault="001617B7" w:rsidP="001617B7">
      <w:pPr>
        <w:pStyle w:val="Bodytext51"/>
        <w:spacing w:before="120" w:after="60" w:line="240" w:lineRule="auto"/>
        <w:jc w:val="left"/>
        <w:rPr>
          <w:b/>
          <w:sz w:val="20"/>
        </w:rPr>
      </w:pPr>
      <w:r w:rsidRPr="001617B7">
        <w:rPr>
          <w:b/>
          <w:sz w:val="20"/>
        </w:rPr>
        <w:t>Officers’ Rights Declaration Act to apply.</w:t>
      </w:r>
    </w:p>
    <w:p w14:paraId="397761B8" w14:textId="77777777" w:rsidR="0097719A" w:rsidRPr="00BC3C64" w:rsidRDefault="001617B7" w:rsidP="001617B7">
      <w:pPr>
        <w:pStyle w:val="BodyText1"/>
        <w:tabs>
          <w:tab w:val="left" w:pos="630"/>
        </w:tabs>
        <w:spacing w:after="60" w:line="240" w:lineRule="auto"/>
        <w:ind w:firstLine="270"/>
        <w:jc w:val="left"/>
        <w:rPr>
          <w:sz w:val="24"/>
          <w:szCs w:val="24"/>
        </w:rPr>
      </w:pPr>
      <w:r w:rsidRPr="001617B7">
        <w:rPr>
          <w:b/>
          <w:sz w:val="24"/>
          <w:szCs w:val="24"/>
        </w:rPr>
        <w:t>16.</w:t>
      </w:r>
      <w:r>
        <w:rPr>
          <w:b/>
          <w:sz w:val="24"/>
          <w:szCs w:val="24"/>
        </w:rPr>
        <w:tab/>
      </w:r>
      <w:r w:rsidR="00B57F6D" w:rsidRPr="00BC3C64">
        <w:rPr>
          <w:sz w:val="24"/>
          <w:szCs w:val="24"/>
        </w:rPr>
        <w:t>Section 28 of the Principal Act is amended—</w:t>
      </w:r>
    </w:p>
    <w:p w14:paraId="33ECB286" w14:textId="77777777" w:rsidR="0097719A" w:rsidRPr="00BC3C64" w:rsidRDefault="001617B7" w:rsidP="003D377E">
      <w:pPr>
        <w:pStyle w:val="BodyText1"/>
        <w:spacing w:after="60" w:line="240" w:lineRule="auto"/>
        <w:ind w:firstLine="270"/>
        <w:jc w:val="left"/>
        <w:rPr>
          <w:sz w:val="24"/>
          <w:szCs w:val="24"/>
        </w:rPr>
      </w:pPr>
      <w:r>
        <w:rPr>
          <w:sz w:val="24"/>
          <w:szCs w:val="24"/>
        </w:rPr>
        <w:t xml:space="preserve">(a) </w:t>
      </w:r>
      <w:r w:rsidR="00B57F6D" w:rsidRPr="00BC3C64">
        <w:rPr>
          <w:sz w:val="24"/>
          <w:szCs w:val="24"/>
        </w:rPr>
        <w:t xml:space="preserve">by omitting from sub-section (1) the words “Public Service of the Commonwealth”, and substituting the words “Australian Public Service, or a person to whom the </w:t>
      </w:r>
      <w:r w:rsidR="00B57F6D" w:rsidRPr="00BC3C64">
        <w:rPr>
          <w:rStyle w:val="BodytextItalic"/>
          <w:sz w:val="24"/>
          <w:szCs w:val="24"/>
        </w:rPr>
        <w:t>Officers’ Rights Declar</w:t>
      </w:r>
      <w:r w:rsidR="00B57F6D" w:rsidRPr="00BC3C64">
        <w:rPr>
          <w:rStyle w:val="BodytextItalic"/>
          <w:sz w:val="24"/>
          <w:szCs w:val="24"/>
        </w:rPr>
        <w:softHyphen/>
        <w:t>ation Act</w:t>
      </w:r>
      <w:r w:rsidR="00B57F6D" w:rsidRPr="00BC3C64">
        <w:rPr>
          <w:sz w:val="24"/>
          <w:szCs w:val="24"/>
        </w:rPr>
        <w:t xml:space="preserve"> 1928-1973 applies,”; and</w:t>
      </w:r>
    </w:p>
    <w:p w14:paraId="1A89A0FD" w14:textId="012737AA" w:rsidR="0097719A" w:rsidRPr="00BC3C64" w:rsidRDefault="001617B7" w:rsidP="003D377E">
      <w:pPr>
        <w:pStyle w:val="BodyText1"/>
        <w:spacing w:after="60" w:line="240" w:lineRule="auto"/>
        <w:ind w:firstLine="270"/>
        <w:jc w:val="left"/>
        <w:rPr>
          <w:sz w:val="24"/>
          <w:szCs w:val="24"/>
        </w:rPr>
      </w:pPr>
      <w:r>
        <w:rPr>
          <w:sz w:val="24"/>
          <w:szCs w:val="24"/>
        </w:rPr>
        <w:t xml:space="preserve">(b) </w:t>
      </w:r>
      <w:r w:rsidR="00B57F6D" w:rsidRPr="00BC3C64">
        <w:rPr>
          <w:sz w:val="24"/>
          <w:szCs w:val="24"/>
        </w:rPr>
        <w:t>by omitting from paragraph (b) of sub-section (2) the words “Public Service of the Commonwealth”, and substituting the words “Australian Public Service”.</w:t>
      </w:r>
    </w:p>
    <w:p w14:paraId="2CF1C960" w14:textId="588F2802" w:rsidR="0097719A" w:rsidRPr="00BC3C64" w:rsidRDefault="001617B7" w:rsidP="001617B7">
      <w:pPr>
        <w:pStyle w:val="BodyText1"/>
        <w:tabs>
          <w:tab w:val="left" w:pos="630"/>
        </w:tabs>
        <w:spacing w:after="60" w:line="240" w:lineRule="auto"/>
        <w:ind w:firstLine="270"/>
        <w:jc w:val="left"/>
        <w:rPr>
          <w:sz w:val="24"/>
          <w:szCs w:val="24"/>
        </w:rPr>
      </w:pPr>
      <w:r w:rsidRPr="001617B7">
        <w:rPr>
          <w:b/>
          <w:sz w:val="24"/>
          <w:szCs w:val="24"/>
        </w:rPr>
        <w:t>17.</w:t>
      </w:r>
      <w:r w:rsidR="00A736F0">
        <w:rPr>
          <w:b/>
          <w:sz w:val="24"/>
          <w:szCs w:val="24"/>
        </w:rPr>
        <w:tab/>
      </w:r>
      <w:r w:rsidR="00B57F6D" w:rsidRPr="00BC3C64">
        <w:rPr>
          <w:sz w:val="24"/>
          <w:szCs w:val="24"/>
        </w:rPr>
        <w:t>The Principal Act is amended by adding at the end thereof the following section:—</w:t>
      </w:r>
    </w:p>
    <w:p w14:paraId="52C73BF2" w14:textId="77777777" w:rsidR="00A736F0" w:rsidRPr="00A736F0" w:rsidRDefault="00A736F0" w:rsidP="00A736F0">
      <w:pPr>
        <w:pStyle w:val="Bodytext51"/>
        <w:spacing w:before="120" w:after="60" w:line="240" w:lineRule="auto"/>
        <w:jc w:val="left"/>
        <w:rPr>
          <w:b/>
          <w:sz w:val="20"/>
        </w:rPr>
      </w:pPr>
      <w:r w:rsidRPr="00A736F0">
        <w:rPr>
          <w:b/>
          <w:sz w:val="20"/>
        </w:rPr>
        <w:t>Regulations.</w:t>
      </w:r>
    </w:p>
    <w:p w14:paraId="4053851C" w14:textId="77777777" w:rsidR="0097719A" w:rsidRPr="00BC3C64" w:rsidRDefault="00B57F6D" w:rsidP="00A736F0">
      <w:pPr>
        <w:pStyle w:val="BodyText1"/>
        <w:spacing w:after="60" w:line="240" w:lineRule="auto"/>
        <w:ind w:firstLine="270"/>
        <w:jc w:val="left"/>
        <w:rPr>
          <w:sz w:val="24"/>
          <w:szCs w:val="24"/>
        </w:rPr>
      </w:pPr>
      <w:r w:rsidRPr="00BC3C64">
        <w:rPr>
          <w:sz w:val="24"/>
          <w:szCs w:val="24"/>
        </w:rPr>
        <w:t>“30. The Governor-General may make regulations, not inconsistent with this Act, prescribing all matters required or permitted by this Act to be prescribed, or necessary or convenient to be prescribed for carrying out or giving effect to this Act.</w:t>
      </w:r>
    </w:p>
    <w:p w14:paraId="74E03DC6" w14:textId="77777777" w:rsidR="00B6473C" w:rsidRDefault="00B6473C">
      <w:pPr>
        <w:rPr>
          <w:rFonts w:ascii="Times New Roman" w:eastAsia="Times New Roman" w:hAnsi="Times New Roman" w:cs="Times New Roman"/>
          <w:b/>
          <w:sz w:val="20"/>
          <w:szCs w:val="15"/>
        </w:rPr>
      </w:pPr>
      <w:r>
        <w:rPr>
          <w:b/>
          <w:sz w:val="20"/>
        </w:rPr>
        <w:br w:type="page"/>
      </w:r>
    </w:p>
    <w:p w14:paraId="5F2666FA" w14:textId="06FEB7DD" w:rsidR="00A736F0" w:rsidRPr="00A736F0" w:rsidRDefault="00A736F0" w:rsidP="00A736F0">
      <w:pPr>
        <w:pStyle w:val="Bodytext51"/>
        <w:spacing w:before="120" w:after="60" w:line="240" w:lineRule="auto"/>
        <w:jc w:val="left"/>
        <w:rPr>
          <w:b/>
          <w:sz w:val="20"/>
        </w:rPr>
      </w:pPr>
      <w:r w:rsidRPr="00A736F0">
        <w:rPr>
          <w:b/>
          <w:sz w:val="20"/>
        </w:rPr>
        <w:lastRenderedPageBreak/>
        <w:t>Continuation of certain appointments.</w:t>
      </w:r>
    </w:p>
    <w:p w14:paraId="5F495C8F" w14:textId="0E2A5698" w:rsidR="0097719A" w:rsidRPr="00BC3C64" w:rsidRDefault="00A736F0" w:rsidP="00A736F0">
      <w:pPr>
        <w:pStyle w:val="BodyText1"/>
        <w:tabs>
          <w:tab w:val="left" w:pos="630"/>
        </w:tabs>
        <w:spacing w:after="60" w:line="240" w:lineRule="auto"/>
        <w:ind w:firstLine="270"/>
        <w:jc w:val="left"/>
        <w:rPr>
          <w:sz w:val="24"/>
          <w:szCs w:val="24"/>
        </w:rPr>
      </w:pPr>
      <w:r w:rsidRPr="00A736F0">
        <w:rPr>
          <w:b/>
          <w:sz w:val="24"/>
          <w:szCs w:val="24"/>
        </w:rPr>
        <w:t>18.</w:t>
      </w:r>
      <w:r>
        <w:rPr>
          <w:b/>
          <w:sz w:val="24"/>
          <w:szCs w:val="24"/>
        </w:rPr>
        <w:tab/>
      </w:r>
      <w:r w:rsidR="00B57F6D" w:rsidRPr="00BC3C64">
        <w:rPr>
          <w:sz w:val="24"/>
          <w:szCs w:val="24"/>
        </w:rPr>
        <w:t>(1) A person who held office as a voting member, or as a non</w:t>
      </w:r>
      <w:r w:rsidR="00B6473C">
        <w:rPr>
          <w:sz w:val="24"/>
          <w:szCs w:val="24"/>
        </w:rPr>
        <w:t>-</w:t>
      </w:r>
      <w:r w:rsidR="00B57F6D" w:rsidRPr="00BC3C64">
        <w:rPr>
          <w:sz w:val="24"/>
          <w:szCs w:val="24"/>
        </w:rPr>
        <w:t>voting member, of the Australian Tourist Commission immediately before the commencement of this Act holds office after the commencement of this Act as a member of that Commission for the remainder of the period for which he was appointed as a voting member or non-voting member, as the case may be, as if he had been appointed a member of that Commission under the Principal Act as amended by this Act.</w:t>
      </w:r>
    </w:p>
    <w:p w14:paraId="1982573A" w14:textId="74170B7E" w:rsidR="0097719A" w:rsidRPr="00BC3C64" w:rsidRDefault="00A736F0" w:rsidP="00B6473C">
      <w:pPr>
        <w:pStyle w:val="BodyText1"/>
        <w:spacing w:line="240" w:lineRule="auto"/>
        <w:ind w:firstLine="270"/>
        <w:jc w:val="left"/>
        <w:rPr>
          <w:sz w:val="24"/>
          <w:szCs w:val="24"/>
        </w:rPr>
      </w:pPr>
      <w:r>
        <w:rPr>
          <w:sz w:val="24"/>
          <w:szCs w:val="24"/>
        </w:rPr>
        <w:t xml:space="preserve">(2) </w:t>
      </w:r>
      <w:r w:rsidR="00B57F6D" w:rsidRPr="00BC3C64">
        <w:rPr>
          <w:sz w:val="24"/>
          <w:szCs w:val="24"/>
        </w:rPr>
        <w:t>A person who held office as a voting member of the Australian Tourist Commission immediately before the commencement of this Act by virtue of having been appointed by the Governor-General from among perso</w:t>
      </w:r>
      <w:r w:rsidR="00B6473C">
        <w:rPr>
          <w:sz w:val="24"/>
          <w:szCs w:val="24"/>
        </w:rPr>
        <w:t>ns referred to in sub-section 6</w:t>
      </w:r>
      <w:r w:rsidR="00B57F6D" w:rsidRPr="00BC3C64">
        <w:rPr>
          <w:sz w:val="24"/>
          <w:szCs w:val="24"/>
        </w:rPr>
        <w:t xml:space="preserve">(3) of the Principal Act holds office, by virtue of sub-section (1), as if </w:t>
      </w:r>
      <w:r>
        <w:rPr>
          <w:sz w:val="24"/>
          <w:szCs w:val="24"/>
        </w:rPr>
        <w:t>he had been appointed in accord</w:t>
      </w:r>
      <w:r w:rsidR="00B57F6D" w:rsidRPr="00BC3C64">
        <w:rPr>
          <w:sz w:val="24"/>
          <w:szCs w:val="24"/>
        </w:rPr>
        <w:t>ance with sub-section 6(3) of the Principal Act as amended by this Act.</w:t>
      </w:r>
    </w:p>
    <w:p w14:paraId="38590757" w14:textId="3320D8CF" w:rsidR="0097719A" w:rsidRPr="00BC3C64" w:rsidRDefault="00A736F0" w:rsidP="00A736F0">
      <w:pPr>
        <w:pStyle w:val="BodyText1"/>
        <w:spacing w:after="120" w:line="240" w:lineRule="auto"/>
        <w:ind w:firstLine="270"/>
        <w:jc w:val="left"/>
        <w:rPr>
          <w:sz w:val="24"/>
          <w:szCs w:val="24"/>
        </w:rPr>
      </w:pPr>
      <w:r>
        <w:rPr>
          <w:sz w:val="24"/>
          <w:szCs w:val="24"/>
        </w:rPr>
        <w:t xml:space="preserve">(3) </w:t>
      </w:r>
      <w:r w:rsidR="00B57F6D" w:rsidRPr="00BC3C64">
        <w:rPr>
          <w:sz w:val="24"/>
          <w:szCs w:val="24"/>
        </w:rPr>
        <w:t>A person who held office as</w:t>
      </w:r>
      <w:r>
        <w:rPr>
          <w:sz w:val="24"/>
          <w:szCs w:val="24"/>
        </w:rPr>
        <w:t xml:space="preserve"> a non-voting member of the Aus</w:t>
      </w:r>
      <w:r w:rsidR="00B57F6D" w:rsidRPr="00BC3C64">
        <w:rPr>
          <w:sz w:val="24"/>
          <w:szCs w:val="24"/>
        </w:rPr>
        <w:t>tralian Tourist Commission immediately before the commencement of this Act holds office, by virtue of sub-section (1), as if he had been appointed in accordance with sub-section 6(4) of the Principal Act as amended by this Act.</w:t>
      </w:r>
    </w:p>
    <w:p w14:paraId="4A7B6215" w14:textId="0EB7C404" w:rsidR="0097719A" w:rsidRPr="00BC3C64" w:rsidRDefault="00A736F0" w:rsidP="00A736F0">
      <w:pPr>
        <w:pStyle w:val="BodyText1"/>
        <w:spacing w:line="240" w:lineRule="auto"/>
        <w:ind w:firstLine="270"/>
        <w:jc w:val="left"/>
        <w:rPr>
          <w:sz w:val="24"/>
          <w:szCs w:val="24"/>
        </w:rPr>
      </w:pPr>
      <w:r>
        <w:rPr>
          <w:sz w:val="24"/>
          <w:szCs w:val="24"/>
        </w:rPr>
        <w:t xml:space="preserve">(4) </w:t>
      </w:r>
      <w:r w:rsidR="00B57F6D" w:rsidRPr="00BC3C64">
        <w:rPr>
          <w:sz w:val="24"/>
          <w:szCs w:val="24"/>
        </w:rPr>
        <w:t>A person who held office as Chairman or Deputy Chairman of the Australian Tourist Commission immediately before the commencement of this Act continues in office, after the commencement of this Act, for the remainder of the period for which he was appointed as if he had been appointed under the Principal Act as amended by this Act.</w:t>
      </w:r>
    </w:p>
    <w:p w14:paraId="7A6E926C" w14:textId="77777777" w:rsidR="00A736F0" w:rsidRPr="00A736F0" w:rsidRDefault="00A736F0" w:rsidP="00A736F0">
      <w:pPr>
        <w:pStyle w:val="Bodytext51"/>
        <w:spacing w:before="120" w:after="60" w:line="240" w:lineRule="auto"/>
        <w:jc w:val="left"/>
        <w:rPr>
          <w:b/>
          <w:sz w:val="20"/>
        </w:rPr>
      </w:pPr>
      <w:r w:rsidRPr="00A736F0">
        <w:rPr>
          <w:b/>
          <w:sz w:val="20"/>
        </w:rPr>
        <w:t xml:space="preserve">Transitional provision. </w:t>
      </w:r>
    </w:p>
    <w:p w14:paraId="7EF42E6B" w14:textId="3AE7770A" w:rsidR="0097719A" w:rsidRPr="00BC3C64" w:rsidRDefault="00A736F0" w:rsidP="00A736F0">
      <w:pPr>
        <w:pStyle w:val="BodyText1"/>
        <w:tabs>
          <w:tab w:val="left" w:pos="630"/>
        </w:tabs>
        <w:spacing w:after="60" w:line="240" w:lineRule="auto"/>
        <w:ind w:firstLine="270"/>
        <w:jc w:val="left"/>
        <w:rPr>
          <w:sz w:val="24"/>
          <w:szCs w:val="24"/>
        </w:rPr>
      </w:pPr>
      <w:r w:rsidRPr="00A736F0">
        <w:rPr>
          <w:b/>
          <w:sz w:val="24"/>
          <w:szCs w:val="24"/>
        </w:rPr>
        <w:t>19.</w:t>
      </w:r>
      <w:r>
        <w:rPr>
          <w:b/>
          <w:sz w:val="24"/>
          <w:szCs w:val="24"/>
        </w:rPr>
        <w:tab/>
      </w:r>
      <w:r w:rsidR="00B57F6D" w:rsidRPr="00BC3C64">
        <w:rPr>
          <w:sz w:val="24"/>
          <w:szCs w:val="24"/>
        </w:rPr>
        <w:t>Notwithstanding the provisions of sub-section 14(5) of the Principal Act as amended by this Act, until the vacancies in the membership of the Australian Tourist Commission resulting from the amendments of the Principal Act effected by this Act have been filled, at a meeting of the Commission, three members of the Commission, one being the Chairman or Deputy Chairman of the Commission, constitute a quorum.</w:t>
      </w:r>
    </w:p>
    <w:p w14:paraId="78A5C25E" w14:textId="77777777" w:rsidR="00A736F0" w:rsidRPr="00A736F0" w:rsidRDefault="00A736F0" w:rsidP="00A736F0">
      <w:pPr>
        <w:pStyle w:val="Bodytext51"/>
        <w:spacing w:before="120" w:after="60" w:line="240" w:lineRule="auto"/>
        <w:jc w:val="left"/>
        <w:rPr>
          <w:b/>
          <w:sz w:val="20"/>
        </w:rPr>
      </w:pPr>
      <w:r w:rsidRPr="00A736F0">
        <w:rPr>
          <w:b/>
          <w:sz w:val="20"/>
        </w:rPr>
        <w:t>Formal amendments.</w:t>
      </w:r>
    </w:p>
    <w:p w14:paraId="0A1E87F6" w14:textId="77777777" w:rsidR="0097719A" w:rsidRDefault="00A736F0" w:rsidP="00A736F0">
      <w:pPr>
        <w:pStyle w:val="BodyText1"/>
        <w:tabs>
          <w:tab w:val="left" w:pos="630"/>
        </w:tabs>
        <w:spacing w:after="60" w:line="240" w:lineRule="auto"/>
        <w:ind w:firstLine="270"/>
        <w:jc w:val="left"/>
        <w:rPr>
          <w:sz w:val="24"/>
          <w:szCs w:val="24"/>
        </w:rPr>
      </w:pPr>
      <w:r w:rsidRPr="00A736F0">
        <w:rPr>
          <w:b/>
          <w:sz w:val="24"/>
          <w:szCs w:val="24"/>
        </w:rPr>
        <w:t>20.</w:t>
      </w:r>
      <w:r>
        <w:rPr>
          <w:b/>
          <w:sz w:val="24"/>
          <w:szCs w:val="24"/>
        </w:rPr>
        <w:tab/>
      </w:r>
      <w:r w:rsidR="00B57F6D" w:rsidRPr="00BC3C64">
        <w:rPr>
          <w:sz w:val="24"/>
          <w:szCs w:val="24"/>
        </w:rPr>
        <w:t>The Principal Act is amended as set out in the Schedule.</w:t>
      </w:r>
    </w:p>
    <w:p w14:paraId="0EC0E1A8" w14:textId="77777777" w:rsidR="009C3A68" w:rsidRDefault="009C3A68" w:rsidP="00B87AB4">
      <w:pPr>
        <w:pStyle w:val="BodyText1"/>
        <w:tabs>
          <w:tab w:val="left" w:pos="630"/>
        </w:tabs>
        <w:spacing w:after="60" w:line="240" w:lineRule="auto"/>
        <w:ind w:firstLine="270"/>
        <w:jc w:val="center"/>
        <w:rPr>
          <w:b/>
          <w:sz w:val="24"/>
          <w:szCs w:val="24"/>
        </w:rPr>
      </w:pPr>
      <w:r w:rsidRPr="009C3A68">
        <w:rPr>
          <w:b/>
          <w:sz w:val="24"/>
          <w:szCs w:val="24"/>
        </w:rPr>
        <w:t>__________</w:t>
      </w:r>
    </w:p>
    <w:p w14:paraId="189DB08B" w14:textId="77777777" w:rsidR="009C3A68" w:rsidRPr="009C3A68" w:rsidRDefault="009C3A68" w:rsidP="009C3A68">
      <w:pPr>
        <w:pStyle w:val="BodyText1"/>
        <w:tabs>
          <w:tab w:val="left" w:pos="630"/>
        </w:tabs>
        <w:spacing w:after="60" w:line="240" w:lineRule="auto"/>
        <w:ind w:firstLine="270"/>
        <w:jc w:val="center"/>
        <w:rPr>
          <w:b/>
          <w:sz w:val="24"/>
          <w:szCs w:val="24"/>
        </w:rPr>
      </w:pPr>
    </w:p>
    <w:p w14:paraId="748A750C" w14:textId="4FF8FEDE" w:rsidR="00631556" w:rsidRDefault="00B57F6D" w:rsidP="00B87AB4">
      <w:pPr>
        <w:pStyle w:val="Bodytext51"/>
        <w:tabs>
          <w:tab w:val="left" w:pos="7920"/>
        </w:tabs>
        <w:spacing w:after="120" w:line="240" w:lineRule="auto"/>
        <w:ind w:firstLine="3960"/>
        <w:jc w:val="center"/>
        <w:rPr>
          <w:sz w:val="24"/>
          <w:szCs w:val="24"/>
        </w:rPr>
      </w:pPr>
      <w:r w:rsidRPr="00631556">
        <w:rPr>
          <w:rStyle w:val="Bodytext5105pt"/>
          <w:sz w:val="28"/>
          <w:szCs w:val="28"/>
        </w:rPr>
        <w:t>SCHEDULE</w:t>
      </w:r>
      <w:r w:rsidR="00631556">
        <w:rPr>
          <w:sz w:val="24"/>
          <w:szCs w:val="24"/>
        </w:rPr>
        <w:tab/>
        <w:t>Section</w:t>
      </w:r>
      <w:r w:rsidR="00B6473C">
        <w:rPr>
          <w:sz w:val="24"/>
          <w:szCs w:val="24"/>
        </w:rPr>
        <w:t xml:space="preserve"> </w:t>
      </w:r>
      <w:r w:rsidR="00631556" w:rsidRPr="00BC3C64">
        <w:rPr>
          <w:sz w:val="24"/>
          <w:szCs w:val="24"/>
        </w:rPr>
        <w:t>20</w:t>
      </w:r>
    </w:p>
    <w:p w14:paraId="7EB9422B" w14:textId="77777777" w:rsidR="009C3A68" w:rsidRDefault="009C3A68" w:rsidP="009C3A68">
      <w:pPr>
        <w:pStyle w:val="Bodytext51"/>
        <w:spacing w:after="120" w:line="240" w:lineRule="auto"/>
        <w:jc w:val="center"/>
        <w:rPr>
          <w:sz w:val="24"/>
          <w:szCs w:val="24"/>
        </w:rPr>
      </w:pPr>
      <w:r w:rsidRPr="00BC3C64">
        <w:rPr>
          <w:sz w:val="24"/>
          <w:szCs w:val="24"/>
        </w:rPr>
        <w:t>FORMAL AMENDMENTS</w:t>
      </w:r>
    </w:p>
    <w:p w14:paraId="242C72B8" w14:textId="507C69F0" w:rsidR="009C3A68" w:rsidRDefault="00B87AB4" w:rsidP="00B87AB4">
      <w:pPr>
        <w:pStyle w:val="BodyText1"/>
        <w:tabs>
          <w:tab w:val="left" w:pos="630"/>
        </w:tabs>
        <w:spacing w:after="60" w:line="240" w:lineRule="auto"/>
        <w:ind w:firstLine="270"/>
        <w:jc w:val="left"/>
        <w:rPr>
          <w:sz w:val="24"/>
          <w:szCs w:val="24"/>
        </w:rPr>
      </w:pPr>
      <w:r>
        <w:rPr>
          <w:sz w:val="24"/>
          <w:szCs w:val="24"/>
        </w:rPr>
        <w:t>1.</w:t>
      </w:r>
      <w:r>
        <w:rPr>
          <w:sz w:val="24"/>
          <w:szCs w:val="24"/>
        </w:rPr>
        <w:tab/>
      </w:r>
      <w:r w:rsidR="009C3A68" w:rsidRPr="00BC3C64">
        <w:rPr>
          <w:sz w:val="24"/>
          <w:szCs w:val="24"/>
        </w:rPr>
        <w:t>The following provisions of the Principal Act are amended by omitting the words “of this Act” and “of this section”</w:t>
      </w:r>
      <w:r w:rsidR="009C3A68">
        <w:rPr>
          <w:sz w:val="24"/>
          <w:szCs w:val="24"/>
        </w:rPr>
        <w:t>:</w:t>
      </w:r>
      <w:r w:rsidR="00D93C6C" w:rsidRPr="00BC3C64">
        <w:rPr>
          <w:sz w:val="24"/>
          <w:szCs w:val="24"/>
        </w:rPr>
        <w:t>—</w:t>
      </w:r>
    </w:p>
    <w:p w14:paraId="5839C380" w14:textId="70C505C2" w:rsidR="009C3A68" w:rsidRDefault="009C3A68" w:rsidP="009C3A68">
      <w:pPr>
        <w:pStyle w:val="Bodytext51"/>
        <w:spacing w:after="120" w:line="240" w:lineRule="auto"/>
        <w:ind w:left="630" w:firstLine="270"/>
        <w:jc w:val="left"/>
        <w:rPr>
          <w:sz w:val="24"/>
          <w:szCs w:val="24"/>
        </w:rPr>
      </w:pPr>
      <w:r w:rsidRPr="00BC3C64">
        <w:rPr>
          <w:sz w:val="24"/>
          <w:szCs w:val="24"/>
        </w:rPr>
        <w:t>Sections 6(3) and (6), 16(1) and (4), and 28(1).</w:t>
      </w:r>
    </w:p>
    <w:p w14:paraId="3B0DEA5B" w14:textId="77777777" w:rsidR="009C3A68" w:rsidRPr="009C3A68" w:rsidRDefault="009C3A68" w:rsidP="009C3A68">
      <w:pPr>
        <w:pStyle w:val="BodyText1"/>
        <w:tabs>
          <w:tab w:val="left" w:pos="630"/>
        </w:tabs>
        <w:spacing w:after="60" w:line="240" w:lineRule="auto"/>
        <w:ind w:firstLine="270"/>
        <w:jc w:val="left"/>
        <w:rPr>
          <w:sz w:val="24"/>
          <w:szCs w:val="24"/>
        </w:rPr>
      </w:pPr>
      <w:r>
        <w:rPr>
          <w:sz w:val="24"/>
          <w:szCs w:val="24"/>
        </w:rPr>
        <w:t>2.</w:t>
      </w:r>
      <w:r>
        <w:rPr>
          <w:sz w:val="24"/>
          <w:szCs w:val="24"/>
        </w:rPr>
        <w:tab/>
      </w:r>
      <w:r w:rsidRPr="00BC3C64">
        <w:rPr>
          <w:sz w:val="24"/>
          <w:szCs w:val="24"/>
        </w:rPr>
        <w:t xml:space="preserve">The Principal Act is further amended as </w:t>
      </w:r>
      <w:r>
        <w:rPr>
          <w:sz w:val="24"/>
          <w:szCs w:val="24"/>
        </w:rPr>
        <w:t>set out in the following table:</w:t>
      </w:r>
    </w:p>
    <w:tbl>
      <w:tblPr>
        <w:tblStyle w:val="TableGrid"/>
        <w:tblW w:w="0" w:type="auto"/>
        <w:tblLook w:val="04A0" w:firstRow="1" w:lastRow="0" w:firstColumn="1" w:lastColumn="0" w:noHBand="0" w:noVBand="1"/>
      </w:tblPr>
      <w:tblGrid>
        <w:gridCol w:w="3530"/>
        <w:gridCol w:w="6435"/>
      </w:tblGrid>
      <w:tr w:rsidR="00631556" w14:paraId="61759E1B" w14:textId="77777777" w:rsidTr="008867FE">
        <w:trPr>
          <w:trHeight w:val="458"/>
        </w:trPr>
        <w:tc>
          <w:tcPr>
            <w:tcW w:w="3528" w:type="dxa"/>
            <w:tcBorders>
              <w:left w:val="nil"/>
              <w:right w:val="nil"/>
            </w:tcBorders>
            <w:vAlign w:val="center"/>
          </w:tcPr>
          <w:p w14:paraId="1FE46B45" w14:textId="77777777" w:rsidR="00631556" w:rsidRDefault="00631556" w:rsidP="008867FE">
            <w:pPr>
              <w:pStyle w:val="Bodytext51"/>
              <w:spacing w:line="240" w:lineRule="auto"/>
              <w:jc w:val="left"/>
              <w:rPr>
                <w:sz w:val="24"/>
                <w:szCs w:val="24"/>
              </w:rPr>
            </w:pPr>
            <w:r>
              <w:rPr>
                <w:sz w:val="24"/>
                <w:szCs w:val="24"/>
              </w:rPr>
              <w:t>Provision</w:t>
            </w:r>
          </w:p>
        </w:tc>
        <w:tc>
          <w:tcPr>
            <w:tcW w:w="6437" w:type="dxa"/>
            <w:tcBorders>
              <w:left w:val="nil"/>
              <w:bottom w:val="single" w:sz="4" w:space="0" w:color="auto"/>
              <w:right w:val="nil"/>
            </w:tcBorders>
            <w:vAlign w:val="center"/>
          </w:tcPr>
          <w:p w14:paraId="18F3F11D" w14:textId="77777777" w:rsidR="00631556" w:rsidRDefault="00631556" w:rsidP="008867FE">
            <w:pPr>
              <w:pStyle w:val="Bodytext51"/>
              <w:tabs>
                <w:tab w:val="left" w:pos="7920"/>
              </w:tabs>
              <w:spacing w:line="240" w:lineRule="auto"/>
              <w:jc w:val="left"/>
              <w:rPr>
                <w:sz w:val="24"/>
                <w:szCs w:val="24"/>
              </w:rPr>
            </w:pPr>
            <w:r w:rsidRPr="00BC3C64">
              <w:rPr>
                <w:sz w:val="24"/>
                <w:szCs w:val="24"/>
              </w:rPr>
              <w:t>Amendment</w:t>
            </w:r>
          </w:p>
        </w:tc>
      </w:tr>
      <w:tr w:rsidR="00631556" w14:paraId="2E82841C" w14:textId="77777777" w:rsidTr="008867FE">
        <w:tc>
          <w:tcPr>
            <w:tcW w:w="3528" w:type="dxa"/>
            <w:tcBorders>
              <w:left w:val="nil"/>
              <w:bottom w:val="nil"/>
              <w:right w:val="nil"/>
            </w:tcBorders>
          </w:tcPr>
          <w:p w14:paraId="783F50F7" w14:textId="6A4DBA0D" w:rsidR="00631556" w:rsidRDefault="00631556" w:rsidP="00B6473C">
            <w:pPr>
              <w:pStyle w:val="Bodytext51"/>
              <w:tabs>
                <w:tab w:val="left" w:leader="dot" w:pos="3306"/>
                <w:tab w:val="left" w:pos="7920"/>
              </w:tabs>
              <w:spacing w:line="240" w:lineRule="auto"/>
              <w:ind w:right="-18"/>
              <w:jc w:val="left"/>
              <w:rPr>
                <w:sz w:val="24"/>
                <w:szCs w:val="24"/>
              </w:rPr>
            </w:pPr>
            <w:r w:rsidRPr="00BC3C64">
              <w:rPr>
                <w:sz w:val="24"/>
                <w:szCs w:val="24"/>
              </w:rPr>
              <w:t>Section</w:t>
            </w:r>
            <w:r w:rsidR="00B6473C">
              <w:rPr>
                <w:sz w:val="24"/>
                <w:szCs w:val="24"/>
              </w:rPr>
              <w:t xml:space="preserve"> </w:t>
            </w:r>
            <w:r w:rsidRPr="00BC3C64">
              <w:rPr>
                <w:sz w:val="24"/>
                <w:szCs w:val="24"/>
              </w:rPr>
              <w:t>25</w:t>
            </w:r>
            <w:r>
              <w:rPr>
                <w:sz w:val="24"/>
                <w:szCs w:val="24"/>
              </w:rPr>
              <w:tab/>
            </w:r>
          </w:p>
        </w:tc>
        <w:tc>
          <w:tcPr>
            <w:tcW w:w="6437" w:type="dxa"/>
            <w:tcBorders>
              <w:left w:val="nil"/>
              <w:bottom w:val="nil"/>
              <w:right w:val="nil"/>
            </w:tcBorders>
            <w:vAlign w:val="bottom"/>
          </w:tcPr>
          <w:p w14:paraId="301207CC" w14:textId="4E374E9F" w:rsidR="00631556" w:rsidRPr="00BC3C64" w:rsidRDefault="00631556" w:rsidP="009C3A68">
            <w:pPr>
              <w:pStyle w:val="Bodytext51"/>
              <w:spacing w:line="240" w:lineRule="auto"/>
              <w:jc w:val="left"/>
              <w:rPr>
                <w:sz w:val="24"/>
                <w:szCs w:val="24"/>
              </w:rPr>
            </w:pPr>
            <w:r w:rsidRPr="00BC3C64">
              <w:rPr>
                <w:sz w:val="24"/>
                <w:szCs w:val="24"/>
              </w:rPr>
              <w:t>(a) Omit “the fir</w:t>
            </w:r>
            <w:r>
              <w:rPr>
                <w:sz w:val="24"/>
                <w:szCs w:val="24"/>
              </w:rPr>
              <w:t>st day of April”, substitute</w:t>
            </w:r>
            <w:r w:rsidR="00B6473C">
              <w:rPr>
                <w:sz w:val="24"/>
                <w:szCs w:val="24"/>
              </w:rPr>
              <w:t xml:space="preserve"> “</w:t>
            </w:r>
            <w:r>
              <w:rPr>
                <w:sz w:val="24"/>
                <w:szCs w:val="24"/>
              </w:rPr>
              <w:t xml:space="preserve">1 </w:t>
            </w:r>
            <w:r w:rsidRPr="00BC3C64">
              <w:rPr>
                <w:sz w:val="24"/>
                <w:szCs w:val="24"/>
              </w:rPr>
              <w:t>April”.</w:t>
            </w:r>
          </w:p>
          <w:p w14:paraId="3EC1DE86" w14:textId="4699AC0D" w:rsidR="00631556" w:rsidRDefault="00631556" w:rsidP="00B6473C">
            <w:pPr>
              <w:pStyle w:val="Bodytext51"/>
              <w:tabs>
                <w:tab w:val="left" w:pos="7920"/>
              </w:tabs>
              <w:spacing w:line="240" w:lineRule="auto"/>
              <w:jc w:val="left"/>
              <w:rPr>
                <w:sz w:val="24"/>
                <w:szCs w:val="24"/>
              </w:rPr>
            </w:pPr>
            <w:r w:rsidRPr="00BC3C64">
              <w:rPr>
                <w:sz w:val="24"/>
                <w:szCs w:val="24"/>
              </w:rPr>
              <w:t>(b) Omit “first day of July”, substitute</w:t>
            </w:r>
            <w:r w:rsidR="00B6473C">
              <w:rPr>
                <w:sz w:val="24"/>
                <w:szCs w:val="24"/>
              </w:rPr>
              <w:t xml:space="preserve"> “</w:t>
            </w:r>
            <w:r w:rsidRPr="00BC3C64">
              <w:rPr>
                <w:sz w:val="24"/>
                <w:szCs w:val="24"/>
              </w:rPr>
              <w:t>1 July”.</w:t>
            </w:r>
          </w:p>
        </w:tc>
      </w:tr>
      <w:tr w:rsidR="009C3A68" w14:paraId="16186DCB" w14:textId="77777777" w:rsidTr="008867FE">
        <w:trPr>
          <w:trHeight w:val="332"/>
        </w:trPr>
        <w:tc>
          <w:tcPr>
            <w:tcW w:w="3531" w:type="dxa"/>
            <w:tcBorders>
              <w:top w:val="nil"/>
              <w:left w:val="nil"/>
              <w:bottom w:val="single" w:sz="4" w:space="0" w:color="auto"/>
              <w:right w:val="nil"/>
            </w:tcBorders>
          </w:tcPr>
          <w:p w14:paraId="6013004F" w14:textId="61E327AD" w:rsidR="009C3A68" w:rsidRDefault="009C3A68" w:rsidP="00B6473C">
            <w:pPr>
              <w:pStyle w:val="Bodytext51"/>
              <w:tabs>
                <w:tab w:val="left" w:leader="dot" w:pos="3306"/>
                <w:tab w:val="left" w:pos="7920"/>
              </w:tabs>
              <w:spacing w:line="240" w:lineRule="auto"/>
              <w:ind w:right="-18"/>
              <w:jc w:val="left"/>
              <w:rPr>
                <w:sz w:val="24"/>
                <w:szCs w:val="24"/>
              </w:rPr>
            </w:pPr>
            <w:r w:rsidRPr="00BC3C64">
              <w:rPr>
                <w:sz w:val="24"/>
                <w:szCs w:val="24"/>
              </w:rPr>
              <w:t>Section</w:t>
            </w:r>
            <w:r w:rsidR="00B6473C">
              <w:rPr>
                <w:sz w:val="24"/>
                <w:szCs w:val="24"/>
              </w:rPr>
              <w:t xml:space="preserve"> </w:t>
            </w:r>
            <w:r w:rsidRPr="00BC3C64">
              <w:rPr>
                <w:sz w:val="24"/>
                <w:szCs w:val="24"/>
              </w:rPr>
              <w:t>29(l)</w:t>
            </w:r>
            <w:r>
              <w:rPr>
                <w:sz w:val="24"/>
                <w:szCs w:val="24"/>
              </w:rPr>
              <w:tab/>
            </w:r>
          </w:p>
        </w:tc>
        <w:tc>
          <w:tcPr>
            <w:tcW w:w="6434" w:type="dxa"/>
            <w:tcBorders>
              <w:top w:val="nil"/>
              <w:left w:val="nil"/>
              <w:bottom w:val="single" w:sz="4" w:space="0" w:color="auto"/>
              <w:right w:val="nil"/>
            </w:tcBorders>
          </w:tcPr>
          <w:p w14:paraId="53FFC43E" w14:textId="2421A1E2" w:rsidR="009C3A68" w:rsidRDefault="009C3A68" w:rsidP="00B6473C">
            <w:pPr>
              <w:pStyle w:val="Bodytext51"/>
              <w:spacing w:line="240" w:lineRule="auto"/>
              <w:jc w:val="left"/>
              <w:rPr>
                <w:sz w:val="24"/>
                <w:szCs w:val="24"/>
              </w:rPr>
            </w:pPr>
            <w:r>
              <w:rPr>
                <w:sz w:val="24"/>
                <w:szCs w:val="24"/>
              </w:rPr>
              <w:t>O</w:t>
            </w:r>
            <w:r w:rsidRPr="00BC3C64">
              <w:rPr>
                <w:sz w:val="24"/>
                <w:szCs w:val="24"/>
              </w:rPr>
              <w:t>mit</w:t>
            </w:r>
            <w:r w:rsidR="00B6473C">
              <w:rPr>
                <w:sz w:val="24"/>
                <w:szCs w:val="24"/>
              </w:rPr>
              <w:t xml:space="preserve"> </w:t>
            </w:r>
            <w:r w:rsidRPr="00BC3C64">
              <w:rPr>
                <w:sz w:val="24"/>
                <w:szCs w:val="24"/>
              </w:rPr>
              <w:t>“thirtieth</w:t>
            </w:r>
            <w:r w:rsidR="00B6473C">
              <w:rPr>
                <w:sz w:val="24"/>
                <w:szCs w:val="24"/>
              </w:rPr>
              <w:t xml:space="preserve"> </w:t>
            </w:r>
            <w:r w:rsidRPr="00BC3C64">
              <w:rPr>
                <w:sz w:val="24"/>
                <w:szCs w:val="24"/>
              </w:rPr>
              <w:t>day</w:t>
            </w:r>
            <w:r w:rsidR="00B6473C">
              <w:rPr>
                <w:sz w:val="24"/>
                <w:szCs w:val="24"/>
              </w:rPr>
              <w:t xml:space="preserve"> </w:t>
            </w:r>
            <w:r w:rsidRPr="00BC3C64">
              <w:rPr>
                <w:sz w:val="24"/>
                <w:szCs w:val="24"/>
              </w:rPr>
              <w:t>of</w:t>
            </w:r>
            <w:r w:rsidR="00B6473C">
              <w:rPr>
                <w:sz w:val="24"/>
                <w:szCs w:val="24"/>
              </w:rPr>
              <w:t xml:space="preserve"> J</w:t>
            </w:r>
            <w:r w:rsidRPr="00BC3C64">
              <w:rPr>
                <w:sz w:val="24"/>
                <w:szCs w:val="24"/>
              </w:rPr>
              <w:t>une”,</w:t>
            </w:r>
            <w:r w:rsidR="00B6473C">
              <w:rPr>
                <w:sz w:val="24"/>
                <w:szCs w:val="24"/>
              </w:rPr>
              <w:t xml:space="preserve"> </w:t>
            </w:r>
            <w:r w:rsidRPr="00BC3C64">
              <w:rPr>
                <w:sz w:val="24"/>
                <w:szCs w:val="24"/>
              </w:rPr>
              <w:t>substitute</w:t>
            </w:r>
            <w:r w:rsidR="00B6473C">
              <w:rPr>
                <w:sz w:val="24"/>
                <w:szCs w:val="24"/>
              </w:rPr>
              <w:t xml:space="preserve"> </w:t>
            </w:r>
            <w:r w:rsidRPr="00BC3C64">
              <w:rPr>
                <w:sz w:val="24"/>
                <w:szCs w:val="24"/>
              </w:rPr>
              <w:t>“30 June”.</w:t>
            </w:r>
          </w:p>
        </w:tc>
      </w:tr>
    </w:tbl>
    <w:p w14:paraId="4238D478" w14:textId="77777777" w:rsidR="00B87AB4" w:rsidRDefault="00B87AB4" w:rsidP="008867FE">
      <w:pPr>
        <w:pStyle w:val="BodyText1"/>
        <w:pBdr>
          <w:bottom w:val="single" w:sz="12" w:space="1" w:color="auto"/>
        </w:pBdr>
        <w:spacing w:line="240" w:lineRule="auto"/>
        <w:ind w:firstLine="0"/>
        <w:jc w:val="center"/>
        <w:rPr>
          <w:b/>
          <w:sz w:val="24"/>
          <w:szCs w:val="24"/>
        </w:rPr>
      </w:pPr>
    </w:p>
    <w:p w14:paraId="413ECE58" w14:textId="4836DFA3" w:rsidR="0097719A" w:rsidRPr="00BC3C64" w:rsidRDefault="0097719A" w:rsidP="00B87AB4">
      <w:pPr>
        <w:pStyle w:val="BodyText1"/>
        <w:tabs>
          <w:tab w:val="left" w:pos="630"/>
        </w:tabs>
        <w:spacing w:after="60" w:line="240" w:lineRule="auto"/>
        <w:ind w:firstLine="270"/>
        <w:jc w:val="left"/>
        <w:rPr>
          <w:sz w:val="24"/>
          <w:szCs w:val="24"/>
        </w:rPr>
      </w:pPr>
    </w:p>
    <w:sectPr w:rsidR="0097719A" w:rsidRPr="00BC3C64" w:rsidSect="001F50DD">
      <w:headerReference w:type="even" r:id="rId8"/>
      <w:headerReference w:type="default" r:id="rId9"/>
      <w:type w:val="continuous"/>
      <w:pgSz w:w="11909" w:h="18000"/>
      <w:pgMar w:top="1080" w:right="1080" w:bottom="1080" w:left="1080" w:header="72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36F01" w14:textId="77777777" w:rsidR="00C524A5" w:rsidRDefault="00C524A5">
      <w:r>
        <w:separator/>
      </w:r>
    </w:p>
  </w:endnote>
  <w:endnote w:type="continuationSeparator" w:id="0">
    <w:p w14:paraId="04CDB61E" w14:textId="77777777" w:rsidR="00C524A5" w:rsidRDefault="00C5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A3C43" w14:textId="77777777" w:rsidR="00C524A5" w:rsidRDefault="00C524A5"/>
  </w:footnote>
  <w:footnote w:type="continuationSeparator" w:id="0">
    <w:p w14:paraId="56E16C38" w14:textId="77777777" w:rsidR="00C524A5" w:rsidRDefault="00C524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7663F" w14:textId="77777777" w:rsidR="001F50DD" w:rsidRPr="001F50DD" w:rsidRDefault="001F50DD" w:rsidP="001F50DD">
    <w:pPr>
      <w:pStyle w:val="Header"/>
      <w:tabs>
        <w:tab w:val="clear" w:pos="4513"/>
        <w:tab w:val="clear" w:pos="9026"/>
        <w:tab w:val="center" w:pos="5040"/>
        <w:tab w:val="right" w:pos="9720"/>
      </w:tabs>
      <w:rPr>
        <w:rFonts w:ascii="Times New Roman" w:hAnsi="Times New Roman" w:cs="Times New Roman"/>
        <w:sz w:val="22"/>
        <w:szCs w:val="22"/>
        <w:lang w:val="en-IN"/>
      </w:rPr>
    </w:pPr>
    <w:r w:rsidRPr="001F50DD">
      <w:rPr>
        <w:rFonts w:ascii="Times New Roman" w:hAnsi="Times New Roman" w:cs="Times New Roman"/>
        <w:sz w:val="22"/>
        <w:szCs w:val="22"/>
        <w:lang w:val="en-IN"/>
      </w:rPr>
      <w:t>1974</w:t>
    </w:r>
    <w:r>
      <w:rPr>
        <w:rFonts w:ascii="Times New Roman" w:hAnsi="Times New Roman" w:cs="Times New Roman"/>
        <w:sz w:val="22"/>
        <w:szCs w:val="22"/>
        <w:lang w:val="en-IN"/>
      </w:rPr>
      <w:tab/>
    </w:r>
    <w:r w:rsidRPr="001F50DD">
      <w:rPr>
        <w:rFonts w:ascii="Times New Roman" w:hAnsi="Times New Roman" w:cs="Times New Roman"/>
        <w:i/>
        <w:sz w:val="22"/>
        <w:szCs w:val="22"/>
        <w:lang w:val="en-IN"/>
      </w:rPr>
      <w:t>Australian Tourist Commission</w:t>
    </w:r>
    <w:r>
      <w:rPr>
        <w:rFonts w:ascii="Times New Roman" w:hAnsi="Times New Roman" w:cs="Times New Roman"/>
        <w:sz w:val="22"/>
        <w:szCs w:val="22"/>
        <w:lang w:val="en-IN"/>
      </w:rPr>
      <w:tab/>
    </w:r>
    <w:r w:rsidRPr="001F50DD">
      <w:rPr>
        <w:rFonts w:ascii="Times New Roman" w:hAnsi="Times New Roman" w:cs="Times New Roman"/>
        <w:sz w:val="22"/>
        <w:szCs w:val="22"/>
        <w:lang w:val="en-IN"/>
      </w:rPr>
      <w:t>No. 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50036" w14:textId="77777777" w:rsidR="001F50DD" w:rsidRPr="001F50DD" w:rsidRDefault="001F50DD" w:rsidP="001F50DD">
    <w:pPr>
      <w:pStyle w:val="Header"/>
      <w:tabs>
        <w:tab w:val="clear" w:pos="4513"/>
        <w:tab w:val="clear" w:pos="9026"/>
        <w:tab w:val="center" w:pos="5040"/>
        <w:tab w:val="right" w:pos="9720"/>
      </w:tabs>
      <w:rPr>
        <w:rFonts w:ascii="Times New Roman" w:hAnsi="Times New Roman" w:cs="Times New Roman"/>
        <w:sz w:val="22"/>
        <w:szCs w:val="22"/>
        <w:lang w:val="en-IN"/>
      </w:rPr>
    </w:pPr>
    <w:r w:rsidRPr="001F50DD">
      <w:rPr>
        <w:rFonts w:ascii="Times New Roman" w:hAnsi="Times New Roman" w:cs="Times New Roman"/>
        <w:sz w:val="22"/>
        <w:szCs w:val="22"/>
        <w:lang w:val="en-IN"/>
      </w:rPr>
      <w:t>No. 82</w:t>
    </w:r>
    <w:r w:rsidRPr="001F50DD">
      <w:rPr>
        <w:rFonts w:ascii="Times New Roman" w:hAnsi="Times New Roman" w:cs="Times New Roman"/>
        <w:sz w:val="22"/>
        <w:szCs w:val="22"/>
        <w:lang w:val="en-IN"/>
      </w:rPr>
      <w:tab/>
    </w:r>
    <w:r w:rsidRPr="001F50DD">
      <w:rPr>
        <w:rFonts w:ascii="Times New Roman" w:hAnsi="Times New Roman" w:cs="Times New Roman"/>
        <w:i/>
        <w:sz w:val="22"/>
        <w:szCs w:val="22"/>
        <w:lang w:val="en-IN"/>
      </w:rPr>
      <w:t>Australian Tourist Commission</w:t>
    </w:r>
    <w:r w:rsidRPr="001F50DD">
      <w:rPr>
        <w:rFonts w:ascii="Times New Roman" w:hAnsi="Times New Roman" w:cs="Times New Roman"/>
        <w:sz w:val="22"/>
        <w:szCs w:val="22"/>
        <w:lang w:val="en-IN"/>
      </w:rPr>
      <w:tab/>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9A0"/>
    <w:multiLevelType w:val="multilevel"/>
    <w:tmpl w:val="C48CE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043FA"/>
    <w:multiLevelType w:val="hybridMultilevel"/>
    <w:tmpl w:val="C29EB666"/>
    <w:lvl w:ilvl="0" w:tplc="8146B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5B63F1"/>
    <w:multiLevelType w:val="multilevel"/>
    <w:tmpl w:val="C31452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E4A59"/>
    <w:multiLevelType w:val="hybridMultilevel"/>
    <w:tmpl w:val="2E083C32"/>
    <w:lvl w:ilvl="0" w:tplc="4B6CE35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C426FD9"/>
    <w:multiLevelType w:val="multilevel"/>
    <w:tmpl w:val="6A12B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03632C"/>
    <w:multiLevelType w:val="multilevel"/>
    <w:tmpl w:val="BD863E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41240B"/>
    <w:multiLevelType w:val="multilevel"/>
    <w:tmpl w:val="06A43D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C265B3"/>
    <w:multiLevelType w:val="multilevel"/>
    <w:tmpl w:val="B34AA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283124"/>
    <w:multiLevelType w:val="multilevel"/>
    <w:tmpl w:val="00F052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A023D1"/>
    <w:multiLevelType w:val="hybridMultilevel"/>
    <w:tmpl w:val="5B74C8E0"/>
    <w:lvl w:ilvl="0" w:tplc="DB06006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618D18DB"/>
    <w:multiLevelType w:val="multilevel"/>
    <w:tmpl w:val="723CFF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0D6A2A"/>
    <w:multiLevelType w:val="multilevel"/>
    <w:tmpl w:val="52422B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FD0F31"/>
    <w:multiLevelType w:val="hybridMultilevel"/>
    <w:tmpl w:val="F32EDF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7E74F6"/>
    <w:multiLevelType w:val="hybridMultilevel"/>
    <w:tmpl w:val="10E2F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6928F7"/>
    <w:multiLevelType w:val="multilevel"/>
    <w:tmpl w:val="9C201E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1"/>
  </w:num>
  <w:num w:numId="4">
    <w:abstractNumId w:val="5"/>
  </w:num>
  <w:num w:numId="5">
    <w:abstractNumId w:val="10"/>
  </w:num>
  <w:num w:numId="6">
    <w:abstractNumId w:val="8"/>
  </w:num>
  <w:num w:numId="7">
    <w:abstractNumId w:val="6"/>
  </w:num>
  <w:num w:numId="8">
    <w:abstractNumId w:val="14"/>
  </w:num>
  <w:num w:numId="9">
    <w:abstractNumId w:val="7"/>
  </w:num>
  <w:num w:numId="10">
    <w:abstractNumId w:val="0"/>
  </w:num>
  <w:num w:numId="11">
    <w:abstractNumId w:val="13"/>
  </w:num>
  <w:num w:numId="12">
    <w:abstractNumId w:val="1"/>
  </w:num>
  <w:num w:numId="13">
    <w:abstractNumId w:val="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9A"/>
    <w:rsid w:val="00031961"/>
    <w:rsid w:val="0009541E"/>
    <w:rsid w:val="000F5D87"/>
    <w:rsid w:val="001617B7"/>
    <w:rsid w:val="001F50DD"/>
    <w:rsid w:val="002E0DC1"/>
    <w:rsid w:val="003D377E"/>
    <w:rsid w:val="00484A50"/>
    <w:rsid w:val="00486F18"/>
    <w:rsid w:val="005F185D"/>
    <w:rsid w:val="00631556"/>
    <w:rsid w:val="00657F0D"/>
    <w:rsid w:val="008867FE"/>
    <w:rsid w:val="0097719A"/>
    <w:rsid w:val="009C3A68"/>
    <w:rsid w:val="009F5E24"/>
    <w:rsid w:val="00A736F0"/>
    <w:rsid w:val="00AD56D2"/>
    <w:rsid w:val="00B57F6D"/>
    <w:rsid w:val="00B6473C"/>
    <w:rsid w:val="00B87AB4"/>
    <w:rsid w:val="00B90377"/>
    <w:rsid w:val="00BC3C64"/>
    <w:rsid w:val="00C524A5"/>
    <w:rsid w:val="00D93C6C"/>
    <w:rsid w:val="00DF5D18"/>
    <w:rsid w:val="00E4674E"/>
    <w:rsid w:val="00EB462E"/>
    <w:rsid w:val="00F7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7D2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
    <w:basedOn w:val="DefaultParagraphFont"/>
    <w:rPr>
      <w:rFonts w:ascii="Times New Roman" w:eastAsia="Times New Roman" w:hAnsi="Times New Roman" w:cs="Times New Roman"/>
      <w:b w:val="0"/>
      <w:bCs w:val="0"/>
      <w:i w:val="0"/>
      <w:iCs w:val="0"/>
      <w:smallCaps w:val="0"/>
      <w:strike w:val="0"/>
      <w:sz w:val="15"/>
      <w:szCs w:val="15"/>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27"/>
      <w:szCs w:val="27"/>
      <w:u w:val="none"/>
    </w:rPr>
  </w:style>
  <w:style w:type="character" w:customStyle="1" w:styleId="Bodytext3">
    <w:name w:val="Body text (3)_"/>
    <w:basedOn w:val="DefaultParagraphFont"/>
    <w:link w:val="Bodytext30"/>
    <w:rPr>
      <w:rFonts w:ascii="Arial" w:eastAsia="Arial" w:hAnsi="Arial" w:cs="Arial"/>
      <w:b/>
      <w:bCs/>
      <w:i w:val="0"/>
      <w:iCs w:val="0"/>
      <w:smallCaps w:val="0"/>
      <w:strike w:val="0"/>
      <w:spacing w:val="20"/>
      <w:sz w:val="27"/>
      <w:szCs w:val="2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1"/>
      <w:szCs w:val="21"/>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
    <w:name w:val="Body text (6)"/>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50">
    <w:name w:val="Body text (5)_"/>
    <w:basedOn w:val="DefaultParagraphFont"/>
    <w:link w:val="Bodytext51"/>
    <w:rPr>
      <w:rFonts w:ascii="Times New Roman" w:eastAsia="Times New Roman" w:hAnsi="Times New Roman" w:cs="Times New Roman"/>
      <w:b w:val="0"/>
      <w:bCs w:val="0"/>
      <w:i w:val="0"/>
      <w:iCs w:val="0"/>
      <w:smallCaps w:val="0"/>
      <w:strike w:val="0"/>
      <w:sz w:val="15"/>
      <w:szCs w:val="15"/>
      <w:u w:val="none"/>
    </w:rPr>
  </w:style>
  <w:style w:type="character" w:customStyle="1" w:styleId="Bodytext555pt">
    <w:name w:val="Body text (5) + 5.5 pt"/>
    <w:aliases w:val="Italic"/>
    <w:basedOn w:val="Bodytext50"/>
    <w:rPr>
      <w:rFonts w:ascii="Times New Roman" w:eastAsia="Times New Roman" w:hAnsi="Times New Roman" w:cs="Times New Roman"/>
      <w:b w:val="0"/>
      <w:bCs w:val="0"/>
      <w:i/>
      <w:iCs/>
      <w:smallCaps w:val="0"/>
      <w:strike w:val="0"/>
      <w:color w:val="000000"/>
      <w:spacing w:val="0"/>
      <w:w w:val="100"/>
      <w:position w:val="0"/>
      <w:sz w:val="11"/>
      <w:szCs w:val="11"/>
      <w:u w:val="none"/>
    </w:rPr>
  </w:style>
  <w:style w:type="character" w:customStyle="1" w:styleId="Bodytext5105pt">
    <w:name w:val="Body text (5) + 10.5 pt"/>
    <w:basedOn w:val="Bodytext5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5Spacing7pt">
    <w:name w:val="Body text (5) + Spacing 7 pt"/>
    <w:basedOn w:val="Bodytext50"/>
    <w:rPr>
      <w:rFonts w:ascii="Times New Roman" w:eastAsia="Times New Roman" w:hAnsi="Times New Roman" w:cs="Times New Roman"/>
      <w:b w:val="0"/>
      <w:bCs w:val="0"/>
      <w:i w:val="0"/>
      <w:iCs w:val="0"/>
      <w:smallCaps w:val="0"/>
      <w:strike w:val="0"/>
      <w:color w:val="000000"/>
      <w:spacing w:val="150"/>
      <w:w w:val="100"/>
      <w:position w:val="0"/>
      <w:sz w:val="15"/>
      <w:szCs w:val="15"/>
      <w:u w:val="none"/>
      <w:lang w:val="en-US"/>
    </w:rPr>
  </w:style>
  <w:style w:type="character" w:customStyle="1" w:styleId="Bodytext60">
    <w:name w:val="Body text (6)_"/>
    <w:basedOn w:val="DefaultParagraphFont"/>
    <w:link w:val="Bodytext61"/>
    <w:rPr>
      <w:rFonts w:ascii="Times New Roman" w:eastAsia="Times New Roman" w:hAnsi="Times New Roman" w:cs="Times New Roman"/>
      <w:b w:val="0"/>
      <w:bCs w:val="0"/>
      <w:i w:val="0"/>
      <w:iCs w:val="0"/>
      <w:smallCaps w:val="0"/>
      <w:strike w:val="0"/>
      <w:sz w:val="18"/>
      <w:szCs w:val="18"/>
      <w:u w:val="none"/>
    </w:rPr>
  </w:style>
  <w:style w:type="paragraph" w:customStyle="1" w:styleId="Bodytext51">
    <w:name w:val="Body text (5)1"/>
    <w:basedOn w:val="Normal"/>
    <w:link w:val="Bodytext50"/>
    <w:pPr>
      <w:spacing w:line="173" w:lineRule="exact"/>
      <w:jc w:val="both"/>
    </w:pPr>
    <w:rPr>
      <w:rFonts w:ascii="Times New Roman" w:eastAsia="Times New Roman" w:hAnsi="Times New Roman" w:cs="Times New Roman"/>
      <w:sz w:val="15"/>
      <w:szCs w:val="15"/>
    </w:rPr>
  </w:style>
  <w:style w:type="paragraph" w:customStyle="1" w:styleId="Bodytext20">
    <w:name w:val="Body text (2)"/>
    <w:basedOn w:val="Normal"/>
    <w:link w:val="Bodytext2"/>
    <w:pPr>
      <w:spacing w:line="0" w:lineRule="atLeast"/>
      <w:jc w:val="center"/>
    </w:pPr>
    <w:rPr>
      <w:rFonts w:ascii="Arial" w:eastAsia="Arial" w:hAnsi="Arial" w:cs="Arial"/>
      <w:b/>
      <w:bCs/>
      <w:sz w:val="27"/>
      <w:szCs w:val="27"/>
    </w:rPr>
  </w:style>
  <w:style w:type="paragraph" w:customStyle="1" w:styleId="Bodytext30">
    <w:name w:val="Body text (3)"/>
    <w:basedOn w:val="Normal"/>
    <w:link w:val="Bodytext3"/>
    <w:pPr>
      <w:spacing w:line="0" w:lineRule="atLeast"/>
      <w:jc w:val="center"/>
    </w:pPr>
    <w:rPr>
      <w:rFonts w:ascii="Arial" w:eastAsia="Arial" w:hAnsi="Arial" w:cs="Arial"/>
      <w:b/>
      <w:bCs/>
      <w:spacing w:val="20"/>
      <w:sz w:val="27"/>
      <w:szCs w:val="27"/>
    </w:rPr>
  </w:style>
  <w:style w:type="paragraph" w:customStyle="1" w:styleId="Heading10">
    <w:name w:val="Heading #1"/>
    <w:basedOn w:val="Normal"/>
    <w:link w:val="Heading1"/>
    <w:pPr>
      <w:spacing w:line="0" w:lineRule="atLeast"/>
      <w:jc w:val="center"/>
      <w:outlineLvl w:val="0"/>
    </w:pPr>
    <w:rPr>
      <w:rFonts w:ascii="Arial" w:eastAsia="Arial" w:hAnsi="Arial" w:cs="Arial"/>
      <w:b/>
      <w:bCs/>
      <w:sz w:val="27"/>
      <w:szCs w:val="27"/>
    </w:rPr>
  </w:style>
  <w:style w:type="paragraph" w:customStyle="1" w:styleId="Bodytext40">
    <w:name w:val="Body text (4)"/>
    <w:basedOn w:val="Normal"/>
    <w:link w:val="Bodytext4"/>
    <w:pPr>
      <w:spacing w:line="0" w:lineRule="atLeast"/>
      <w:jc w:val="center"/>
    </w:pPr>
    <w:rPr>
      <w:rFonts w:ascii="Times New Roman" w:eastAsia="Times New Roman" w:hAnsi="Times New Roman" w:cs="Times New Roman"/>
      <w:i/>
      <w:iCs/>
      <w:sz w:val="21"/>
      <w:szCs w:val="21"/>
    </w:rPr>
  </w:style>
  <w:style w:type="paragraph" w:customStyle="1" w:styleId="BodyText1">
    <w:name w:val="Body Text1"/>
    <w:basedOn w:val="Normal"/>
    <w:link w:val="Bodytext"/>
    <w:pPr>
      <w:spacing w:line="240" w:lineRule="exact"/>
      <w:ind w:hanging="500"/>
      <w:jc w:val="both"/>
    </w:pPr>
    <w:rPr>
      <w:rFonts w:ascii="Times New Roman" w:eastAsia="Times New Roman" w:hAnsi="Times New Roman" w:cs="Times New Roman"/>
      <w:sz w:val="21"/>
      <w:szCs w:val="21"/>
    </w:rPr>
  </w:style>
  <w:style w:type="paragraph" w:customStyle="1" w:styleId="Bodytext61">
    <w:name w:val="Body text (6)1"/>
    <w:basedOn w:val="Normal"/>
    <w:link w:val="Bodytext60"/>
    <w:pPr>
      <w:spacing w:line="0" w:lineRule="atLeast"/>
      <w:jc w:val="both"/>
    </w:pPr>
    <w:rPr>
      <w:rFonts w:ascii="Times New Roman" w:eastAsia="Times New Roman" w:hAnsi="Times New Roman" w:cs="Times New Roman"/>
      <w:sz w:val="18"/>
      <w:szCs w:val="18"/>
    </w:rPr>
  </w:style>
  <w:style w:type="table" w:styleId="TableGrid">
    <w:name w:val="Table Grid"/>
    <w:basedOn w:val="TableNormal"/>
    <w:uiPriority w:val="59"/>
    <w:rsid w:val="00631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0DD"/>
    <w:pPr>
      <w:tabs>
        <w:tab w:val="center" w:pos="4513"/>
        <w:tab w:val="right" w:pos="9026"/>
      </w:tabs>
    </w:pPr>
  </w:style>
  <w:style w:type="character" w:customStyle="1" w:styleId="HeaderChar">
    <w:name w:val="Header Char"/>
    <w:basedOn w:val="DefaultParagraphFont"/>
    <w:link w:val="Header"/>
    <w:uiPriority w:val="99"/>
    <w:rsid w:val="001F50DD"/>
    <w:rPr>
      <w:color w:val="000000"/>
    </w:rPr>
  </w:style>
  <w:style w:type="paragraph" w:styleId="Footer">
    <w:name w:val="footer"/>
    <w:basedOn w:val="Normal"/>
    <w:link w:val="FooterChar"/>
    <w:uiPriority w:val="99"/>
    <w:unhideWhenUsed/>
    <w:rsid w:val="001F50DD"/>
    <w:pPr>
      <w:tabs>
        <w:tab w:val="center" w:pos="4513"/>
        <w:tab w:val="right" w:pos="9026"/>
      </w:tabs>
    </w:pPr>
  </w:style>
  <w:style w:type="character" w:customStyle="1" w:styleId="FooterChar">
    <w:name w:val="Footer Char"/>
    <w:basedOn w:val="DefaultParagraphFont"/>
    <w:link w:val="Footer"/>
    <w:uiPriority w:val="99"/>
    <w:rsid w:val="001F50DD"/>
    <w:rPr>
      <w:color w:val="000000"/>
    </w:rPr>
  </w:style>
  <w:style w:type="character" w:styleId="CommentReference">
    <w:name w:val="annotation reference"/>
    <w:basedOn w:val="DefaultParagraphFont"/>
    <w:uiPriority w:val="99"/>
    <w:semiHidden/>
    <w:unhideWhenUsed/>
    <w:rsid w:val="0009541E"/>
    <w:rPr>
      <w:sz w:val="16"/>
      <w:szCs w:val="16"/>
    </w:rPr>
  </w:style>
  <w:style w:type="paragraph" w:styleId="CommentText">
    <w:name w:val="annotation text"/>
    <w:basedOn w:val="Normal"/>
    <w:link w:val="CommentTextChar"/>
    <w:uiPriority w:val="99"/>
    <w:semiHidden/>
    <w:unhideWhenUsed/>
    <w:rsid w:val="0009541E"/>
    <w:rPr>
      <w:sz w:val="20"/>
      <w:szCs w:val="20"/>
    </w:rPr>
  </w:style>
  <w:style w:type="character" w:customStyle="1" w:styleId="CommentTextChar">
    <w:name w:val="Comment Text Char"/>
    <w:basedOn w:val="DefaultParagraphFont"/>
    <w:link w:val="CommentText"/>
    <w:uiPriority w:val="99"/>
    <w:semiHidden/>
    <w:rsid w:val="0009541E"/>
    <w:rPr>
      <w:color w:val="000000"/>
      <w:sz w:val="20"/>
      <w:szCs w:val="20"/>
    </w:rPr>
  </w:style>
  <w:style w:type="paragraph" w:styleId="CommentSubject">
    <w:name w:val="annotation subject"/>
    <w:basedOn w:val="CommentText"/>
    <w:next w:val="CommentText"/>
    <w:link w:val="CommentSubjectChar"/>
    <w:uiPriority w:val="99"/>
    <w:semiHidden/>
    <w:unhideWhenUsed/>
    <w:rsid w:val="0009541E"/>
    <w:rPr>
      <w:b/>
      <w:bCs/>
    </w:rPr>
  </w:style>
  <w:style w:type="character" w:customStyle="1" w:styleId="CommentSubjectChar">
    <w:name w:val="Comment Subject Char"/>
    <w:basedOn w:val="CommentTextChar"/>
    <w:link w:val="CommentSubject"/>
    <w:uiPriority w:val="99"/>
    <w:semiHidden/>
    <w:rsid w:val="0009541E"/>
    <w:rPr>
      <w:b/>
      <w:bCs/>
      <w:color w:val="000000"/>
      <w:sz w:val="20"/>
      <w:szCs w:val="20"/>
    </w:rPr>
  </w:style>
  <w:style w:type="paragraph" w:styleId="BalloonText">
    <w:name w:val="Balloon Text"/>
    <w:basedOn w:val="Normal"/>
    <w:link w:val="BalloonTextChar"/>
    <w:uiPriority w:val="99"/>
    <w:semiHidden/>
    <w:unhideWhenUsed/>
    <w:rsid w:val="000954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41E"/>
    <w:rPr>
      <w:rFonts w:ascii="Segoe UI" w:hAnsi="Segoe UI" w:cs="Segoe UI"/>
      <w:color w:val="000000"/>
      <w:sz w:val="18"/>
      <w:szCs w:val="18"/>
    </w:rPr>
  </w:style>
  <w:style w:type="paragraph" w:styleId="Revision">
    <w:name w:val="Revision"/>
    <w:hidden/>
    <w:uiPriority w:val="99"/>
    <w:semiHidden/>
    <w:rsid w:val="00B6473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
    <w:basedOn w:val="DefaultParagraphFont"/>
    <w:rPr>
      <w:rFonts w:ascii="Times New Roman" w:eastAsia="Times New Roman" w:hAnsi="Times New Roman" w:cs="Times New Roman"/>
      <w:b w:val="0"/>
      <w:bCs w:val="0"/>
      <w:i w:val="0"/>
      <w:iCs w:val="0"/>
      <w:smallCaps w:val="0"/>
      <w:strike w:val="0"/>
      <w:sz w:val="15"/>
      <w:szCs w:val="15"/>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27"/>
      <w:szCs w:val="27"/>
      <w:u w:val="none"/>
    </w:rPr>
  </w:style>
  <w:style w:type="character" w:customStyle="1" w:styleId="Bodytext3">
    <w:name w:val="Body text (3)_"/>
    <w:basedOn w:val="DefaultParagraphFont"/>
    <w:link w:val="Bodytext30"/>
    <w:rPr>
      <w:rFonts w:ascii="Arial" w:eastAsia="Arial" w:hAnsi="Arial" w:cs="Arial"/>
      <w:b/>
      <w:bCs/>
      <w:i w:val="0"/>
      <w:iCs w:val="0"/>
      <w:smallCaps w:val="0"/>
      <w:strike w:val="0"/>
      <w:spacing w:val="20"/>
      <w:sz w:val="27"/>
      <w:szCs w:val="2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1"/>
      <w:szCs w:val="21"/>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
    <w:name w:val="Body text (6)"/>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50">
    <w:name w:val="Body text (5)_"/>
    <w:basedOn w:val="DefaultParagraphFont"/>
    <w:link w:val="Bodytext51"/>
    <w:rPr>
      <w:rFonts w:ascii="Times New Roman" w:eastAsia="Times New Roman" w:hAnsi="Times New Roman" w:cs="Times New Roman"/>
      <w:b w:val="0"/>
      <w:bCs w:val="0"/>
      <w:i w:val="0"/>
      <w:iCs w:val="0"/>
      <w:smallCaps w:val="0"/>
      <w:strike w:val="0"/>
      <w:sz w:val="15"/>
      <w:szCs w:val="15"/>
      <w:u w:val="none"/>
    </w:rPr>
  </w:style>
  <w:style w:type="character" w:customStyle="1" w:styleId="Bodytext555pt">
    <w:name w:val="Body text (5) + 5.5 pt"/>
    <w:aliases w:val="Italic"/>
    <w:basedOn w:val="Bodytext50"/>
    <w:rPr>
      <w:rFonts w:ascii="Times New Roman" w:eastAsia="Times New Roman" w:hAnsi="Times New Roman" w:cs="Times New Roman"/>
      <w:b w:val="0"/>
      <w:bCs w:val="0"/>
      <w:i/>
      <w:iCs/>
      <w:smallCaps w:val="0"/>
      <w:strike w:val="0"/>
      <w:color w:val="000000"/>
      <w:spacing w:val="0"/>
      <w:w w:val="100"/>
      <w:position w:val="0"/>
      <w:sz w:val="11"/>
      <w:szCs w:val="11"/>
      <w:u w:val="none"/>
    </w:rPr>
  </w:style>
  <w:style w:type="character" w:customStyle="1" w:styleId="Bodytext5105pt">
    <w:name w:val="Body text (5) + 10.5 pt"/>
    <w:basedOn w:val="Bodytext5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5Spacing7pt">
    <w:name w:val="Body text (5) + Spacing 7 pt"/>
    <w:basedOn w:val="Bodytext50"/>
    <w:rPr>
      <w:rFonts w:ascii="Times New Roman" w:eastAsia="Times New Roman" w:hAnsi="Times New Roman" w:cs="Times New Roman"/>
      <w:b w:val="0"/>
      <w:bCs w:val="0"/>
      <w:i w:val="0"/>
      <w:iCs w:val="0"/>
      <w:smallCaps w:val="0"/>
      <w:strike w:val="0"/>
      <w:color w:val="000000"/>
      <w:spacing w:val="150"/>
      <w:w w:val="100"/>
      <w:position w:val="0"/>
      <w:sz w:val="15"/>
      <w:szCs w:val="15"/>
      <w:u w:val="none"/>
      <w:lang w:val="en-US"/>
    </w:rPr>
  </w:style>
  <w:style w:type="character" w:customStyle="1" w:styleId="Bodytext60">
    <w:name w:val="Body text (6)_"/>
    <w:basedOn w:val="DefaultParagraphFont"/>
    <w:link w:val="Bodytext61"/>
    <w:rPr>
      <w:rFonts w:ascii="Times New Roman" w:eastAsia="Times New Roman" w:hAnsi="Times New Roman" w:cs="Times New Roman"/>
      <w:b w:val="0"/>
      <w:bCs w:val="0"/>
      <w:i w:val="0"/>
      <w:iCs w:val="0"/>
      <w:smallCaps w:val="0"/>
      <w:strike w:val="0"/>
      <w:sz w:val="18"/>
      <w:szCs w:val="18"/>
      <w:u w:val="none"/>
    </w:rPr>
  </w:style>
  <w:style w:type="paragraph" w:customStyle="1" w:styleId="Bodytext51">
    <w:name w:val="Body text (5)1"/>
    <w:basedOn w:val="Normal"/>
    <w:link w:val="Bodytext50"/>
    <w:pPr>
      <w:spacing w:line="173" w:lineRule="exact"/>
      <w:jc w:val="both"/>
    </w:pPr>
    <w:rPr>
      <w:rFonts w:ascii="Times New Roman" w:eastAsia="Times New Roman" w:hAnsi="Times New Roman" w:cs="Times New Roman"/>
      <w:sz w:val="15"/>
      <w:szCs w:val="15"/>
    </w:rPr>
  </w:style>
  <w:style w:type="paragraph" w:customStyle="1" w:styleId="Bodytext20">
    <w:name w:val="Body text (2)"/>
    <w:basedOn w:val="Normal"/>
    <w:link w:val="Bodytext2"/>
    <w:pPr>
      <w:spacing w:line="0" w:lineRule="atLeast"/>
      <w:jc w:val="center"/>
    </w:pPr>
    <w:rPr>
      <w:rFonts w:ascii="Arial" w:eastAsia="Arial" w:hAnsi="Arial" w:cs="Arial"/>
      <w:b/>
      <w:bCs/>
      <w:sz w:val="27"/>
      <w:szCs w:val="27"/>
    </w:rPr>
  </w:style>
  <w:style w:type="paragraph" w:customStyle="1" w:styleId="Bodytext30">
    <w:name w:val="Body text (3)"/>
    <w:basedOn w:val="Normal"/>
    <w:link w:val="Bodytext3"/>
    <w:pPr>
      <w:spacing w:line="0" w:lineRule="atLeast"/>
      <w:jc w:val="center"/>
    </w:pPr>
    <w:rPr>
      <w:rFonts w:ascii="Arial" w:eastAsia="Arial" w:hAnsi="Arial" w:cs="Arial"/>
      <w:b/>
      <w:bCs/>
      <w:spacing w:val="20"/>
      <w:sz w:val="27"/>
      <w:szCs w:val="27"/>
    </w:rPr>
  </w:style>
  <w:style w:type="paragraph" w:customStyle="1" w:styleId="Heading10">
    <w:name w:val="Heading #1"/>
    <w:basedOn w:val="Normal"/>
    <w:link w:val="Heading1"/>
    <w:pPr>
      <w:spacing w:line="0" w:lineRule="atLeast"/>
      <w:jc w:val="center"/>
      <w:outlineLvl w:val="0"/>
    </w:pPr>
    <w:rPr>
      <w:rFonts w:ascii="Arial" w:eastAsia="Arial" w:hAnsi="Arial" w:cs="Arial"/>
      <w:b/>
      <w:bCs/>
      <w:sz w:val="27"/>
      <w:szCs w:val="27"/>
    </w:rPr>
  </w:style>
  <w:style w:type="paragraph" w:customStyle="1" w:styleId="Bodytext40">
    <w:name w:val="Body text (4)"/>
    <w:basedOn w:val="Normal"/>
    <w:link w:val="Bodytext4"/>
    <w:pPr>
      <w:spacing w:line="0" w:lineRule="atLeast"/>
      <w:jc w:val="center"/>
    </w:pPr>
    <w:rPr>
      <w:rFonts w:ascii="Times New Roman" w:eastAsia="Times New Roman" w:hAnsi="Times New Roman" w:cs="Times New Roman"/>
      <w:i/>
      <w:iCs/>
      <w:sz w:val="21"/>
      <w:szCs w:val="21"/>
    </w:rPr>
  </w:style>
  <w:style w:type="paragraph" w:customStyle="1" w:styleId="BodyText1">
    <w:name w:val="Body Text1"/>
    <w:basedOn w:val="Normal"/>
    <w:link w:val="Bodytext"/>
    <w:pPr>
      <w:spacing w:line="240" w:lineRule="exact"/>
      <w:ind w:hanging="500"/>
      <w:jc w:val="both"/>
    </w:pPr>
    <w:rPr>
      <w:rFonts w:ascii="Times New Roman" w:eastAsia="Times New Roman" w:hAnsi="Times New Roman" w:cs="Times New Roman"/>
      <w:sz w:val="21"/>
      <w:szCs w:val="21"/>
    </w:rPr>
  </w:style>
  <w:style w:type="paragraph" w:customStyle="1" w:styleId="Bodytext61">
    <w:name w:val="Body text (6)1"/>
    <w:basedOn w:val="Normal"/>
    <w:link w:val="Bodytext60"/>
    <w:pPr>
      <w:spacing w:line="0" w:lineRule="atLeast"/>
      <w:jc w:val="both"/>
    </w:pPr>
    <w:rPr>
      <w:rFonts w:ascii="Times New Roman" w:eastAsia="Times New Roman" w:hAnsi="Times New Roman" w:cs="Times New Roman"/>
      <w:sz w:val="18"/>
      <w:szCs w:val="18"/>
    </w:rPr>
  </w:style>
  <w:style w:type="table" w:styleId="TableGrid">
    <w:name w:val="Table Grid"/>
    <w:basedOn w:val="TableNormal"/>
    <w:uiPriority w:val="59"/>
    <w:rsid w:val="00631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0DD"/>
    <w:pPr>
      <w:tabs>
        <w:tab w:val="center" w:pos="4513"/>
        <w:tab w:val="right" w:pos="9026"/>
      </w:tabs>
    </w:pPr>
  </w:style>
  <w:style w:type="character" w:customStyle="1" w:styleId="HeaderChar">
    <w:name w:val="Header Char"/>
    <w:basedOn w:val="DefaultParagraphFont"/>
    <w:link w:val="Header"/>
    <w:uiPriority w:val="99"/>
    <w:rsid w:val="001F50DD"/>
    <w:rPr>
      <w:color w:val="000000"/>
    </w:rPr>
  </w:style>
  <w:style w:type="paragraph" w:styleId="Footer">
    <w:name w:val="footer"/>
    <w:basedOn w:val="Normal"/>
    <w:link w:val="FooterChar"/>
    <w:uiPriority w:val="99"/>
    <w:unhideWhenUsed/>
    <w:rsid w:val="001F50DD"/>
    <w:pPr>
      <w:tabs>
        <w:tab w:val="center" w:pos="4513"/>
        <w:tab w:val="right" w:pos="9026"/>
      </w:tabs>
    </w:pPr>
  </w:style>
  <w:style w:type="character" w:customStyle="1" w:styleId="FooterChar">
    <w:name w:val="Footer Char"/>
    <w:basedOn w:val="DefaultParagraphFont"/>
    <w:link w:val="Footer"/>
    <w:uiPriority w:val="99"/>
    <w:rsid w:val="001F50DD"/>
    <w:rPr>
      <w:color w:val="000000"/>
    </w:rPr>
  </w:style>
  <w:style w:type="character" w:styleId="CommentReference">
    <w:name w:val="annotation reference"/>
    <w:basedOn w:val="DefaultParagraphFont"/>
    <w:uiPriority w:val="99"/>
    <w:semiHidden/>
    <w:unhideWhenUsed/>
    <w:rsid w:val="0009541E"/>
    <w:rPr>
      <w:sz w:val="16"/>
      <w:szCs w:val="16"/>
    </w:rPr>
  </w:style>
  <w:style w:type="paragraph" w:styleId="CommentText">
    <w:name w:val="annotation text"/>
    <w:basedOn w:val="Normal"/>
    <w:link w:val="CommentTextChar"/>
    <w:uiPriority w:val="99"/>
    <w:semiHidden/>
    <w:unhideWhenUsed/>
    <w:rsid w:val="0009541E"/>
    <w:rPr>
      <w:sz w:val="20"/>
      <w:szCs w:val="20"/>
    </w:rPr>
  </w:style>
  <w:style w:type="character" w:customStyle="1" w:styleId="CommentTextChar">
    <w:name w:val="Comment Text Char"/>
    <w:basedOn w:val="DefaultParagraphFont"/>
    <w:link w:val="CommentText"/>
    <w:uiPriority w:val="99"/>
    <w:semiHidden/>
    <w:rsid w:val="0009541E"/>
    <w:rPr>
      <w:color w:val="000000"/>
      <w:sz w:val="20"/>
      <w:szCs w:val="20"/>
    </w:rPr>
  </w:style>
  <w:style w:type="paragraph" w:styleId="CommentSubject">
    <w:name w:val="annotation subject"/>
    <w:basedOn w:val="CommentText"/>
    <w:next w:val="CommentText"/>
    <w:link w:val="CommentSubjectChar"/>
    <w:uiPriority w:val="99"/>
    <w:semiHidden/>
    <w:unhideWhenUsed/>
    <w:rsid w:val="0009541E"/>
    <w:rPr>
      <w:b/>
      <w:bCs/>
    </w:rPr>
  </w:style>
  <w:style w:type="character" w:customStyle="1" w:styleId="CommentSubjectChar">
    <w:name w:val="Comment Subject Char"/>
    <w:basedOn w:val="CommentTextChar"/>
    <w:link w:val="CommentSubject"/>
    <w:uiPriority w:val="99"/>
    <w:semiHidden/>
    <w:rsid w:val="0009541E"/>
    <w:rPr>
      <w:b/>
      <w:bCs/>
      <w:color w:val="000000"/>
      <w:sz w:val="20"/>
      <w:szCs w:val="20"/>
    </w:rPr>
  </w:style>
  <w:style w:type="paragraph" w:styleId="BalloonText">
    <w:name w:val="Balloon Text"/>
    <w:basedOn w:val="Normal"/>
    <w:link w:val="BalloonTextChar"/>
    <w:uiPriority w:val="99"/>
    <w:semiHidden/>
    <w:unhideWhenUsed/>
    <w:rsid w:val="000954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41E"/>
    <w:rPr>
      <w:rFonts w:ascii="Segoe UI" w:hAnsi="Segoe UI" w:cs="Segoe UI"/>
      <w:color w:val="000000"/>
      <w:sz w:val="18"/>
      <w:szCs w:val="18"/>
    </w:rPr>
  </w:style>
  <w:style w:type="paragraph" w:styleId="Revision">
    <w:name w:val="Revision"/>
    <w:hidden/>
    <w:uiPriority w:val="99"/>
    <w:semiHidden/>
    <w:rsid w:val="00B6473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Harper, Michael</cp:lastModifiedBy>
  <cp:revision>1</cp:revision>
  <dcterms:created xsi:type="dcterms:W3CDTF">2018-09-17T18:57:00Z</dcterms:created>
  <dcterms:modified xsi:type="dcterms:W3CDTF">2019-06-23T21:34:00Z</dcterms:modified>
</cp:coreProperties>
</file>