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2B0AA" w14:textId="77777777" w:rsidR="0049491D" w:rsidRDefault="004A65FA" w:rsidP="003177BA">
      <w:pPr>
        <w:pStyle w:val="BodyText1"/>
        <w:spacing w:line="240" w:lineRule="auto"/>
        <w:ind w:firstLine="0"/>
        <w:jc w:val="center"/>
        <w:rPr>
          <w:b/>
          <w:sz w:val="36"/>
          <w:szCs w:val="36"/>
        </w:rPr>
      </w:pPr>
      <w:bookmarkStart w:id="0" w:name="bookmark0"/>
      <w:r w:rsidRPr="003177BA">
        <w:rPr>
          <w:b/>
          <w:sz w:val="36"/>
          <w:szCs w:val="36"/>
        </w:rPr>
        <w:t>WHEAT EXPORT CHARGE ACT 1974</w:t>
      </w:r>
      <w:bookmarkEnd w:id="0"/>
    </w:p>
    <w:p w14:paraId="29E01AC3" w14:textId="77777777" w:rsidR="003177BA" w:rsidRPr="003177BA" w:rsidRDefault="003177BA" w:rsidP="003177BA">
      <w:pPr>
        <w:pStyle w:val="BodyText1"/>
        <w:spacing w:line="240" w:lineRule="auto"/>
        <w:ind w:firstLine="0"/>
        <w:jc w:val="center"/>
        <w:rPr>
          <w:b/>
          <w:sz w:val="36"/>
          <w:szCs w:val="36"/>
        </w:rPr>
      </w:pPr>
    </w:p>
    <w:p w14:paraId="156F7CBD" w14:textId="77777777" w:rsidR="0049491D" w:rsidRDefault="004A65FA" w:rsidP="003177BA">
      <w:pPr>
        <w:pStyle w:val="BodyText1"/>
        <w:spacing w:line="240" w:lineRule="auto"/>
        <w:ind w:firstLine="0"/>
        <w:jc w:val="center"/>
        <w:rPr>
          <w:b/>
          <w:sz w:val="28"/>
          <w:szCs w:val="28"/>
        </w:rPr>
      </w:pPr>
      <w:bookmarkStart w:id="1" w:name="bookmark1"/>
      <w:r w:rsidRPr="003177BA">
        <w:rPr>
          <w:b/>
          <w:sz w:val="28"/>
          <w:szCs w:val="28"/>
        </w:rPr>
        <w:t>No. 64 of 1974</w:t>
      </w:r>
      <w:bookmarkEnd w:id="1"/>
    </w:p>
    <w:p w14:paraId="3A025715" w14:textId="77777777" w:rsidR="003177BA" w:rsidRPr="003177BA" w:rsidRDefault="003177BA" w:rsidP="003177BA">
      <w:pPr>
        <w:pStyle w:val="BodyText1"/>
        <w:spacing w:line="240" w:lineRule="auto"/>
        <w:ind w:firstLine="0"/>
        <w:jc w:val="center"/>
        <w:rPr>
          <w:b/>
          <w:sz w:val="28"/>
          <w:szCs w:val="28"/>
        </w:rPr>
      </w:pPr>
    </w:p>
    <w:p w14:paraId="06D38D96" w14:textId="77777777" w:rsidR="0049491D" w:rsidRPr="003177BA" w:rsidRDefault="004A65FA" w:rsidP="003177BA">
      <w:pPr>
        <w:pStyle w:val="BodyText1"/>
        <w:spacing w:after="160" w:line="240" w:lineRule="auto"/>
        <w:ind w:firstLine="0"/>
        <w:jc w:val="both"/>
        <w:rPr>
          <w:sz w:val="24"/>
          <w:szCs w:val="24"/>
        </w:rPr>
      </w:pPr>
      <w:r w:rsidRPr="003177BA">
        <w:rPr>
          <w:sz w:val="24"/>
          <w:szCs w:val="24"/>
        </w:rPr>
        <w:t>An Act to impose a Charge in respect of Wheat and Wheat Products exported from Australia.</w:t>
      </w:r>
    </w:p>
    <w:p w14:paraId="7CEB5582" w14:textId="654D3BFA" w:rsidR="0049491D" w:rsidRPr="003177BA" w:rsidRDefault="004A65FA" w:rsidP="003177BA">
      <w:pPr>
        <w:pStyle w:val="BodyText1"/>
        <w:spacing w:line="240" w:lineRule="auto"/>
        <w:ind w:firstLine="0"/>
        <w:jc w:val="both"/>
        <w:rPr>
          <w:sz w:val="24"/>
          <w:szCs w:val="24"/>
        </w:rPr>
      </w:pPr>
      <w:r w:rsidRPr="003177BA">
        <w:rPr>
          <w:sz w:val="24"/>
          <w:szCs w:val="24"/>
        </w:rPr>
        <w:t>BE IT ENACTED by the Queen, the Senate and the House of Representa</w:t>
      </w:r>
      <w:r w:rsidR="00676604">
        <w:rPr>
          <w:sz w:val="24"/>
          <w:szCs w:val="24"/>
        </w:rPr>
        <w:t>tives of Australia, as follows:</w:t>
      </w:r>
      <w:r w:rsidRPr="003177BA">
        <w:rPr>
          <w:sz w:val="24"/>
          <w:szCs w:val="24"/>
        </w:rPr>
        <w:t>—</w:t>
      </w:r>
    </w:p>
    <w:p w14:paraId="6B3C47E5" w14:textId="704DDD8D" w:rsidR="003177BA" w:rsidRPr="003177BA" w:rsidRDefault="003177BA" w:rsidP="00B36292">
      <w:pPr>
        <w:pStyle w:val="BodyText1"/>
        <w:spacing w:before="120" w:after="60" w:line="240" w:lineRule="auto"/>
        <w:ind w:firstLine="0"/>
        <w:jc w:val="both"/>
        <w:rPr>
          <w:b/>
          <w:sz w:val="20"/>
          <w:szCs w:val="20"/>
        </w:rPr>
      </w:pPr>
      <w:r w:rsidRPr="003177BA">
        <w:rPr>
          <w:rStyle w:val="Bodytext85pt"/>
          <w:b/>
          <w:sz w:val="20"/>
          <w:szCs w:val="20"/>
        </w:rPr>
        <w:t>Short title</w:t>
      </w:r>
      <w:r w:rsidR="00676604">
        <w:rPr>
          <w:rStyle w:val="Bodytext85pt"/>
          <w:b/>
          <w:sz w:val="20"/>
          <w:szCs w:val="20"/>
        </w:rPr>
        <w:t>.</w:t>
      </w:r>
    </w:p>
    <w:p w14:paraId="029F1D26" w14:textId="09990FE3" w:rsidR="0049491D" w:rsidRPr="003177BA" w:rsidRDefault="003177BA" w:rsidP="003177BA">
      <w:pPr>
        <w:pStyle w:val="BodyText1"/>
        <w:tabs>
          <w:tab w:val="left" w:pos="726"/>
        </w:tabs>
        <w:spacing w:line="240" w:lineRule="auto"/>
        <w:ind w:firstLine="274"/>
        <w:jc w:val="both"/>
        <w:rPr>
          <w:sz w:val="24"/>
          <w:szCs w:val="24"/>
        </w:rPr>
      </w:pPr>
      <w:r w:rsidRPr="003177BA">
        <w:rPr>
          <w:b/>
          <w:sz w:val="24"/>
          <w:szCs w:val="24"/>
        </w:rPr>
        <w:t>1.</w:t>
      </w:r>
      <w:r>
        <w:rPr>
          <w:sz w:val="24"/>
          <w:szCs w:val="24"/>
        </w:rPr>
        <w:tab/>
      </w:r>
      <w:r w:rsidR="004A65FA" w:rsidRPr="003177BA">
        <w:rPr>
          <w:sz w:val="24"/>
          <w:szCs w:val="24"/>
        </w:rPr>
        <w:t xml:space="preserve">This Act may be cited as the </w:t>
      </w:r>
      <w:r w:rsidR="004A65FA" w:rsidRPr="003177BA">
        <w:rPr>
          <w:rStyle w:val="BodytextItalic"/>
          <w:sz w:val="24"/>
          <w:szCs w:val="24"/>
        </w:rPr>
        <w:t>Wheat Export Charge Act</w:t>
      </w:r>
      <w:r w:rsidR="004A65FA" w:rsidRPr="003177BA">
        <w:rPr>
          <w:sz w:val="24"/>
          <w:szCs w:val="24"/>
        </w:rPr>
        <w:t xml:space="preserve"> </w:t>
      </w:r>
      <w:r>
        <w:rPr>
          <w:rStyle w:val="Bodytext95pt"/>
          <w:b w:val="0"/>
          <w:sz w:val="24"/>
          <w:szCs w:val="24"/>
        </w:rPr>
        <w:t>1974.</w:t>
      </w:r>
    </w:p>
    <w:p w14:paraId="2D2DDF25" w14:textId="35849040" w:rsidR="003177BA" w:rsidRPr="003177BA" w:rsidRDefault="003177BA" w:rsidP="00B36292">
      <w:pPr>
        <w:pStyle w:val="BodyText1"/>
        <w:spacing w:before="120" w:after="60" w:line="240" w:lineRule="auto"/>
        <w:ind w:firstLine="0"/>
        <w:jc w:val="both"/>
        <w:rPr>
          <w:b/>
          <w:sz w:val="20"/>
          <w:szCs w:val="20"/>
        </w:rPr>
      </w:pPr>
      <w:r w:rsidRPr="003177BA">
        <w:rPr>
          <w:rStyle w:val="Bodytext85pt"/>
          <w:b/>
          <w:sz w:val="20"/>
          <w:szCs w:val="20"/>
        </w:rPr>
        <w:t>Commencement</w:t>
      </w:r>
      <w:r w:rsidR="00676604">
        <w:rPr>
          <w:rStyle w:val="Bodytext85pt"/>
          <w:b/>
          <w:sz w:val="20"/>
          <w:szCs w:val="20"/>
        </w:rPr>
        <w:t>.</w:t>
      </w:r>
    </w:p>
    <w:p w14:paraId="53D66BF4" w14:textId="77777777" w:rsidR="0049491D" w:rsidRPr="003177BA" w:rsidRDefault="00B42140" w:rsidP="00B42140">
      <w:pPr>
        <w:pStyle w:val="BodyText1"/>
        <w:tabs>
          <w:tab w:val="left" w:pos="726"/>
        </w:tabs>
        <w:spacing w:line="240" w:lineRule="auto"/>
        <w:ind w:firstLine="274"/>
        <w:jc w:val="both"/>
        <w:rPr>
          <w:sz w:val="24"/>
          <w:szCs w:val="24"/>
        </w:rPr>
      </w:pPr>
      <w:r>
        <w:rPr>
          <w:b/>
          <w:sz w:val="24"/>
          <w:szCs w:val="24"/>
        </w:rPr>
        <w:t>2.</w:t>
      </w:r>
      <w:r w:rsidR="003177BA">
        <w:rPr>
          <w:sz w:val="24"/>
          <w:szCs w:val="24"/>
        </w:rPr>
        <w:tab/>
      </w:r>
      <w:r w:rsidR="004A65FA" w:rsidRPr="003177BA">
        <w:rPr>
          <w:sz w:val="24"/>
          <w:szCs w:val="24"/>
        </w:rPr>
        <w:t xml:space="preserve">This Act shall come into operation on a date to be fixed by </w:t>
      </w:r>
      <w:r w:rsidR="003177BA" w:rsidRPr="003177BA">
        <w:rPr>
          <w:sz w:val="24"/>
          <w:szCs w:val="24"/>
        </w:rPr>
        <w:t>Proclamation.</w:t>
      </w:r>
    </w:p>
    <w:p w14:paraId="63F8547E" w14:textId="77777777" w:rsidR="003177BA" w:rsidRPr="003177BA" w:rsidRDefault="003177BA" w:rsidP="00B36292">
      <w:pPr>
        <w:pStyle w:val="BodyText1"/>
        <w:spacing w:before="120" w:after="60" w:line="240" w:lineRule="auto"/>
        <w:ind w:firstLine="0"/>
        <w:jc w:val="both"/>
        <w:rPr>
          <w:rStyle w:val="Bodytext2NotItalic"/>
          <w:b/>
          <w:sz w:val="20"/>
          <w:szCs w:val="20"/>
        </w:rPr>
      </w:pPr>
      <w:r w:rsidRPr="003177BA">
        <w:rPr>
          <w:rStyle w:val="Bodytext285pt"/>
          <w:b/>
          <w:i w:val="0"/>
          <w:iCs w:val="0"/>
          <w:sz w:val="20"/>
          <w:szCs w:val="20"/>
        </w:rPr>
        <w:t>Repeal.</w:t>
      </w:r>
    </w:p>
    <w:p w14:paraId="48CE5258" w14:textId="77777777" w:rsidR="0049491D" w:rsidRPr="003177BA" w:rsidRDefault="003177BA" w:rsidP="003177BA">
      <w:pPr>
        <w:pStyle w:val="BodyText1"/>
        <w:tabs>
          <w:tab w:val="left" w:pos="726"/>
        </w:tabs>
        <w:spacing w:line="240" w:lineRule="auto"/>
        <w:ind w:firstLine="274"/>
        <w:jc w:val="both"/>
        <w:rPr>
          <w:sz w:val="24"/>
          <w:szCs w:val="24"/>
        </w:rPr>
      </w:pPr>
      <w:r w:rsidRPr="003177BA">
        <w:rPr>
          <w:rStyle w:val="Bodytext2NotItalic"/>
          <w:b/>
          <w:i w:val="0"/>
          <w:sz w:val="24"/>
          <w:szCs w:val="24"/>
        </w:rPr>
        <w:t>3</w:t>
      </w:r>
      <w:r w:rsidR="00B42140">
        <w:rPr>
          <w:rStyle w:val="Bodytext2NotItalic"/>
          <w:b/>
          <w:i w:val="0"/>
          <w:sz w:val="24"/>
          <w:szCs w:val="24"/>
        </w:rPr>
        <w:t>.</w:t>
      </w:r>
      <w:r>
        <w:rPr>
          <w:rStyle w:val="Bodytext2NotItalic"/>
          <w:sz w:val="24"/>
          <w:szCs w:val="24"/>
        </w:rPr>
        <w:tab/>
      </w:r>
      <w:r w:rsidR="004A65FA" w:rsidRPr="003177BA">
        <w:rPr>
          <w:rStyle w:val="Bodytext2NotItalic"/>
          <w:i w:val="0"/>
          <w:iCs w:val="0"/>
          <w:sz w:val="24"/>
          <w:szCs w:val="24"/>
        </w:rPr>
        <w:t xml:space="preserve">The </w:t>
      </w:r>
      <w:r w:rsidR="004A65FA" w:rsidRPr="00677FDC">
        <w:rPr>
          <w:i/>
          <w:sz w:val="24"/>
          <w:szCs w:val="24"/>
        </w:rPr>
        <w:t>Wheat Export Charge Act</w:t>
      </w:r>
      <w:r w:rsidR="004A65FA" w:rsidRPr="003177BA">
        <w:rPr>
          <w:rStyle w:val="Bodytext2NotItalic"/>
          <w:i w:val="0"/>
          <w:iCs w:val="0"/>
          <w:sz w:val="24"/>
          <w:szCs w:val="24"/>
        </w:rPr>
        <w:t xml:space="preserve"> </w:t>
      </w:r>
      <w:r w:rsidR="004A65FA" w:rsidRPr="003177BA">
        <w:rPr>
          <w:rStyle w:val="Bodytext295pt"/>
          <w:b w:val="0"/>
          <w:i w:val="0"/>
          <w:iCs w:val="0"/>
          <w:sz w:val="24"/>
          <w:szCs w:val="24"/>
        </w:rPr>
        <w:t>1968</w:t>
      </w:r>
      <w:r w:rsidR="004A65FA" w:rsidRPr="003177BA">
        <w:rPr>
          <w:rStyle w:val="Bodytext295pt"/>
          <w:i w:val="0"/>
          <w:iCs w:val="0"/>
          <w:sz w:val="24"/>
          <w:szCs w:val="24"/>
        </w:rPr>
        <w:t xml:space="preserve"> </w:t>
      </w:r>
      <w:r w:rsidR="004A65FA" w:rsidRPr="003177BA">
        <w:rPr>
          <w:rStyle w:val="Bodytext2NotItalic"/>
          <w:i w:val="0"/>
          <w:iCs w:val="0"/>
          <w:sz w:val="24"/>
          <w:szCs w:val="24"/>
        </w:rPr>
        <w:t xml:space="preserve">and the </w:t>
      </w:r>
      <w:r w:rsidR="004A65FA" w:rsidRPr="00677FDC">
        <w:rPr>
          <w:i/>
          <w:sz w:val="24"/>
          <w:szCs w:val="24"/>
        </w:rPr>
        <w:t>Wheat Export</w:t>
      </w:r>
      <w:r w:rsidR="004A65FA" w:rsidRPr="00677FDC">
        <w:rPr>
          <w:rStyle w:val="Bodytext2NotItalic"/>
          <w:i w:val="0"/>
          <w:iCs w:val="0"/>
          <w:sz w:val="24"/>
          <w:szCs w:val="24"/>
        </w:rPr>
        <w:t xml:space="preserve"> </w:t>
      </w:r>
      <w:r w:rsidR="004A65FA" w:rsidRPr="00677FDC">
        <w:rPr>
          <w:i/>
          <w:sz w:val="24"/>
          <w:szCs w:val="24"/>
        </w:rPr>
        <w:t>Charge Act</w:t>
      </w:r>
      <w:r w:rsidR="004A65FA" w:rsidRPr="003177BA">
        <w:rPr>
          <w:rStyle w:val="Bodytext2NotItalic"/>
          <w:i w:val="0"/>
          <w:iCs w:val="0"/>
          <w:sz w:val="24"/>
          <w:szCs w:val="24"/>
        </w:rPr>
        <w:t xml:space="preserve"> </w:t>
      </w:r>
      <w:r w:rsidR="004A65FA" w:rsidRPr="003177BA">
        <w:rPr>
          <w:rStyle w:val="Bodytext295pt"/>
          <w:b w:val="0"/>
          <w:i w:val="0"/>
          <w:iCs w:val="0"/>
          <w:sz w:val="24"/>
          <w:szCs w:val="24"/>
        </w:rPr>
        <w:t xml:space="preserve">1973 </w:t>
      </w:r>
      <w:r w:rsidR="004A65FA" w:rsidRPr="003177BA">
        <w:rPr>
          <w:rStyle w:val="Bodytext2NotItalic"/>
          <w:i w:val="0"/>
          <w:iCs w:val="0"/>
          <w:sz w:val="24"/>
          <w:szCs w:val="24"/>
        </w:rPr>
        <w:t>are repealed.</w:t>
      </w:r>
    </w:p>
    <w:p w14:paraId="2E39DB60" w14:textId="320D88B4" w:rsidR="003177BA" w:rsidRPr="000B3619" w:rsidRDefault="00B42140" w:rsidP="00B36292">
      <w:pPr>
        <w:pStyle w:val="BodyText1"/>
        <w:spacing w:before="120" w:after="60" w:line="240" w:lineRule="auto"/>
        <w:ind w:firstLine="0"/>
        <w:jc w:val="both"/>
        <w:rPr>
          <w:b/>
          <w:sz w:val="20"/>
          <w:szCs w:val="20"/>
        </w:rPr>
      </w:pPr>
      <w:r>
        <w:rPr>
          <w:rStyle w:val="Bodytext85pt"/>
          <w:b/>
          <w:sz w:val="20"/>
          <w:szCs w:val="20"/>
        </w:rPr>
        <w:t>I</w:t>
      </w:r>
      <w:r w:rsidR="003177BA" w:rsidRPr="000B3619">
        <w:rPr>
          <w:rStyle w:val="Bodytext85pt"/>
          <w:b/>
          <w:sz w:val="20"/>
          <w:szCs w:val="20"/>
        </w:rPr>
        <w:t>nterpretation</w:t>
      </w:r>
      <w:r w:rsidR="00676604">
        <w:rPr>
          <w:rStyle w:val="Bodytext85pt"/>
          <w:b/>
          <w:sz w:val="20"/>
          <w:szCs w:val="20"/>
        </w:rPr>
        <w:t>.</w:t>
      </w:r>
    </w:p>
    <w:p w14:paraId="7CA1D0CE" w14:textId="00EBB226" w:rsidR="0049491D" w:rsidRPr="003177BA" w:rsidRDefault="000B3619" w:rsidP="00B36292">
      <w:pPr>
        <w:pStyle w:val="BodyText1"/>
        <w:spacing w:after="160" w:line="240" w:lineRule="auto"/>
        <w:ind w:firstLine="274"/>
        <w:jc w:val="both"/>
        <w:rPr>
          <w:sz w:val="24"/>
          <w:szCs w:val="24"/>
        </w:rPr>
      </w:pPr>
      <w:r w:rsidRPr="000B3619">
        <w:rPr>
          <w:b/>
          <w:sz w:val="24"/>
          <w:szCs w:val="24"/>
        </w:rPr>
        <w:t>4</w:t>
      </w:r>
      <w:r w:rsidR="00B42140">
        <w:rPr>
          <w:b/>
          <w:sz w:val="24"/>
          <w:szCs w:val="24"/>
        </w:rPr>
        <w:t xml:space="preserve">. </w:t>
      </w:r>
      <w:r w:rsidR="004A65FA" w:rsidRPr="003177BA">
        <w:rPr>
          <w:sz w:val="24"/>
          <w:szCs w:val="24"/>
        </w:rPr>
        <w:t xml:space="preserve">(1) Expressions used in this Act that are defined in the </w:t>
      </w:r>
      <w:r w:rsidR="004A65FA" w:rsidRPr="003177BA">
        <w:rPr>
          <w:rStyle w:val="BodytextItalic"/>
          <w:sz w:val="24"/>
          <w:szCs w:val="24"/>
        </w:rPr>
        <w:t>Wheat</w:t>
      </w:r>
      <w:r w:rsidR="004A65FA" w:rsidRPr="003177BA">
        <w:rPr>
          <w:sz w:val="24"/>
          <w:szCs w:val="24"/>
        </w:rPr>
        <w:t xml:space="preserve"> </w:t>
      </w:r>
      <w:r w:rsidR="004A65FA" w:rsidRPr="003177BA">
        <w:rPr>
          <w:rStyle w:val="BodytextItalic"/>
          <w:sz w:val="24"/>
          <w:szCs w:val="24"/>
        </w:rPr>
        <w:t>Industry Stabilization Act</w:t>
      </w:r>
      <w:r w:rsidR="004A65FA" w:rsidRPr="003177BA">
        <w:rPr>
          <w:sz w:val="24"/>
          <w:szCs w:val="24"/>
        </w:rPr>
        <w:t xml:space="preserve"> </w:t>
      </w:r>
      <w:r w:rsidR="004A65FA" w:rsidRPr="00676604">
        <w:rPr>
          <w:rStyle w:val="Bodytext95pt"/>
          <w:b w:val="0"/>
          <w:sz w:val="24"/>
          <w:szCs w:val="24"/>
        </w:rPr>
        <w:t>1974</w:t>
      </w:r>
      <w:r w:rsidR="004A65FA" w:rsidRPr="003177BA">
        <w:rPr>
          <w:rStyle w:val="Bodytext95pt"/>
          <w:sz w:val="24"/>
          <w:szCs w:val="24"/>
        </w:rPr>
        <w:t xml:space="preserve"> </w:t>
      </w:r>
      <w:r w:rsidR="004A65FA" w:rsidRPr="003177BA">
        <w:rPr>
          <w:sz w:val="24"/>
          <w:szCs w:val="24"/>
        </w:rPr>
        <w:t>have th</w:t>
      </w:r>
      <w:r w:rsidR="003177BA">
        <w:rPr>
          <w:sz w:val="24"/>
          <w:szCs w:val="24"/>
        </w:rPr>
        <w:t>e same meanings as they have in</w:t>
      </w:r>
      <w:bookmarkStart w:id="2" w:name="_GoBack"/>
      <w:bookmarkEnd w:id="2"/>
      <w:r w:rsidR="004A65FA" w:rsidRPr="003177BA">
        <w:rPr>
          <w:sz w:val="24"/>
          <w:szCs w:val="24"/>
        </w:rPr>
        <w:t xml:space="preserve"> that Act.</w:t>
      </w:r>
    </w:p>
    <w:p w14:paraId="66D4745B" w14:textId="77777777" w:rsidR="0049491D" w:rsidRPr="003177BA" w:rsidRDefault="000B3619" w:rsidP="00B36292">
      <w:pPr>
        <w:pStyle w:val="BodyText1"/>
        <w:spacing w:after="160" w:line="240" w:lineRule="auto"/>
        <w:ind w:firstLine="274"/>
        <w:jc w:val="both"/>
        <w:rPr>
          <w:sz w:val="24"/>
          <w:szCs w:val="24"/>
        </w:rPr>
      </w:pPr>
      <w:r>
        <w:rPr>
          <w:sz w:val="24"/>
          <w:szCs w:val="24"/>
        </w:rPr>
        <w:t xml:space="preserve">(2) </w:t>
      </w:r>
      <w:r w:rsidR="004A65FA" w:rsidRPr="003177BA">
        <w:rPr>
          <w:sz w:val="24"/>
          <w:szCs w:val="24"/>
        </w:rPr>
        <w:t>For the purposes of this Act, wheat or wheat products entered for export by a person other than the Board in a year commencing on 1 January shall be deemed to be, or to be produced from (as the case may be), wheat harvested in the season that commenced on 1 October in the immediately preceding year.</w:t>
      </w:r>
    </w:p>
    <w:p w14:paraId="7F80BB45" w14:textId="77777777" w:rsidR="0049491D" w:rsidRPr="003177BA" w:rsidRDefault="000B3619" w:rsidP="000B3619">
      <w:pPr>
        <w:pStyle w:val="BodyText1"/>
        <w:tabs>
          <w:tab w:val="left" w:pos="726"/>
        </w:tabs>
        <w:spacing w:line="240" w:lineRule="auto"/>
        <w:ind w:firstLine="270"/>
        <w:jc w:val="both"/>
        <w:rPr>
          <w:sz w:val="24"/>
          <w:szCs w:val="24"/>
        </w:rPr>
      </w:pPr>
      <w:r>
        <w:rPr>
          <w:sz w:val="24"/>
          <w:szCs w:val="24"/>
        </w:rPr>
        <w:t xml:space="preserve">(3) </w:t>
      </w:r>
      <w:r w:rsidR="004A65FA" w:rsidRPr="003177BA">
        <w:rPr>
          <w:sz w:val="24"/>
          <w:szCs w:val="24"/>
        </w:rPr>
        <w:t>In this Act—</w:t>
      </w:r>
    </w:p>
    <w:p w14:paraId="089D3BB5" w14:textId="77777777" w:rsidR="0049491D" w:rsidRPr="003177BA" w:rsidRDefault="000B3619" w:rsidP="00B36292">
      <w:pPr>
        <w:pStyle w:val="BodyText1"/>
        <w:spacing w:line="240" w:lineRule="auto"/>
        <w:ind w:left="540" w:hanging="270"/>
        <w:jc w:val="both"/>
        <w:rPr>
          <w:sz w:val="24"/>
          <w:szCs w:val="24"/>
        </w:rPr>
      </w:pPr>
      <w:r>
        <w:rPr>
          <w:sz w:val="24"/>
          <w:szCs w:val="24"/>
        </w:rPr>
        <w:t xml:space="preserve">(a) </w:t>
      </w:r>
      <w:r w:rsidR="004A65FA" w:rsidRPr="003177BA">
        <w:rPr>
          <w:sz w:val="24"/>
          <w:szCs w:val="24"/>
        </w:rPr>
        <w:t>a reference to wheat products of a season shall be read as a reference to wheat products produced wholly or partly from, or from materials produced from, wheat of that season;</w:t>
      </w:r>
    </w:p>
    <w:p w14:paraId="13084920" w14:textId="77777777" w:rsidR="0049491D" w:rsidRPr="003177BA" w:rsidRDefault="000B3619" w:rsidP="00B36292">
      <w:pPr>
        <w:pStyle w:val="BodyText1"/>
        <w:spacing w:line="240" w:lineRule="auto"/>
        <w:ind w:left="540" w:hanging="270"/>
        <w:jc w:val="both"/>
        <w:rPr>
          <w:sz w:val="24"/>
          <w:szCs w:val="24"/>
        </w:rPr>
      </w:pPr>
      <w:r>
        <w:rPr>
          <w:sz w:val="24"/>
          <w:szCs w:val="24"/>
        </w:rPr>
        <w:t xml:space="preserve">(b) </w:t>
      </w:r>
      <w:r w:rsidR="004A65FA" w:rsidRPr="003177BA">
        <w:rPr>
          <w:sz w:val="24"/>
          <w:szCs w:val="24"/>
        </w:rPr>
        <w:t>a reference to charge in respect of a season shall be read as a reference to charge in respect of the export of wheat and wheat products of that season; and</w:t>
      </w:r>
    </w:p>
    <w:p w14:paraId="3FEA1735" w14:textId="3BE2A549" w:rsidR="0049491D" w:rsidRPr="003177BA" w:rsidRDefault="000B3619" w:rsidP="00B36292">
      <w:pPr>
        <w:pStyle w:val="BodyText1"/>
        <w:spacing w:line="240" w:lineRule="auto"/>
        <w:ind w:left="540" w:hanging="270"/>
        <w:jc w:val="both"/>
        <w:rPr>
          <w:sz w:val="24"/>
          <w:szCs w:val="24"/>
        </w:rPr>
      </w:pPr>
      <w:r>
        <w:rPr>
          <w:sz w:val="24"/>
          <w:szCs w:val="24"/>
        </w:rPr>
        <w:t xml:space="preserve">(c) </w:t>
      </w:r>
      <w:r w:rsidR="004A65FA" w:rsidRPr="003177BA">
        <w:rPr>
          <w:sz w:val="24"/>
          <w:szCs w:val="24"/>
        </w:rPr>
        <w:t>a reference to the wheat equivalent of wheat products shall be read as a reference to the wheat used in, or used in the production of the materials used in, the wheat products.</w:t>
      </w:r>
    </w:p>
    <w:p w14:paraId="12892A24" w14:textId="2C68E701" w:rsidR="000B3619" w:rsidRPr="000B3619" w:rsidRDefault="000B3619" w:rsidP="00B36292">
      <w:pPr>
        <w:pStyle w:val="BodyText1"/>
        <w:spacing w:before="120" w:after="60" w:line="240" w:lineRule="auto"/>
        <w:ind w:firstLine="0"/>
        <w:jc w:val="both"/>
        <w:rPr>
          <w:rStyle w:val="Bodytext95pt"/>
          <w:b w:val="0"/>
          <w:bCs w:val="0"/>
          <w:sz w:val="20"/>
          <w:szCs w:val="20"/>
        </w:rPr>
      </w:pPr>
      <w:r w:rsidRPr="000B3619">
        <w:rPr>
          <w:rStyle w:val="Bodytext85pt"/>
          <w:b/>
          <w:sz w:val="20"/>
          <w:szCs w:val="20"/>
        </w:rPr>
        <w:t>Charge on export of wheat and wheat products</w:t>
      </w:r>
      <w:r w:rsidR="00676604">
        <w:rPr>
          <w:rStyle w:val="Bodytext85pt"/>
          <w:b/>
          <w:sz w:val="20"/>
          <w:szCs w:val="20"/>
        </w:rPr>
        <w:t>.</w:t>
      </w:r>
    </w:p>
    <w:p w14:paraId="33227168" w14:textId="77777777" w:rsidR="0049491D" w:rsidRPr="003177BA" w:rsidRDefault="000B3619" w:rsidP="00B36292">
      <w:pPr>
        <w:pStyle w:val="BodyText1"/>
        <w:spacing w:after="120" w:line="240" w:lineRule="auto"/>
        <w:ind w:firstLine="274"/>
        <w:jc w:val="both"/>
        <w:rPr>
          <w:sz w:val="24"/>
          <w:szCs w:val="24"/>
        </w:rPr>
      </w:pPr>
      <w:r w:rsidRPr="000B3619">
        <w:rPr>
          <w:rStyle w:val="Bodytext95pt"/>
          <w:sz w:val="24"/>
          <w:szCs w:val="24"/>
        </w:rPr>
        <w:t>5</w:t>
      </w:r>
      <w:r w:rsidR="00B36292">
        <w:rPr>
          <w:rStyle w:val="Bodytext95pt"/>
          <w:sz w:val="24"/>
          <w:szCs w:val="24"/>
        </w:rPr>
        <w:t xml:space="preserve">. </w:t>
      </w:r>
      <w:r w:rsidR="004A65FA" w:rsidRPr="000B3619">
        <w:rPr>
          <w:rStyle w:val="Bodytext95pt"/>
          <w:b w:val="0"/>
          <w:sz w:val="24"/>
          <w:szCs w:val="24"/>
        </w:rPr>
        <w:t>(1)</w:t>
      </w:r>
      <w:r w:rsidR="004A65FA" w:rsidRPr="003177BA">
        <w:rPr>
          <w:rStyle w:val="Bodytext95pt"/>
          <w:sz w:val="24"/>
          <w:szCs w:val="24"/>
        </w:rPr>
        <w:t xml:space="preserve"> </w:t>
      </w:r>
      <w:r w:rsidR="004A65FA" w:rsidRPr="003177BA">
        <w:rPr>
          <w:sz w:val="24"/>
          <w:szCs w:val="24"/>
        </w:rPr>
        <w:t xml:space="preserve">Subject to this Act, a charge is imposed, and shall be levied and paid, on the export from Australia, by or with the consent of the Board, of wheat and wheat products of the season commencing on </w:t>
      </w:r>
      <w:r w:rsidR="004A65FA" w:rsidRPr="003177BA">
        <w:rPr>
          <w:rStyle w:val="Bodytext85pt"/>
          <w:sz w:val="24"/>
          <w:szCs w:val="24"/>
        </w:rPr>
        <w:t>wheat</w:t>
      </w:r>
      <w:r>
        <w:rPr>
          <w:rStyle w:val="Bodytext85pt"/>
          <w:sz w:val="24"/>
          <w:szCs w:val="24"/>
        </w:rPr>
        <w:t xml:space="preserve"> </w:t>
      </w:r>
      <w:r w:rsidR="004A65FA" w:rsidRPr="000B3619">
        <w:rPr>
          <w:rStyle w:val="Bodytext95pt"/>
          <w:b w:val="0"/>
          <w:sz w:val="24"/>
          <w:szCs w:val="24"/>
        </w:rPr>
        <w:t>1</w:t>
      </w:r>
      <w:r w:rsidR="004A65FA" w:rsidRPr="003177BA">
        <w:rPr>
          <w:rStyle w:val="Bodytext95pt"/>
          <w:sz w:val="24"/>
          <w:szCs w:val="24"/>
        </w:rPr>
        <w:t xml:space="preserve"> </w:t>
      </w:r>
      <w:r w:rsidR="004A65FA" w:rsidRPr="003177BA">
        <w:rPr>
          <w:sz w:val="24"/>
          <w:szCs w:val="24"/>
        </w:rPr>
        <w:t xml:space="preserve">October </w:t>
      </w:r>
      <w:r w:rsidR="004A65FA" w:rsidRPr="000B3619">
        <w:rPr>
          <w:rStyle w:val="Bodytext95pt"/>
          <w:b w:val="0"/>
          <w:sz w:val="24"/>
          <w:szCs w:val="24"/>
        </w:rPr>
        <w:t>1974</w:t>
      </w:r>
      <w:r w:rsidR="004A65FA" w:rsidRPr="003177BA">
        <w:rPr>
          <w:rStyle w:val="Bodytext95pt"/>
          <w:sz w:val="24"/>
          <w:szCs w:val="24"/>
        </w:rPr>
        <w:t xml:space="preserve"> </w:t>
      </w:r>
      <w:r w:rsidR="004A65FA" w:rsidRPr="003177BA">
        <w:rPr>
          <w:sz w:val="24"/>
          <w:szCs w:val="24"/>
        </w:rPr>
        <w:t xml:space="preserve">or any of the next </w:t>
      </w:r>
      <w:r w:rsidR="004A65FA" w:rsidRPr="000B3619">
        <w:rPr>
          <w:rStyle w:val="Bodytext95pt"/>
          <w:b w:val="0"/>
          <w:sz w:val="24"/>
          <w:szCs w:val="24"/>
        </w:rPr>
        <w:t>4</w:t>
      </w:r>
      <w:r w:rsidR="004A65FA" w:rsidRPr="003177BA">
        <w:rPr>
          <w:rStyle w:val="Bodytext95pt"/>
          <w:sz w:val="24"/>
          <w:szCs w:val="24"/>
        </w:rPr>
        <w:t xml:space="preserve"> </w:t>
      </w:r>
      <w:r>
        <w:rPr>
          <w:sz w:val="24"/>
          <w:szCs w:val="24"/>
        </w:rPr>
        <w:t>succeeding seasons.</w:t>
      </w:r>
    </w:p>
    <w:p w14:paraId="107EA506" w14:textId="6945A986" w:rsidR="000B3619" w:rsidRPr="00676604" w:rsidRDefault="000B3619" w:rsidP="00676604">
      <w:pPr>
        <w:pStyle w:val="BodyText1"/>
        <w:spacing w:line="240" w:lineRule="auto"/>
        <w:ind w:firstLine="270"/>
        <w:jc w:val="both"/>
        <w:rPr>
          <w:sz w:val="24"/>
          <w:szCs w:val="24"/>
        </w:rPr>
      </w:pPr>
      <w:r>
        <w:rPr>
          <w:sz w:val="24"/>
          <w:szCs w:val="24"/>
        </w:rPr>
        <w:t xml:space="preserve">(2) </w:t>
      </w:r>
      <w:r w:rsidR="004A65FA" w:rsidRPr="003177BA">
        <w:rPr>
          <w:sz w:val="24"/>
          <w:szCs w:val="24"/>
        </w:rPr>
        <w:t>The charge is payable by the Board.</w:t>
      </w:r>
    </w:p>
    <w:p w14:paraId="658D7E37" w14:textId="77777777" w:rsidR="000B3619" w:rsidRPr="000B3619" w:rsidRDefault="000B3619" w:rsidP="000B3619">
      <w:pPr>
        <w:pStyle w:val="BodyText1"/>
        <w:tabs>
          <w:tab w:val="left" w:pos="726"/>
        </w:tabs>
        <w:spacing w:before="120" w:after="60" w:line="240" w:lineRule="auto"/>
        <w:ind w:firstLine="0"/>
        <w:jc w:val="both"/>
        <w:rPr>
          <w:b/>
          <w:sz w:val="20"/>
          <w:szCs w:val="20"/>
        </w:rPr>
      </w:pPr>
      <w:r w:rsidRPr="000B3619">
        <w:rPr>
          <w:b/>
          <w:sz w:val="20"/>
          <w:szCs w:val="20"/>
        </w:rPr>
        <w:t>Amount of charge.</w:t>
      </w:r>
    </w:p>
    <w:p w14:paraId="002FF62D" w14:textId="77777777" w:rsidR="0049491D" w:rsidRPr="003177BA" w:rsidRDefault="000B3619" w:rsidP="00CE15C4">
      <w:pPr>
        <w:pStyle w:val="BodyText1"/>
        <w:spacing w:after="120" w:line="240" w:lineRule="auto"/>
        <w:ind w:firstLine="274"/>
        <w:jc w:val="both"/>
        <w:rPr>
          <w:sz w:val="24"/>
          <w:szCs w:val="24"/>
        </w:rPr>
      </w:pPr>
      <w:r w:rsidRPr="000B3619">
        <w:rPr>
          <w:b/>
          <w:sz w:val="24"/>
          <w:szCs w:val="24"/>
        </w:rPr>
        <w:t>6</w:t>
      </w:r>
      <w:r w:rsidR="000E3FA2">
        <w:rPr>
          <w:b/>
          <w:sz w:val="24"/>
          <w:szCs w:val="24"/>
        </w:rPr>
        <w:t xml:space="preserve">. </w:t>
      </w:r>
      <w:r w:rsidR="004A65FA" w:rsidRPr="003177BA">
        <w:rPr>
          <w:sz w:val="24"/>
          <w:szCs w:val="24"/>
        </w:rPr>
        <w:t>(1) The amount, if any, of the charge in respect of a season shall be ascertained in accordance with this section.</w:t>
      </w:r>
    </w:p>
    <w:p w14:paraId="4B03C8EE" w14:textId="77777777" w:rsidR="0049491D" w:rsidRPr="003177BA" w:rsidRDefault="000B3619" w:rsidP="00CE15C4">
      <w:pPr>
        <w:pStyle w:val="BodyText1"/>
        <w:spacing w:after="120" w:line="240" w:lineRule="auto"/>
        <w:ind w:firstLine="274"/>
        <w:jc w:val="both"/>
        <w:rPr>
          <w:sz w:val="24"/>
          <w:szCs w:val="24"/>
        </w:rPr>
      </w:pPr>
      <w:r>
        <w:rPr>
          <w:sz w:val="24"/>
          <w:szCs w:val="24"/>
        </w:rPr>
        <w:t xml:space="preserve">(2) </w:t>
      </w:r>
      <w:r w:rsidR="004A65FA" w:rsidRPr="003177BA">
        <w:rPr>
          <w:sz w:val="24"/>
          <w:szCs w:val="24"/>
        </w:rPr>
        <w:t>The charge is not payable in respect of the export of wheat of a season unless the average export price for the season exceeds the stabilization price and also exceeds $55.12.</w:t>
      </w:r>
    </w:p>
    <w:p w14:paraId="6B402F39" w14:textId="30856F8B" w:rsidR="0049491D" w:rsidRPr="003177BA" w:rsidRDefault="000B3619" w:rsidP="0032156D">
      <w:pPr>
        <w:pStyle w:val="BodyText1"/>
        <w:tabs>
          <w:tab w:val="left" w:pos="740"/>
        </w:tabs>
        <w:spacing w:after="60" w:line="240" w:lineRule="auto"/>
        <w:ind w:firstLine="274"/>
        <w:jc w:val="both"/>
        <w:rPr>
          <w:sz w:val="24"/>
          <w:szCs w:val="24"/>
        </w:rPr>
      </w:pPr>
      <w:r>
        <w:rPr>
          <w:sz w:val="24"/>
          <w:szCs w:val="24"/>
        </w:rPr>
        <w:t xml:space="preserve">(3) </w:t>
      </w:r>
      <w:r w:rsidR="004A65FA" w:rsidRPr="003177BA">
        <w:rPr>
          <w:sz w:val="24"/>
          <w:szCs w:val="24"/>
        </w:rPr>
        <w:t>Subject to sub-section (4), the total amount of the charge payable in respect of a season is—</w:t>
      </w:r>
    </w:p>
    <w:p w14:paraId="186080FD" w14:textId="77777777" w:rsidR="0049491D" w:rsidRPr="003177BA" w:rsidRDefault="000B3619" w:rsidP="00CE15C4">
      <w:pPr>
        <w:pStyle w:val="BodyText1"/>
        <w:spacing w:after="60" w:line="240" w:lineRule="auto"/>
        <w:ind w:left="548" w:hanging="274"/>
        <w:jc w:val="both"/>
        <w:rPr>
          <w:sz w:val="24"/>
          <w:szCs w:val="24"/>
        </w:rPr>
      </w:pPr>
      <w:r>
        <w:rPr>
          <w:sz w:val="24"/>
          <w:szCs w:val="24"/>
        </w:rPr>
        <w:t xml:space="preserve">(a) </w:t>
      </w:r>
      <w:r w:rsidR="004A65FA" w:rsidRPr="003177BA">
        <w:rPr>
          <w:sz w:val="24"/>
          <w:szCs w:val="24"/>
        </w:rPr>
        <w:t>an amount calculated at the rate of $5.51 per tonne of wheat of that season, and of the wheat equivalent of wheat products of that season, exported by or with the consent of the Board; or</w:t>
      </w:r>
    </w:p>
    <w:p w14:paraId="49413750" w14:textId="77777777" w:rsidR="0032156D" w:rsidRDefault="000B3619" w:rsidP="0032156D">
      <w:pPr>
        <w:pStyle w:val="BodyText1"/>
        <w:tabs>
          <w:tab w:val="left" w:pos="740"/>
        </w:tabs>
        <w:spacing w:after="60" w:line="240" w:lineRule="auto"/>
        <w:ind w:firstLine="274"/>
        <w:jc w:val="both"/>
        <w:rPr>
          <w:sz w:val="24"/>
          <w:szCs w:val="24"/>
        </w:rPr>
      </w:pPr>
      <w:r>
        <w:rPr>
          <w:sz w:val="24"/>
          <w:szCs w:val="24"/>
        </w:rPr>
        <w:t xml:space="preserve">(b) </w:t>
      </w:r>
      <w:r w:rsidR="004A65FA" w:rsidRPr="003177BA">
        <w:rPr>
          <w:sz w:val="24"/>
          <w:szCs w:val="24"/>
        </w:rPr>
        <w:t xml:space="preserve">$30,000,000, </w:t>
      </w:r>
    </w:p>
    <w:p w14:paraId="65F3C3E3" w14:textId="77777777" w:rsidR="0049491D" w:rsidRPr="003177BA" w:rsidRDefault="004A65FA" w:rsidP="0032156D">
      <w:pPr>
        <w:pStyle w:val="BodyText1"/>
        <w:tabs>
          <w:tab w:val="left" w:pos="740"/>
        </w:tabs>
        <w:spacing w:after="120" w:line="240" w:lineRule="auto"/>
        <w:ind w:firstLine="0"/>
        <w:jc w:val="both"/>
        <w:rPr>
          <w:sz w:val="24"/>
          <w:szCs w:val="24"/>
        </w:rPr>
      </w:pPr>
      <w:r w:rsidRPr="003177BA">
        <w:rPr>
          <w:sz w:val="24"/>
          <w:szCs w:val="24"/>
        </w:rPr>
        <w:t>whichever is the less.</w:t>
      </w:r>
    </w:p>
    <w:p w14:paraId="53AED4C6" w14:textId="77777777" w:rsidR="0049491D" w:rsidRPr="003177BA" w:rsidRDefault="000B3619" w:rsidP="00CE15C4">
      <w:pPr>
        <w:pStyle w:val="BodyText1"/>
        <w:spacing w:line="240" w:lineRule="auto"/>
        <w:ind w:firstLine="270"/>
        <w:jc w:val="both"/>
        <w:rPr>
          <w:sz w:val="24"/>
          <w:szCs w:val="24"/>
        </w:rPr>
      </w:pPr>
      <w:r>
        <w:rPr>
          <w:sz w:val="24"/>
          <w:szCs w:val="24"/>
        </w:rPr>
        <w:t xml:space="preserve">(4) </w:t>
      </w:r>
      <w:r w:rsidR="004A65FA" w:rsidRPr="003177BA">
        <w:rPr>
          <w:sz w:val="24"/>
          <w:szCs w:val="24"/>
        </w:rPr>
        <w:t>The total amount of charge payable in respect of a season shall not exceed an amount calculated at a rate per tonne of the wheat of that season, and of the wheat equivalent of wheat products of that season, exported by or with the consent of the Board that is equal to the excess of the average export price for the season over the stabilization price or $55.12, whichever is the higher.</w:t>
      </w:r>
    </w:p>
    <w:p w14:paraId="61460468" w14:textId="77777777" w:rsidR="00676604" w:rsidRDefault="00676604">
      <w:pPr>
        <w:rPr>
          <w:rFonts w:ascii="Times New Roman" w:eastAsia="Times New Roman" w:hAnsi="Times New Roman" w:cs="Times New Roman"/>
          <w:b/>
          <w:sz w:val="20"/>
          <w:szCs w:val="20"/>
        </w:rPr>
      </w:pPr>
      <w:r>
        <w:rPr>
          <w:b/>
          <w:sz w:val="20"/>
          <w:szCs w:val="20"/>
        </w:rPr>
        <w:br w:type="page"/>
      </w:r>
    </w:p>
    <w:p w14:paraId="75258CB0" w14:textId="0A14F6A0" w:rsidR="0049491D" w:rsidRPr="000B3619" w:rsidRDefault="004A65FA" w:rsidP="00CE15C4">
      <w:pPr>
        <w:pStyle w:val="BodyText1"/>
        <w:spacing w:before="120" w:after="60" w:line="240" w:lineRule="auto"/>
        <w:ind w:firstLine="0"/>
        <w:jc w:val="both"/>
        <w:rPr>
          <w:b/>
          <w:sz w:val="20"/>
          <w:szCs w:val="20"/>
        </w:rPr>
      </w:pPr>
      <w:r w:rsidRPr="000B3619">
        <w:rPr>
          <w:b/>
          <w:sz w:val="20"/>
          <w:szCs w:val="20"/>
        </w:rPr>
        <w:lastRenderedPageBreak/>
        <w:t>Payment of charge.</w:t>
      </w:r>
    </w:p>
    <w:p w14:paraId="3C933732" w14:textId="77777777" w:rsidR="0049491D" w:rsidRPr="003177BA" w:rsidRDefault="0032156D" w:rsidP="00A66F73">
      <w:pPr>
        <w:pStyle w:val="BodyText1"/>
        <w:tabs>
          <w:tab w:val="left" w:pos="630"/>
        </w:tabs>
        <w:spacing w:line="240" w:lineRule="auto"/>
        <w:ind w:firstLine="270"/>
        <w:jc w:val="both"/>
        <w:rPr>
          <w:sz w:val="24"/>
          <w:szCs w:val="24"/>
        </w:rPr>
      </w:pPr>
      <w:r w:rsidRPr="0032156D">
        <w:rPr>
          <w:b/>
          <w:sz w:val="24"/>
          <w:szCs w:val="24"/>
        </w:rPr>
        <w:t>7</w:t>
      </w:r>
      <w:r w:rsidR="00CE15C4">
        <w:rPr>
          <w:b/>
          <w:sz w:val="24"/>
          <w:szCs w:val="24"/>
        </w:rPr>
        <w:t>.</w:t>
      </w:r>
      <w:r>
        <w:rPr>
          <w:sz w:val="24"/>
          <w:szCs w:val="24"/>
        </w:rPr>
        <w:tab/>
      </w:r>
      <w:r w:rsidR="004A65FA" w:rsidRPr="003177BA">
        <w:rPr>
          <w:sz w:val="24"/>
          <w:szCs w:val="24"/>
        </w:rPr>
        <w:t>The charge, if any, in respect of a season is payable to Australia by the Board as soon as practicable after the average export price for the season has been declared.</w:t>
      </w:r>
    </w:p>
    <w:p w14:paraId="76B94B5B" w14:textId="77777777" w:rsidR="0032156D" w:rsidRDefault="0032156D" w:rsidP="00C4449D">
      <w:pPr>
        <w:pStyle w:val="Bodytext30"/>
        <w:pBdr>
          <w:bottom w:val="single" w:sz="4" w:space="1" w:color="auto"/>
        </w:pBdr>
        <w:spacing w:after="240" w:line="240" w:lineRule="auto"/>
        <w:jc w:val="both"/>
        <w:rPr>
          <w:sz w:val="24"/>
          <w:szCs w:val="24"/>
        </w:rPr>
      </w:pPr>
    </w:p>
    <w:sectPr w:rsidR="0032156D" w:rsidSect="00B90ACC">
      <w:headerReference w:type="default" r:id="rId8"/>
      <w:type w:val="continuous"/>
      <w:pgSz w:w="11909"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05633B" w15:done="0"/>
  <w15:commentEx w15:paraId="742AF341" w15:done="0"/>
  <w15:commentEx w15:paraId="1300A3BB" w15:done="0"/>
  <w15:commentEx w15:paraId="53F0DD12" w15:done="0"/>
  <w15:commentEx w15:paraId="4D4C96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5633B" w16cid:durableId="1F4A55B0"/>
  <w16cid:commentId w16cid:paraId="742AF341" w16cid:durableId="1F4A55C0"/>
  <w16cid:commentId w16cid:paraId="1300A3BB" w16cid:durableId="1F4A55EA"/>
  <w16cid:commentId w16cid:paraId="53F0DD12" w16cid:durableId="1F4A55D1"/>
  <w16cid:commentId w16cid:paraId="4D4C96EC" w16cid:durableId="1F4A55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C0C0F" w14:textId="77777777" w:rsidR="004E2064" w:rsidRDefault="004E2064">
      <w:r>
        <w:separator/>
      </w:r>
    </w:p>
  </w:endnote>
  <w:endnote w:type="continuationSeparator" w:id="0">
    <w:p w14:paraId="29CF1CD3" w14:textId="77777777" w:rsidR="004E2064" w:rsidRDefault="004E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B9651" w14:textId="77777777" w:rsidR="004E2064" w:rsidRDefault="004E2064"/>
  </w:footnote>
  <w:footnote w:type="continuationSeparator" w:id="0">
    <w:p w14:paraId="5975C1FC" w14:textId="77777777" w:rsidR="004E2064" w:rsidRDefault="004E20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EF35" w14:textId="77777777" w:rsidR="00B90ACC" w:rsidRPr="00B90ACC" w:rsidRDefault="00B90ACC">
    <w:pPr>
      <w:pStyle w:val="Header"/>
      <w:rPr>
        <w:rFonts w:ascii="Times New Roman" w:hAnsi="Times New Roman" w:cs="Times New Roman"/>
        <w:sz w:val="22"/>
        <w:szCs w:val="22"/>
      </w:rPr>
    </w:pPr>
    <w:r w:rsidRPr="00B90ACC">
      <w:rPr>
        <w:rFonts w:ascii="Times New Roman" w:hAnsi="Times New Roman" w:cs="Times New Roman"/>
        <w:sz w:val="22"/>
        <w:szCs w:val="22"/>
      </w:rPr>
      <w:t xml:space="preserve">No. 64 </w:t>
    </w:r>
    <w:r w:rsidRPr="00B90ACC">
      <w:rPr>
        <w:rFonts w:ascii="Times New Roman" w:hAnsi="Times New Roman" w:cs="Times New Roman"/>
        <w:sz w:val="22"/>
        <w:szCs w:val="22"/>
      </w:rPr>
      <w:tab/>
    </w:r>
    <w:r w:rsidRPr="00B90ACC">
      <w:rPr>
        <w:rFonts w:ascii="Times New Roman" w:hAnsi="Times New Roman" w:cs="Times New Roman"/>
        <w:i/>
        <w:iCs/>
        <w:color w:val="auto"/>
        <w:sz w:val="22"/>
        <w:szCs w:val="22"/>
        <w:lang w:val="en-IN"/>
      </w:rPr>
      <w:t>Wheat Export Charge</w:t>
    </w:r>
    <w:r w:rsidRPr="00B90ACC">
      <w:rPr>
        <w:rFonts w:ascii="Times New Roman" w:hAnsi="Times New Roman" w:cs="Times New Roman"/>
        <w:i/>
        <w:iCs/>
        <w:color w:val="auto"/>
        <w:sz w:val="22"/>
        <w:szCs w:val="22"/>
        <w:lang w:val="en-IN"/>
      </w:rPr>
      <w:tab/>
    </w:r>
    <w:r w:rsidRPr="00B90ACC">
      <w:rPr>
        <w:rFonts w:ascii="Times New Roman" w:hAnsi="Times New Roman" w:cs="Times New Roman"/>
        <w:iCs/>
        <w:color w:val="auto"/>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4A9"/>
    <w:multiLevelType w:val="multilevel"/>
    <w:tmpl w:val="FB8E0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F33CFE"/>
    <w:multiLevelType w:val="multilevel"/>
    <w:tmpl w:val="20F26A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482FB7"/>
    <w:multiLevelType w:val="multilevel"/>
    <w:tmpl w:val="64EC4C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A46F1E"/>
    <w:multiLevelType w:val="multilevel"/>
    <w:tmpl w:val="4DA881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022C1"/>
    <w:multiLevelType w:val="multilevel"/>
    <w:tmpl w:val="DDC8EA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7D3261"/>
    <w:multiLevelType w:val="multilevel"/>
    <w:tmpl w:val="DB2E1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1D"/>
    <w:rsid w:val="000B3619"/>
    <w:rsid w:val="000B49C7"/>
    <w:rsid w:val="000E3FA2"/>
    <w:rsid w:val="003177BA"/>
    <w:rsid w:val="0032156D"/>
    <w:rsid w:val="00422F13"/>
    <w:rsid w:val="0049491D"/>
    <w:rsid w:val="004A65FA"/>
    <w:rsid w:val="004E2064"/>
    <w:rsid w:val="00676604"/>
    <w:rsid w:val="00677FDC"/>
    <w:rsid w:val="0072695E"/>
    <w:rsid w:val="009577BB"/>
    <w:rsid w:val="00A66F73"/>
    <w:rsid w:val="00B36292"/>
    <w:rsid w:val="00B42140"/>
    <w:rsid w:val="00B90ACC"/>
    <w:rsid w:val="00C4449D"/>
    <w:rsid w:val="00CE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2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0"/>
      <w:szCs w:val="40"/>
      <w:u w:val="none"/>
    </w:rPr>
  </w:style>
  <w:style w:type="character" w:customStyle="1" w:styleId="Heading2">
    <w:name w:val="Heading #2_"/>
    <w:basedOn w:val="DefaultParagraphFont"/>
    <w:link w:val="Heading20"/>
    <w:rPr>
      <w:rFonts w:ascii="CordiaUPC" w:eastAsia="CordiaUPC" w:hAnsi="CordiaUPC" w:cs="CordiaUPC"/>
      <w:b/>
      <w:bCs/>
      <w:i w:val="0"/>
      <w:iCs w:val="0"/>
      <w:smallCaps w:val="0"/>
      <w:strike w:val="0"/>
      <w:sz w:val="40"/>
      <w:szCs w:val="4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95pt">
    <w:name w:val="Body text (2) + 9.5 pt"/>
    <w:aliases w:val="Bold,Not Italic"/>
    <w:basedOn w:val="Bodytext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85pt">
    <w:name w:val="Body text (2) + 8.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NotBold">
    <w:name w:val="Header or footer + Not Bold"/>
    <w:aliases w:val="Not 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outlineLvl w:val="0"/>
    </w:pPr>
    <w:rPr>
      <w:rFonts w:ascii="CordiaUPC" w:eastAsia="CordiaUPC" w:hAnsi="CordiaUPC" w:cs="CordiaUPC"/>
      <w:b/>
      <w:bCs/>
      <w:sz w:val="40"/>
      <w:szCs w:val="40"/>
    </w:rPr>
  </w:style>
  <w:style w:type="paragraph" w:customStyle="1" w:styleId="Heading20">
    <w:name w:val="Heading #2"/>
    <w:basedOn w:val="Normal"/>
    <w:link w:val="Heading2"/>
    <w:pPr>
      <w:spacing w:line="0" w:lineRule="atLeast"/>
      <w:outlineLvl w:val="1"/>
    </w:pPr>
    <w:rPr>
      <w:rFonts w:ascii="CordiaUPC" w:eastAsia="CordiaUPC" w:hAnsi="CordiaUPC" w:cs="CordiaUPC"/>
      <w:b/>
      <w:bCs/>
      <w:sz w:val="40"/>
      <w:szCs w:val="40"/>
    </w:rPr>
  </w:style>
  <w:style w:type="paragraph" w:customStyle="1" w:styleId="BodyText1">
    <w:name w:val="Body Text1"/>
    <w:basedOn w:val="Normal"/>
    <w:link w:val="Bodytext"/>
    <w:pPr>
      <w:spacing w:line="235" w:lineRule="exact"/>
      <w:ind w:hanging="440"/>
    </w:pPr>
    <w:rPr>
      <w:rFonts w:ascii="Times New Roman" w:eastAsia="Times New Roman" w:hAnsi="Times New Roman" w:cs="Times New Roman"/>
      <w:sz w:val="21"/>
      <w:szCs w:val="21"/>
    </w:rPr>
  </w:style>
  <w:style w:type="paragraph" w:customStyle="1" w:styleId="Bodytext20">
    <w:name w:val="Body text (2)"/>
    <w:basedOn w:val="Normal"/>
    <w:link w:val="Bodytext2"/>
    <w:pPr>
      <w:spacing w:line="230" w:lineRule="exact"/>
      <w:ind w:firstLine="320"/>
    </w:pPr>
    <w:rPr>
      <w:rFonts w:ascii="Times New Roman" w:eastAsia="Times New Roman" w:hAnsi="Times New Roman" w:cs="Times New Roman"/>
      <w:i/>
      <w:iCs/>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32156D"/>
    <w:pPr>
      <w:tabs>
        <w:tab w:val="center" w:pos="4680"/>
        <w:tab w:val="right" w:pos="9360"/>
      </w:tabs>
    </w:pPr>
  </w:style>
  <w:style w:type="character" w:customStyle="1" w:styleId="HeaderChar">
    <w:name w:val="Header Char"/>
    <w:basedOn w:val="DefaultParagraphFont"/>
    <w:link w:val="Header"/>
    <w:uiPriority w:val="99"/>
    <w:rsid w:val="0032156D"/>
    <w:rPr>
      <w:color w:val="000000"/>
    </w:rPr>
  </w:style>
  <w:style w:type="paragraph" w:styleId="Footer">
    <w:name w:val="footer"/>
    <w:basedOn w:val="Normal"/>
    <w:link w:val="FooterChar"/>
    <w:uiPriority w:val="99"/>
    <w:unhideWhenUsed/>
    <w:rsid w:val="0032156D"/>
    <w:pPr>
      <w:tabs>
        <w:tab w:val="center" w:pos="4680"/>
        <w:tab w:val="right" w:pos="9360"/>
      </w:tabs>
    </w:pPr>
  </w:style>
  <w:style w:type="character" w:customStyle="1" w:styleId="FooterChar">
    <w:name w:val="Footer Char"/>
    <w:basedOn w:val="DefaultParagraphFont"/>
    <w:link w:val="Footer"/>
    <w:uiPriority w:val="99"/>
    <w:rsid w:val="0032156D"/>
    <w:rPr>
      <w:color w:val="000000"/>
    </w:rPr>
  </w:style>
  <w:style w:type="character" w:styleId="CommentReference">
    <w:name w:val="annotation reference"/>
    <w:basedOn w:val="DefaultParagraphFont"/>
    <w:uiPriority w:val="99"/>
    <w:semiHidden/>
    <w:unhideWhenUsed/>
    <w:rsid w:val="0072695E"/>
    <w:rPr>
      <w:sz w:val="16"/>
      <w:szCs w:val="16"/>
    </w:rPr>
  </w:style>
  <w:style w:type="paragraph" w:styleId="CommentText">
    <w:name w:val="annotation text"/>
    <w:basedOn w:val="Normal"/>
    <w:link w:val="CommentTextChar"/>
    <w:uiPriority w:val="99"/>
    <w:semiHidden/>
    <w:unhideWhenUsed/>
    <w:rsid w:val="0072695E"/>
    <w:rPr>
      <w:sz w:val="20"/>
      <w:szCs w:val="20"/>
    </w:rPr>
  </w:style>
  <w:style w:type="character" w:customStyle="1" w:styleId="CommentTextChar">
    <w:name w:val="Comment Text Char"/>
    <w:basedOn w:val="DefaultParagraphFont"/>
    <w:link w:val="CommentText"/>
    <w:uiPriority w:val="99"/>
    <w:semiHidden/>
    <w:rsid w:val="0072695E"/>
    <w:rPr>
      <w:color w:val="000000"/>
      <w:sz w:val="20"/>
      <w:szCs w:val="20"/>
    </w:rPr>
  </w:style>
  <w:style w:type="paragraph" w:styleId="CommentSubject">
    <w:name w:val="annotation subject"/>
    <w:basedOn w:val="CommentText"/>
    <w:next w:val="CommentText"/>
    <w:link w:val="CommentSubjectChar"/>
    <w:uiPriority w:val="99"/>
    <w:semiHidden/>
    <w:unhideWhenUsed/>
    <w:rsid w:val="0072695E"/>
    <w:rPr>
      <w:b/>
      <w:bCs/>
    </w:rPr>
  </w:style>
  <w:style w:type="character" w:customStyle="1" w:styleId="CommentSubjectChar">
    <w:name w:val="Comment Subject Char"/>
    <w:basedOn w:val="CommentTextChar"/>
    <w:link w:val="CommentSubject"/>
    <w:uiPriority w:val="99"/>
    <w:semiHidden/>
    <w:rsid w:val="0072695E"/>
    <w:rPr>
      <w:b/>
      <w:bCs/>
      <w:color w:val="000000"/>
      <w:sz w:val="20"/>
      <w:szCs w:val="20"/>
    </w:rPr>
  </w:style>
  <w:style w:type="paragraph" w:styleId="BalloonText">
    <w:name w:val="Balloon Text"/>
    <w:basedOn w:val="Normal"/>
    <w:link w:val="BalloonTextChar"/>
    <w:uiPriority w:val="99"/>
    <w:semiHidden/>
    <w:unhideWhenUsed/>
    <w:rsid w:val="0072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5E"/>
    <w:rPr>
      <w:rFonts w:ascii="Segoe UI" w:hAnsi="Segoe UI" w:cs="Segoe UI"/>
      <w:color w:val="000000"/>
      <w:sz w:val="18"/>
      <w:szCs w:val="18"/>
    </w:rPr>
  </w:style>
  <w:style w:type="paragraph" w:styleId="Revision">
    <w:name w:val="Revision"/>
    <w:hidden/>
    <w:uiPriority w:val="99"/>
    <w:semiHidden/>
    <w:rsid w:val="0067660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0"/>
      <w:szCs w:val="40"/>
      <w:u w:val="none"/>
    </w:rPr>
  </w:style>
  <w:style w:type="character" w:customStyle="1" w:styleId="Heading2">
    <w:name w:val="Heading #2_"/>
    <w:basedOn w:val="DefaultParagraphFont"/>
    <w:link w:val="Heading20"/>
    <w:rPr>
      <w:rFonts w:ascii="CordiaUPC" w:eastAsia="CordiaUPC" w:hAnsi="CordiaUPC" w:cs="CordiaUPC"/>
      <w:b/>
      <w:bCs/>
      <w:i w:val="0"/>
      <w:iCs w:val="0"/>
      <w:smallCaps w:val="0"/>
      <w:strike w:val="0"/>
      <w:sz w:val="40"/>
      <w:szCs w:val="4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95pt">
    <w:name w:val="Body text (2) + 9.5 pt"/>
    <w:aliases w:val="Bold,Not Italic"/>
    <w:basedOn w:val="Bodytext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85pt">
    <w:name w:val="Body text (2) + 8.5 pt"/>
    <w:aliases w:val="Not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NotBold">
    <w:name w:val="Header or footer + Not Bold"/>
    <w:aliases w:val="Not 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outlineLvl w:val="0"/>
    </w:pPr>
    <w:rPr>
      <w:rFonts w:ascii="CordiaUPC" w:eastAsia="CordiaUPC" w:hAnsi="CordiaUPC" w:cs="CordiaUPC"/>
      <w:b/>
      <w:bCs/>
      <w:sz w:val="40"/>
      <w:szCs w:val="40"/>
    </w:rPr>
  </w:style>
  <w:style w:type="paragraph" w:customStyle="1" w:styleId="Heading20">
    <w:name w:val="Heading #2"/>
    <w:basedOn w:val="Normal"/>
    <w:link w:val="Heading2"/>
    <w:pPr>
      <w:spacing w:line="0" w:lineRule="atLeast"/>
      <w:outlineLvl w:val="1"/>
    </w:pPr>
    <w:rPr>
      <w:rFonts w:ascii="CordiaUPC" w:eastAsia="CordiaUPC" w:hAnsi="CordiaUPC" w:cs="CordiaUPC"/>
      <w:b/>
      <w:bCs/>
      <w:sz w:val="40"/>
      <w:szCs w:val="40"/>
    </w:rPr>
  </w:style>
  <w:style w:type="paragraph" w:customStyle="1" w:styleId="BodyText1">
    <w:name w:val="Body Text1"/>
    <w:basedOn w:val="Normal"/>
    <w:link w:val="Bodytext"/>
    <w:pPr>
      <w:spacing w:line="235" w:lineRule="exact"/>
      <w:ind w:hanging="440"/>
    </w:pPr>
    <w:rPr>
      <w:rFonts w:ascii="Times New Roman" w:eastAsia="Times New Roman" w:hAnsi="Times New Roman" w:cs="Times New Roman"/>
      <w:sz w:val="21"/>
      <w:szCs w:val="21"/>
    </w:rPr>
  </w:style>
  <w:style w:type="paragraph" w:customStyle="1" w:styleId="Bodytext20">
    <w:name w:val="Body text (2)"/>
    <w:basedOn w:val="Normal"/>
    <w:link w:val="Bodytext2"/>
    <w:pPr>
      <w:spacing w:line="230" w:lineRule="exact"/>
      <w:ind w:firstLine="320"/>
    </w:pPr>
    <w:rPr>
      <w:rFonts w:ascii="Times New Roman" w:eastAsia="Times New Roman" w:hAnsi="Times New Roman" w:cs="Times New Roman"/>
      <w:i/>
      <w:iCs/>
      <w:sz w:val="21"/>
      <w:szCs w:val="21"/>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32156D"/>
    <w:pPr>
      <w:tabs>
        <w:tab w:val="center" w:pos="4680"/>
        <w:tab w:val="right" w:pos="9360"/>
      </w:tabs>
    </w:pPr>
  </w:style>
  <w:style w:type="character" w:customStyle="1" w:styleId="HeaderChar">
    <w:name w:val="Header Char"/>
    <w:basedOn w:val="DefaultParagraphFont"/>
    <w:link w:val="Header"/>
    <w:uiPriority w:val="99"/>
    <w:rsid w:val="0032156D"/>
    <w:rPr>
      <w:color w:val="000000"/>
    </w:rPr>
  </w:style>
  <w:style w:type="paragraph" w:styleId="Footer">
    <w:name w:val="footer"/>
    <w:basedOn w:val="Normal"/>
    <w:link w:val="FooterChar"/>
    <w:uiPriority w:val="99"/>
    <w:unhideWhenUsed/>
    <w:rsid w:val="0032156D"/>
    <w:pPr>
      <w:tabs>
        <w:tab w:val="center" w:pos="4680"/>
        <w:tab w:val="right" w:pos="9360"/>
      </w:tabs>
    </w:pPr>
  </w:style>
  <w:style w:type="character" w:customStyle="1" w:styleId="FooterChar">
    <w:name w:val="Footer Char"/>
    <w:basedOn w:val="DefaultParagraphFont"/>
    <w:link w:val="Footer"/>
    <w:uiPriority w:val="99"/>
    <w:rsid w:val="0032156D"/>
    <w:rPr>
      <w:color w:val="000000"/>
    </w:rPr>
  </w:style>
  <w:style w:type="character" w:styleId="CommentReference">
    <w:name w:val="annotation reference"/>
    <w:basedOn w:val="DefaultParagraphFont"/>
    <w:uiPriority w:val="99"/>
    <w:semiHidden/>
    <w:unhideWhenUsed/>
    <w:rsid w:val="0072695E"/>
    <w:rPr>
      <w:sz w:val="16"/>
      <w:szCs w:val="16"/>
    </w:rPr>
  </w:style>
  <w:style w:type="paragraph" w:styleId="CommentText">
    <w:name w:val="annotation text"/>
    <w:basedOn w:val="Normal"/>
    <w:link w:val="CommentTextChar"/>
    <w:uiPriority w:val="99"/>
    <w:semiHidden/>
    <w:unhideWhenUsed/>
    <w:rsid w:val="0072695E"/>
    <w:rPr>
      <w:sz w:val="20"/>
      <w:szCs w:val="20"/>
    </w:rPr>
  </w:style>
  <w:style w:type="character" w:customStyle="1" w:styleId="CommentTextChar">
    <w:name w:val="Comment Text Char"/>
    <w:basedOn w:val="DefaultParagraphFont"/>
    <w:link w:val="CommentText"/>
    <w:uiPriority w:val="99"/>
    <w:semiHidden/>
    <w:rsid w:val="0072695E"/>
    <w:rPr>
      <w:color w:val="000000"/>
      <w:sz w:val="20"/>
      <w:szCs w:val="20"/>
    </w:rPr>
  </w:style>
  <w:style w:type="paragraph" w:styleId="CommentSubject">
    <w:name w:val="annotation subject"/>
    <w:basedOn w:val="CommentText"/>
    <w:next w:val="CommentText"/>
    <w:link w:val="CommentSubjectChar"/>
    <w:uiPriority w:val="99"/>
    <w:semiHidden/>
    <w:unhideWhenUsed/>
    <w:rsid w:val="0072695E"/>
    <w:rPr>
      <w:b/>
      <w:bCs/>
    </w:rPr>
  </w:style>
  <w:style w:type="character" w:customStyle="1" w:styleId="CommentSubjectChar">
    <w:name w:val="Comment Subject Char"/>
    <w:basedOn w:val="CommentTextChar"/>
    <w:link w:val="CommentSubject"/>
    <w:uiPriority w:val="99"/>
    <w:semiHidden/>
    <w:rsid w:val="0072695E"/>
    <w:rPr>
      <w:b/>
      <w:bCs/>
      <w:color w:val="000000"/>
      <w:sz w:val="20"/>
      <w:szCs w:val="20"/>
    </w:rPr>
  </w:style>
  <w:style w:type="paragraph" w:styleId="BalloonText">
    <w:name w:val="Balloon Text"/>
    <w:basedOn w:val="Normal"/>
    <w:link w:val="BalloonTextChar"/>
    <w:uiPriority w:val="99"/>
    <w:semiHidden/>
    <w:unhideWhenUsed/>
    <w:rsid w:val="0072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5E"/>
    <w:rPr>
      <w:rFonts w:ascii="Segoe UI" w:hAnsi="Segoe UI" w:cs="Segoe UI"/>
      <w:color w:val="000000"/>
      <w:sz w:val="18"/>
      <w:szCs w:val="18"/>
    </w:rPr>
  </w:style>
  <w:style w:type="paragraph" w:styleId="Revision">
    <w:name w:val="Revision"/>
    <w:hidden/>
    <w:uiPriority w:val="99"/>
    <w:semiHidden/>
    <w:rsid w:val="0067660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2018-09-17T06:34:00Z</dcterms:created>
  <dcterms:modified xsi:type="dcterms:W3CDTF">2019-06-19T05:39:00Z</dcterms:modified>
</cp:coreProperties>
</file>