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7BE9" w14:textId="77777777" w:rsidR="00CA61F6" w:rsidRPr="00AA26C0" w:rsidRDefault="008E7E5F" w:rsidP="0039441C">
      <w:pPr>
        <w:pStyle w:val="Bodytext20"/>
        <w:spacing w:line="240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AA26C0">
        <w:rPr>
          <w:rFonts w:ascii="Times New Roman" w:hAnsi="Times New Roman" w:cs="Times New Roman"/>
          <w:sz w:val="36"/>
          <w:szCs w:val="36"/>
        </w:rPr>
        <w:t>PETROLEUM (SUBMERGED LANDS) ACT</w:t>
      </w:r>
    </w:p>
    <w:p w14:paraId="423B6C37" w14:textId="77777777" w:rsidR="00CA61F6" w:rsidRPr="00AA26C0" w:rsidRDefault="008E7E5F" w:rsidP="0039441C">
      <w:pPr>
        <w:pStyle w:val="Bodytext30"/>
        <w:spacing w:line="240" w:lineRule="auto"/>
        <w:rPr>
          <w:rFonts w:ascii="Times New Roman" w:hAnsi="Times New Roman" w:cs="Times New Roman"/>
          <w:spacing w:val="0"/>
          <w:sz w:val="36"/>
          <w:szCs w:val="36"/>
        </w:rPr>
      </w:pPr>
      <w:r w:rsidRPr="00AA26C0">
        <w:rPr>
          <w:rFonts w:ascii="Times New Roman" w:hAnsi="Times New Roman" w:cs="Times New Roman"/>
          <w:spacing w:val="0"/>
          <w:sz w:val="36"/>
          <w:szCs w:val="36"/>
        </w:rPr>
        <w:t>1974</w:t>
      </w:r>
    </w:p>
    <w:p w14:paraId="7CB35A43" w14:textId="77777777" w:rsidR="00AA26C0" w:rsidRPr="00AA26C0" w:rsidRDefault="00AA26C0" w:rsidP="0039441C">
      <w:pPr>
        <w:pStyle w:val="Bodytext30"/>
        <w:spacing w:line="240" w:lineRule="auto"/>
        <w:rPr>
          <w:rFonts w:ascii="Times New Roman" w:hAnsi="Times New Roman" w:cs="Times New Roman"/>
          <w:spacing w:val="0"/>
          <w:sz w:val="36"/>
          <w:szCs w:val="36"/>
        </w:rPr>
      </w:pPr>
    </w:p>
    <w:p w14:paraId="079AA5D8" w14:textId="77777777" w:rsidR="00CA61F6" w:rsidRDefault="008E7E5F" w:rsidP="0039441C">
      <w:pPr>
        <w:pStyle w:val="BodyText21"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bookmark0"/>
      <w:r w:rsidRPr="00AA26C0">
        <w:rPr>
          <w:b/>
          <w:sz w:val="28"/>
          <w:szCs w:val="28"/>
        </w:rPr>
        <w:t>No. 57 of 1974</w:t>
      </w:r>
      <w:bookmarkEnd w:id="0"/>
    </w:p>
    <w:p w14:paraId="52D8F95A" w14:textId="77777777" w:rsidR="00AA26C0" w:rsidRPr="00AA26C0" w:rsidRDefault="00AA26C0" w:rsidP="0039441C">
      <w:pPr>
        <w:pStyle w:val="BodyText21"/>
        <w:spacing w:line="240" w:lineRule="auto"/>
        <w:ind w:firstLine="0"/>
        <w:jc w:val="center"/>
        <w:rPr>
          <w:b/>
          <w:sz w:val="28"/>
          <w:szCs w:val="28"/>
        </w:rPr>
      </w:pPr>
    </w:p>
    <w:p w14:paraId="68E2E023" w14:textId="77777777" w:rsidR="00CA61F6" w:rsidRPr="00AA26C0" w:rsidRDefault="008E7E5F" w:rsidP="0039441C">
      <w:pPr>
        <w:pStyle w:val="BodyText21"/>
        <w:spacing w:after="160" w:line="240" w:lineRule="auto"/>
        <w:ind w:firstLine="0"/>
        <w:jc w:val="left"/>
        <w:rPr>
          <w:sz w:val="24"/>
          <w:szCs w:val="24"/>
        </w:rPr>
      </w:pPr>
      <w:r w:rsidRPr="00AA26C0">
        <w:rPr>
          <w:sz w:val="24"/>
          <w:szCs w:val="24"/>
        </w:rPr>
        <w:t xml:space="preserve">An Act to amend the </w:t>
      </w:r>
      <w:r w:rsidRPr="00AA26C0">
        <w:rPr>
          <w:rStyle w:val="BodytextItalic"/>
          <w:sz w:val="24"/>
          <w:szCs w:val="24"/>
        </w:rPr>
        <w:t>Petroleum (Submerged Lands) Act</w:t>
      </w:r>
      <w:r w:rsidRPr="00AA26C0">
        <w:rPr>
          <w:sz w:val="24"/>
          <w:szCs w:val="24"/>
        </w:rPr>
        <w:t xml:space="preserve"> 1967-1973 in relation to Papua New Guinea.</w:t>
      </w:r>
    </w:p>
    <w:p w14:paraId="62BD94E0" w14:textId="78D034DC" w:rsidR="00CA61F6" w:rsidRPr="00AA26C0" w:rsidRDefault="008E7E5F" w:rsidP="00F47709">
      <w:pPr>
        <w:pStyle w:val="BodyText21"/>
        <w:spacing w:line="240" w:lineRule="auto"/>
        <w:ind w:firstLine="360"/>
        <w:rPr>
          <w:sz w:val="24"/>
          <w:szCs w:val="24"/>
        </w:rPr>
      </w:pPr>
      <w:r w:rsidRPr="00AA26C0">
        <w:rPr>
          <w:sz w:val="24"/>
          <w:szCs w:val="24"/>
        </w:rPr>
        <w:t>BE IT ENACTED by the Queen, the Senate and the House of Representa</w:t>
      </w:r>
      <w:r w:rsidR="001933B0">
        <w:rPr>
          <w:sz w:val="24"/>
          <w:szCs w:val="24"/>
        </w:rPr>
        <w:t>tives of Australia, as follows:</w:t>
      </w:r>
      <w:r w:rsidRPr="00AA26C0">
        <w:rPr>
          <w:sz w:val="24"/>
          <w:szCs w:val="24"/>
        </w:rPr>
        <w:t>—</w:t>
      </w:r>
    </w:p>
    <w:p w14:paraId="1E054060" w14:textId="77777777" w:rsidR="00CA61F6" w:rsidRPr="00AA26C0" w:rsidRDefault="008E7E5F" w:rsidP="009F69C1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AA26C0">
        <w:rPr>
          <w:rStyle w:val="Bodytext4"/>
          <w:b/>
          <w:sz w:val="20"/>
          <w:szCs w:val="20"/>
        </w:rPr>
        <w:t>Short title and citation.</w:t>
      </w:r>
    </w:p>
    <w:p w14:paraId="4A836509" w14:textId="1D008702" w:rsidR="00CA61F6" w:rsidRPr="00AA26C0" w:rsidRDefault="00440A68" w:rsidP="009F69C1">
      <w:pPr>
        <w:pStyle w:val="BodyText21"/>
        <w:tabs>
          <w:tab w:val="left" w:pos="630"/>
        </w:tabs>
        <w:spacing w:after="120" w:line="240" w:lineRule="auto"/>
        <w:ind w:firstLine="274"/>
        <w:rPr>
          <w:sz w:val="24"/>
          <w:szCs w:val="24"/>
        </w:rPr>
      </w:pPr>
      <w:r>
        <w:rPr>
          <w:rStyle w:val="BodyText1"/>
          <w:b/>
          <w:sz w:val="24"/>
          <w:szCs w:val="24"/>
        </w:rPr>
        <w:t xml:space="preserve">1 </w:t>
      </w:r>
      <w:r w:rsidR="008E7E5F" w:rsidRPr="00AA26C0">
        <w:rPr>
          <w:rStyle w:val="BodyText1"/>
          <w:sz w:val="24"/>
          <w:szCs w:val="24"/>
        </w:rPr>
        <w:t>(1)</w:t>
      </w:r>
      <w:r w:rsidR="00AA26C0">
        <w:rPr>
          <w:sz w:val="24"/>
          <w:szCs w:val="24"/>
        </w:rPr>
        <w:t xml:space="preserve"> </w:t>
      </w:r>
      <w:r w:rsidR="008E7E5F" w:rsidRPr="00AA26C0">
        <w:rPr>
          <w:sz w:val="24"/>
          <w:szCs w:val="24"/>
        </w:rPr>
        <w:t xml:space="preserve">This Act may be cited as the </w:t>
      </w:r>
      <w:r w:rsidR="008E7E5F" w:rsidRPr="00AA26C0">
        <w:rPr>
          <w:rStyle w:val="BodytextItalic"/>
          <w:sz w:val="24"/>
          <w:szCs w:val="24"/>
        </w:rPr>
        <w:t>Petroleum (Submerged Lands) Act</w:t>
      </w:r>
      <w:r w:rsidR="00AA26C0" w:rsidRPr="00AA26C0">
        <w:rPr>
          <w:sz w:val="24"/>
          <w:szCs w:val="24"/>
        </w:rPr>
        <w:t xml:space="preserve"> 1974.</w:t>
      </w:r>
    </w:p>
    <w:p w14:paraId="2DC7F305" w14:textId="3DDEC100" w:rsidR="00CA61F6" w:rsidRPr="00AA26C0" w:rsidRDefault="00AA26C0" w:rsidP="009F69C1">
      <w:pPr>
        <w:pStyle w:val="BodyText21"/>
        <w:spacing w:after="120" w:line="240" w:lineRule="auto"/>
        <w:ind w:firstLine="274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8E7E5F" w:rsidRPr="00AA26C0">
        <w:rPr>
          <w:sz w:val="24"/>
          <w:szCs w:val="24"/>
        </w:rPr>
        <w:t xml:space="preserve">The </w:t>
      </w:r>
      <w:r w:rsidR="008E7E5F" w:rsidRPr="00AA26C0">
        <w:rPr>
          <w:rStyle w:val="BodytextItalic"/>
          <w:sz w:val="24"/>
          <w:szCs w:val="24"/>
        </w:rPr>
        <w:t>Petroleum (Submerged Lands) Act</w:t>
      </w:r>
      <w:r w:rsidR="008E7E5F" w:rsidRPr="00AA26C0">
        <w:rPr>
          <w:sz w:val="24"/>
          <w:szCs w:val="24"/>
        </w:rPr>
        <w:t xml:space="preserve"> 1967-1973 is in this Act referred to as the Principal Act.</w:t>
      </w:r>
    </w:p>
    <w:p w14:paraId="6AC2DE1B" w14:textId="77777777" w:rsidR="00CA61F6" w:rsidRPr="00AA26C0" w:rsidRDefault="00AA26C0" w:rsidP="009F69C1">
      <w:pPr>
        <w:pStyle w:val="BodyText21"/>
        <w:spacing w:line="240" w:lineRule="auto"/>
        <w:ind w:firstLine="270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8E7E5F" w:rsidRPr="00AA26C0">
        <w:rPr>
          <w:sz w:val="24"/>
          <w:szCs w:val="24"/>
        </w:rPr>
        <w:t xml:space="preserve">The Principal Act, as amended by this Act, may be cited as the </w:t>
      </w:r>
      <w:r w:rsidR="008E7E5F" w:rsidRPr="00AA26C0">
        <w:rPr>
          <w:rStyle w:val="BodytextItalic"/>
          <w:sz w:val="24"/>
          <w:szCs w:val="24"/>
        </w:rPr>
        <w:t>Petroleum (Submerged Lands) Act</w:t>
      </w:r>
      <w:r w:rsidR="008E7E5F" w:rsidRPr="00AA26C0">
        <w:rPr>
          <w:sz w:val="24"/>
          <w:szCs w:val="24"/>
        </w:rPr>
        <w:t xml:space="preserve"> 1967-1974.</w:t>
      </w:r>
    </w:p>
    <w:p w14:paraId="50CFA319" w14:textId="77777777" w:rsidR="00CA61F6" w:rsidRPr="00AA26C0" w:rsidRDefault="00AA26C0" w:rsidP="009F69C1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6C0">
        <w:rPr>
          <w:rStyle w:val="Bodytext4"/>
          <w:rFonts w:eastAsia="Courier New"/>
          <w:b/>
          <w:sz w:val="20"/>
          <w:szCs w:val="20"/>
        </w:rPr>
        <w:t>Commence</w:t>
      </w:r>
      <w:r w:rsidR="008E7E5F" w:rsidRPr="00AA26C0">
        <w:rPr>
          <w:rStyle w:val="Bodytext4"/>
          <w:rFonts w:eastAsia="Courier New"/>
          <w:b/>
          <w:sz w:val="20"/>
          <w:szCs w:val="20"/>
        </w:rPr>
        <w:t>ment.</w:t>
      </w:r>
    </w:p>
    <w:p w14:paraId="48B0E87F" w14:textId="4525C25E" w:rsidR="00CA61F6" w:rsidRPr="00AA26C0" w:rsidRDefault="0039441C" w:rsidP="009F69C1">
      <w:pPr>
        <w:pStyle w:val="BodyText21"/>
        <w:spacing w:after="160" w:line="240" w:lineRule="auto"/>
        <w:ind w:firstLine="274"/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8E7E5F" w:rsidRPr="00AA26C0">
        <w:rPr>
          <w:sz w:val="24"/>
          <w:szCs w:val="24"/>
        </w:rPr>
        <w:t>(1) Sections 1, 2 and 3 shall come into operation on the day on which this Act receives the Royal Assent.</w:t>
      </w:r>
    </w:p>
    <w:p w14:paraId="45D437FD" w14:textId="77777777" w:rsidR="00CA61F6" w:rsidRPr="00AA26C0" w:rsidRDefault="008E7E5F" w:rsidP="009F69C1">
      <w:pPr>
        <w:pStyle w:val="BodyText21"/>
        <w:spacing w:after="120" w:line="240" w:lineRule="auto"/>
        <w:ind w:firstLine="274"/>
        <w:rPr>
          <w:sz w:val="24"/>
          <w:szCs w:val="24"/>
        </w:rPr>
      </w:pPr>
      <w:r w:rsidRPr="00AA26C0">
        <w:rPr>
          <w:sz w:val="24"/>
          <w:szCs w:val="24"/>
        </w:rPr>
        <w:t xml:space="preserve">(2) </w:t>
      </w:r>
      <w:bookmarkStart w:id="1" w:name="_GoBack"/>
      <w:r w:rsidRPr="00AA26C0">
        <w:rPr>
          <w:sz w:val="24"/>
          <w:szCs w:val="24"/>
        </w:rPr>
        <w:t>The remaining provisions of this Act shall come into operation on a date to be fixed by Proclamation.</w:t>
      </w:r>
      <w:bookmarkEnd w:id="1"/>
    </w:p>
    <w:p w14:paraId="7974B54E" w14:textId="5DC1F028" w:rsidR="00CA61F6" w:rsidRDefault="00E74E82" w:rsidP="009F69C1">
      <w:pPr>
        <w:pStyle w:val="BodyText2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 w:rsidRPr="00E74E82">
        <w:rPr>
          <w:b/>
          <w:sz w:val="24"/>
          <w:szCs w:val="24"/>
        </w:rPr>
        <w:t>3</w:t>
      </w:r>
      <w:r w:rsidR="0039441C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8E7E5F" w:rsidRPr="00AA26C0">
        <w:rPr>
          <w:sz w:val="24"/>
          <w:szCs w:val="24"/>
        </w:rPr>
        <w:t>Section 5 of the Principal Act is amended by omitting from the definition of “the continental shelf” in sub-section (1) the words “a Territory not forming part of the Commonwealth” and substituting the words “an external Territory”.</w:t>
      </w:r>
    </w:p>
    <w:p w14:paraId="0D5C6DB8" w14:textId="77777777" w:rsidR="00AA26C0" w:rsidRPr="00E74E82" w:rsidRDefault="00AA26C0" w:rsidP="009F69C1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4E82">
        <w:rPr>
          <w:rStyle w:val="Bodytext4"/>
          <w:rFonts w:eastAsia="Courier New"/>
          <w:b/>
          <w:sz w:val="20"/>
          <w:szCs w:val="20"/>
        </w:rPr>
        <w:t>Interpretation.</w:t>
      </w:r>
    </w:p>
    <w:p w14:paraId="2DE9F367" w14:textId="77777777" w:rsidR="00CA61F6" w:rsidRPr="00AA26C0" w:rsidRDefault="00E74E82" w:rsidP="009F69C1">
      <w:pPr>
        <w:pStyle w:val="BodyText21"/>
        <w:tabs>
          <w:tab w:val="left" w:pos="630"/>
        </w:tabs>
        <w:spacing w:line="240" w:lineRule="auto"/>
        <w:ind w:left="548" w:hanging="274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9441C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8E7E5F" w:rsidRPr="00AA26C0">
        <w:rPr>
          <w:sz w:val="24"/>
          <w:szCs w:val="24"/>
        </w:rPr>
        <w:t>Section 7 of the Principal Act is repealed and the following section substituted:—</w:t>
      </w:r>
    </w:p>
    <w:p w14:paraId="032B7BCE" w14:textId="77777777" w:rsidR="00CA61F6" w:rsidRPr="00AA26C0" w:rsidRDefault="008E7E5F" w:rsidP="009F69C1">
      <w:pPr>
        <w:spacing w:before="120" w:after="60"/>
        <w:jc w:val="both"/>
        <w:rPr>
          <w:rFonts w:ascii="Times New Roman" w:hAnsi="Times New Roman" w:cs="Times New Roman"/>
        </w:rPr>
      </w:pPr>
      <w:r w:rsidRPr="00E74E82">
        <w:rPr>
          <w:rStyle w:val="Bodytext4"/>
          <w:rFonts w:eastAsia="Courier New"/>
          <w:b/>
          <w:sz w:val="20"/>
          <w:szCs w:val="20"/>
        </w:rPr>
        <w:t>Extension to Ashmore and Cartier Islands</w:t>
      </w:r>
      <w:r w:rsidRPr="00AA26C0">
        <w:rPr>
          <w:rStyle w:val="Bodytext4"/>
          <w:rFonts w:eastAsia="Courier New"/>
          <w:sz w:val="24"/>
          <w:szCs w:val="24"/>
        </w:rPr>
        <w:t>.</w:t>
      </w:r>
    </w:p>
    <w:p w14:paraId="4EB09E8B" w14:textId="155E8930" w:rsidR="00CA61F6" w:rsidRPr="00AA26C0" w:rsidRDefault="0039441C" w:rsidP="001933B0">
      <w:pPr>
        <w:pStyle w:val="BodyText21"/>
        <w:spacing w:line="240" w:lineRule="auto"/>
        <w:ind w:firstLine="270"/>
        <w:rPr>
          <w:sz w:val="24"/>
          <w:szCs w:val="24"/>
        </w:rPr>
      </w:pPr>
      <w:r>
        <w:rPr>
          <w:sz w:val="24"/>
          <w:szCs w:val="24"/>
        </w:rPr>
        <w:t>“7</w:t>
      </w:r>
      <w:r w:rsidR="001933B0">
        <w:rPr>
          <w:sz w:val="24"/>
          <w:szCs w:val="24"/>
        </w:rPr>
        <w:t>.</w:t>
      </w:r>
      <w:r w:rsidR="008E7E5F" w:rsidRPr="00AA26C0">
        <w:rPr>
          <w:sz w:val="24"/>
          <w:szCs w:val="24"/>
        </w:rPr>
        <w:t xml:space="preserve"> This Act extends to the Territory o</w:t>
      </w:r>
      <w:r w:rsidR="001933B0">
        <w:rPr>
          <w:sz w:val="24"/>
          <w:szCs w:val="24"/>
        </w:rPr>
        <w:t>f Ashmore and Cartier Islands.”.</w:t>
      </w:r>
    </w:p>
    <w:p w14:paraId="68BF2C89" w14:textId="3FB3032C" w:rsidR="00E74E82" w:rsidRPr="00B1254C" w:rsidRDefault="00E74E82" w:rsidP="009F69C1">
      <w:pPr>
        <w:spacing w:before="120" w:after="60"/>
        <w:jc w:val="both"/>
        <w:rPr>
          <w:rStyle w:val="Bodytext4"/>
          <w:rFonts w:eastAsia="Courier New"/>
          <w:b/>
          <w:sz w:val="20"/>
          <w:szCs w:val="20"/>
        </w:rPr>
      </w:pPr>
      <w:r w:rsidRPr="00B1254C">
        <w:rPr>
          <w:rStyle w:val="Bodytext4"/>
          <w:rFonts w:eastAsia="Courier New"/>
          <w:b/>
          <w:sz w:val="20"/>
          <w:szCs w:val="20"/>
        </w:rPr>
        <w:t>Designated Authorities</w:t>
      </w:r>
      <w:r w:rsidR="001933B0" w:rsidRPr="00AA26C0">
        <w:t>—</w:t>
      </w:r>
      <w:r w:rsidRPr="00B1254C">
        <w:rPr>
          <w:rStyle w:val="Bodytext4"/>
          <w:rFonts w:eastAsia="Courier New"/>
          <w:b/>
          <w:sz w:val="20"/>
          <w:szCs w:val="20"/>
        </w:rPr>
        <w:t>Territories</w:t>
      </w:r>
      <w:r w:rsidR="001933B0">
        <w:rPr>
          <w:rStyle w:val="Bodytext4"/>
          <w:rFonts w:eastAsia="Courier New"/>
          <w:b/>
          <w:sz w:val="20"/>
          <w:szCs w:val="20"/>
        </w:rPr>
        <w:t>.</w:t>
      </w:r>
    </w:p>
    <w:p w14:paraId="091C6F25" w14:textId="77777777" w:rsidR="00E74E82" w:rsidRPr="00AA26C0" w:rsidRDefault="00B1254C" w:rsidP="009F69C1">
      <w:pPr>
        <w:pStyle w:val="Footnote0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ab/>
      </w:r>
      <w:r w:rsidR="00E74E82" w:rsidRPr="00AA26C0">
        <w:rPr>
          <w:sz w:val="24"/>
          <w:szCs w:val="24"/>
        </w:rPr>
        <w:t>Section 16 of the Principal Act is amended—</w:t>
      </w:r>
    </w:p>
    <w:p w14:paraId="22E09D15" w14:textId="62C35460" w:rsidR="00E74E82" w:rsidRPr="00AA26C0" w:rsidRDefault="00B1254C" w:rsidP="009F69C1">
      <w:pPr>
        <w:pStyle w:val="Footnote0"/>
        <w:spacing w:line="240" w:lineRule="auto"/>
        <w:ind w:firstLine="270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E74E82" w:rsidRPr="00AA26C0">
        <w:rPr>
          <w:sz w:val="24"/>
          <w:szCs w:val="24"/>
        </w:rPr>
        <w:t>by omitting sub-sections (1) and (1</w:t>
      </w:r>
      <w:r w:rsidR="001933B0" w:rsidRPr="001933B0">
        <w:rPr>
          <w:smallCaps/>
          <w:sz w:val="24"/>
          <w:szCs w:val="24"/>
        </w:rPr>
        <w:t>a</w:t>
      </w:r>
      <w:r w:rsidR="00E74E82" w:rsidRPr="00AA26C0">
        <w:rPr>
          <w:rStyle w:val="Footnote85pt"/>
          <w:sz w:val="24"/>
          <w:szCs w:val="24"/>
        </w:rPr>
        <w:t xml:space="preserve">) </w:t>
      </w:r>
      <w:r>
        <w:rPr>
          <w:sz w:val="24"/>
          <w:szCs w:val="24"/>
        </w:rPr>
        <w:t>and substituting the fol</w:t>
      </w:r>
      <w:r w:rsidR="00E74E82" w:rsidRPr="00AA26C0">
        <w:rPr>
          <w:sz w:val="24"/>
          <w:szCs w:val="24"/>
        </w:rPr>
        <w:t>lowing sub-section:—</w:t>
      </w:r>
    </w:p>
    <w:p w14:paraId="1DF702C7" w14:textId="77777777" w:rsidR="00E74E82" w:rsidRPr="00AA26C0" w:rsidRDefault="00E74E82" w:rsidP="009F69C1">
      <w:pPr>
        <w:pStyle w:val="Footnote0"/>
        <w:spacing w:line="240" w:lineRule="auto"/>
        <w:ind w:firstLine="810"/>
        <w:rPr>
          <w:sz w:val="24"/>
          <w:szCs w:val="24"/>
        </w:rPr>
      </w:pPr>
      <w:r w:rsidRPr="00AA26C0">
        <w:rPr>
          <w:rStyle w:val="Footnote1"/>
          <w:sz w:val="24"/>
          <w:szCs w:val="24"/>
        </w:rPr>
        <w:t>“(1)</w:t>
      </w:r>
      <w:r w:rsidRPr="00AA26C0">
        <w:rPr>
          <w:sz w:val="24"/>
          <w:szCs w:val="24"/>
        </w:rPr>
        <w:t xml:space="preserve"> The Designated Authority in respect of—</w:t>
      </w:r>
    </w:p>
    <w:p w14:paraId="28323F19" w14:textId="77777777" w:rsidR="00E74E82" w:rsidRPr="00AA26C0" w:rsidRDefault="00B1254C" w:rsidP="009F69C1">
      <w:pPr>
        <w:pStyle w:val="Footnote0"/>
        <w:spacing w:line="240" w:lineRule="auto"/>
        <w:ind w:left="1170" w:hanging="360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E74E82" w:rsidRPr="00AA26C0">
        <w:rPr>
          <w:sz w:val="24"/>
          <w:szCs w:val="24"/>
        </w:rPr>
        <w:t>the adjacent area that is the area specified in Schedule 2 as being adjacent to the Northern Territory; and</w:t>
      </w:r>
    </w:p>
    <w:p w14:paraId="0EAA90A0" w14:textId="6D4A6F62" w:rsidR="00E74E82" w:rsidRDefault="00B1254C" w:rsidP="001933B0">
      <w:pPr>
        <w:pStyle w:val="Footnote0"/>
        <w:spacing w:line="240" w:lineRule="auto"/>
        <w:ind w:left="1170" w:hanging="360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E74E82" w:rsidRPr="00AA26C0">
        <w:rPr>
          <w:sz w:val="24"/>
          <w:szCs w:val="24"/>
        </w:rPr>
        <w:t>the adjacent area that is the area specified in that Schedule as being adjacent to the Territory of Ashmore and Cartier Islands,</w:t>
      </w:r>
      <w:r w:rsidR="001933B0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r w:rsidR="00F47709">
        <w:rPr>
          <w:sz w:val="24"/>
          <w:szCs w:val="24"/>
        </w:rPr>
        <w:t>M</w:t>
      </w:r>
      <w:r>
        <w:rPr>
          <w:sz w:val="24"/>
          <w:szCs w:val="24"/>
        </w:rPr>
        <w:t xml:space="preserve">inister of </w:t>
      </w:r>
      <w:r w:rsidR="00F47709">
        <w:rPr>
          <w:sz w:val="24"/>
          <w:szCs w:val="24"/>
        </w:rPr>
        <w:t>S</w:t>
      </w:r>
      <w:r>
        <w:rPr>
          <w:sz w:val="24"/>
          <w:szCs w:val="24"/>
        </w:rPr>
        <w:t xml:space="preserve">tate for the </w:t>
      </w:r>
      <w:r w:rsidR="00F47709">
        <w:rPr>
          <w:sz w:val="24"/>
          <w:szCs w:val="24"/>
        </w:rPr>
        <w:t>N</w:t>
      </w:r>
      <w:r>
        <w:rPr>
          <w:sz w:val="24"/>
          <w:szCs w:val="24"/>
        </w:rPr>
        <w:t xml:space="preserve">orthern </w:t>
      </w:r>
      <w:r w:rsidR="00F47709">
        <w:rPr>
          <w:sz w:val="24"/>
          <w:szCs w:val="24"/>
        </w:rPr>
        <w:t>T</w:t>
      </w:r>
      <w:r>
        <w:rPr>
          <w:sz w:val="24"/>
          <w:szCs w:val="24"/>
        </w:rPr>
        <w:t>erritory”;</w:t>
      </w:r>
      <w:r w:rsidR="001933B0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</w:p>
    <w:p w14:paraId="407B0F36" w14:textId="0918C0A4" w:rsidR="00CA61F6" w:rsidRPr="00AA26C0" w:rsidRDefault="00B1254C" w:rsidP="009F69C1">
      <w:pPr>
        <w:pStyle w:val="BodyText21"/>
        <w:spacing w:line="240" w:lineRule="auto"/>
        <w:ind w:left="630" w:hanging="360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8E7E5F" w:rsidRPr="00AA26C0">
        <w:rPr>
          <w:sz w:val="24"/>
          <w:szCs w:val="24"/>
        </w:rPr>
        <w:t xml:space="preserve">by omitting from sub-section (2) the words “A Minister referred to in either of the last two </w:t>
      </w:r>
      <w:r w:rsidR="00440A68">
        <w:rPr>
          <w:sz w:val="24"/>
          <w:szCs w:val="24"/>
        </w:rPr>
        <w:t>preceding sub-sections” and sub</w:t>
      </w:r>
      <w:r w:rsidR="008E7E5F" w:rsidRPr="00AA26C0">
        <w:rPr>
          <w:sz w:val="24"/>
          <w:szCs w:val="24"/>
        </w:rPr>
        <w:t>stituting the words “The Minister of State for the Northern Territory”.</w:t>
      </w:r>
    </w:p>
    <w:p w14:paraId="4C03503A" w14:textId="7ED21048" w:rsidR="00B1254C" w:rsidRPr="00B1254C" w:rsidRDefault="00B1254C" w:rsidP="009F69C1">
      <w:pPr>
        <w:spacing w:before="120" w:after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254C">
        <w:rPr>
          <w:rStyle w:val="Bodytext85pt"/>
          <w:rFonts w:eastAsia="Courier New"/>
          <w:b/>
          <w:sz w:val="20"/>
          <w:szCs w:val="20"/>
        </w:rPr>
        <w:t>Payments by</w:t>
      </w:r>
      <w:r w:rsidR="008E7E5F" w:rsidRPr="00B12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54C">
        <w:rPr>
          <w:rFonts w:ascii="Times New Roman" w:hAnsi="Times New Roman" w:cs="Times New Roman"/>
          <w:b/>
          <w:sz w:val="20"/>
          <w:szCs w:val="20"/>
        </w:rPr>
        <w:t>Australia to</w:t>
      </w:r>
      <w:r w:rsidRPr="00B1254C">
        <w:rPr>
          <w:rStyle w:val="Bodytext85pt"/>
          <w:rFonts w:eastAsia="Courier New"/>
          <w:b/>
          <w:sz w:val="20"/>
          <w:szCs w:val="20"/>
        </w:rPr>
        <w:t xml:space="preserve"> Papua New Guinea</w:t>
      </w:r>
      <w:r w:rsidR="001933B0">
        <w:rPr>
          <w:rStyle w:val="Bodytext85pt"/>
          <w:rFonts w:eastAsia="Courier New"/>
          <w:b/>
          <w:sz w:val="20"/>
          <w:szCs w:val="20"/>
        </w:rPr>
        <w:t>.</w:t>
      </w:r>
    </w:p>
    <w:p w14:paraId="36299118" w14:textId="48C568D0" w:rsidR="00CA61F6" w:rsidRPr="00AA26C0" w:rsidRDefault="00AC0E5E" w:rsidP="009F69C1">
      <w:pPr>
        <w:pStyle w:val="BodyText21"/>
        <w:tabs>
          <w:tab w:val="left" w:pos="630"/>
        </w:tabs>
        <w:spacing w:after="120" w:line="240" w:lineRule="auto"/>
        <w:ind w:firstLine="274"/>
        <w:rPr>
          <w:sz w:val="24"/>
          <w:szCs w:val="24"/>
        </w:rPr>
      </w:pPr>
      <w:r w:rsidRPr="00AC0E5E">
        <w:rPr>
          <w:b/>
          <w:sz w:val="24"/>
          <w:szCs w:val="24"/>
        </w:rPr>
        <w:t>6</w:t>
      </w:r>
      <w:r w:rsidR="0039441C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="001933B0">
        <w:rPr>
          <w:sz w:val="24"/>
          <w:szCs w:val="24"/>
        </w:rPr>
        <w:t xml:space="preserve">(1) </w:t>
      </w:r>
      <w:r w:rsidR="008E7E5F" w:rsidRPr="00AA26C0">
        <w:rPr>
          <w:sz w:val="24"/>
          <w:szCs w:val="24"/>
        </w:rPr>
        <w:t>Section 130 of</w:t>
      </w:r>
      <w:r w:rsidR="00B1254C">
        <w:rPr>
          <w:sz w:val="24"/>
          <w:szCs w:val="24"/>
        </w:rPr>
        <w:t xml:space="preserve"> the Principal Act is repealed.</w:t>
      </w:r>
    </w:p>
    <w:p w14:paraId="73B01F41" w14:textId="77777777" w:rsidR="00CA61F6" w:rsidRPr="00AA26C0" w:rsidRDefault="008E7E5F" w:rsidP="009F69C1">
      <w:pPr>
        <w:pStyle w:val="BodyText21"/>
        <w:spacing w:line="240" w:lineRule="auto"/>
        <w:ind w:firstLine="270"/>
        <w:rPr>
          <w:sz w:val="24"/>
          <w:szCs w:val="24"/>
        </w:rPr>
      </w:pPr>
      <w:r w:rsidRPr="00AA26C0">
        <w:rPr>
          <w:sz w:val="24"/>
          <w:szCs w:val="24"/>
        </w:rPr>
        <w:t xml:space="preserve">(2) Notwithstanding the repeal effected by sub-section </w:t>
      </w:r>
      <w:r w:rsidRPr="00AA26C0">
        <w:rPr>
          <w:rStyle w:val="BodyText1"/>
          <w:sz w:val="24"/>
          <w:szCs w:val="24"/>
        </w:rPr>
        <w:t>(1),</w:t>
      </w:r>
      <w:r w:rsidRPr="00AA26C0">
        <w:rPr>
          <w:sz w:val="24"/>
          <w:szCs w:val="24"/>
        </w:rPr>
        <w:t xml:space="preserve"> section </w:t>
      </w:r>
      <w:r w:rsidRPr="00AA26C0">
        <w:rPr>
          <w:rStyle w:val="Bodytext9pt"/>
          <w:sz w:val="24"/>
          <w:szCs w:val="24"/>
        </w:rPr>
        <w:t xml:space="preserve">130 </w:t>
      </w:r>
      <w:r w:rsidRPr="00AA26C0">
        <w:rPr>
          <w:sz w:val="24"/>
          <w:szCs w:val="24"/>
        </w:rPr>
        <w:t>of the Principal Act continues to apply</w:t>
      </w:r>
      <w:r w:rsidR="00B1254C">
        <w:rPr>
          <w:sz w:val="24"/>
          <w:szCs w:val="24"/>
        </w:rPr>
        <w:t xml:space="preserve"> in relation to fees, royalties</w:t>
      </w:r>
      <w:r w:rsidRPr="00AA26C0">
        <w:rPr>
          <w:sz w:val="24"/>
          <w:szCs w:val="24"/>
        </w:rPr>
        <w:t xml:space="preserve"> and other payments under that Act or under any Act with which that Act is incorporated received by Australia before the date of commencement of this Act.</w:t>
      </w:r>
    </w:p>
    <w:p w14:paraId="46AC0323" w14:textId="7E9A2D6D" w:rsidR="00AC0E5E" w:rsidRPr="00AC0E5E" w:rsidRDefault="001933B0" w:rsidP="009F69C1">
      <w:pPr>
        <w:pStyle w:val="BodyText21"/>
        <w:spacing w:before="120" w:after="60" w:line="240" w:lineRule="auto"/>
        <w:ind w:firstLine="0"/>
        <w:rPr>
          <w:b/>
          <w:sz w:val="20"/>
          <w:szCs w:val="20"/>
        </w:rPr>
      </w:pPr>
      <w:r>
        <w:rPr>
          <w:rStyle w:val="Bodytext9pt"/>
          <w:b/>
          <w:sz w:val="20"/>
          <w:szCs w:val="20"/>
        </w:rPr>
        <w:t>I</w:t>
      </w:r>
      <w:r w:rsidR="00AC0E5E" w:rsidRPr="00AC0E5E">
        <w:rPr>
          <w:rStyle w:val="Bodytext9pt"/>
          <w:b/>
          <w:sz w:val="20"/>
          <w:szCs w:val="20"/>
        </w:rPr>
        <w:t>nterpre</w:t>
      </w:r>
      <w:r w:rsidR="00AC0E5E" w:rsidRPr="00AC0E5E">
        <w:rPr>
          <w:b/>
          <w:sz w:val="20"/>
          <w:szCs w:val="20"/>
        </w:rPr>
        <w:t>tation</w:t>
      </w:r>
      <w:r>
        <w:rPr>
          <w:b/>
          <w:sz w:val="20"/>
          <w:szCs w:val="20"/>
        </w:rPr>
        <w:t>.</w:t>
      </w:r>
    </w:p>
    <w:p w14:paraId="50013FBD" w14:textId="77777777" w:rsidR="00CA61F6" w:rsidRPr="00AA26C0" w:rsidRDefault="0039441C" w:rsidP="009F69C1">
      <w:pPr>
        <w:pStyle w:val="BodyText2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AC0E5E">
        <w:rPr>
          <w:sz w:val="24"/>
          <w:szCs w:val="24"/>
        </w:rPr>
        <w:tab/>
      </w:r>
      <w:r w:rsidR="008E7E5F" w:rsidRPr="00AA26C0">
        <w:rPr>
          <w:sz w:val="24"/>
          <w:szCs w:val="24"/>
        </w:rPr>
        <w:t xml:space="preserve">Section </w:t>
      </w:r>
      <w:r w:rsidR="008E7E5F" w:rsidRPr="00AA26C0">
        <w:rPr>
          <w:rStyle w:val="Bodytext9pt"/>
          <w:sz w:val="24"/>
          <w:szCs w:val="24"/>
        </w:rPr>
        <w:t xml:space="preserve">134 </w:t>
      </w:r>
      <w:r w:rsidR="008E7E5F" w:rsidRPr="00AA26C0">
        <w:rPr>
          <w:sz w:val="24"/>
          <w:szCs w:val="24"/>
        </w:rPr>
        <w:t>of</w:t>
      </w:r>
      <w:r w:rsidR="00AC0E5E">
        <w:rPr>
          <w:sz w:val="24"/>
          <w:szCs w:val="24"/>
        </w:rPr>
        <w:t xml:space="preserve"> the Principal Act is repealed.</w:t>
      </w:r>
    </w:p>
    <w:p w14:paraId="71BE46BA" w14:textId="77777777" w:rsidR="001933B0" w:rsidRDefault="001933B0">
      <w:pPr>
        <w:rPr>
          <w:rStyle w:val="Bodytext85pt"/>
          <w:rFonts w:eastAsia="Courier New"/>
          <w:b/>
          <w:sz w:val="20"/>
          <w:szCs w:val="20"/>
        </w:rPr>
      </w:pPr>
      <w:r>
        <w:rPr>
          <w:rStyle w:val="Bodytext85pt"/>
          <w:rFonts w:eastAsia="Courier New"/>
          <w:b/>
          <w:sz w:val="20"/>
          <w:szCs w:val="20"/>
        </w:rPr>
        <w:br w:type="page"/>
      </w:r>
    </w:p>
    <w:p w14:paraId="5AF71052" w14:textId="3BF644E8" w:rsidR="00AC0E5E" w:rsidRPr="00AC0E5E" w:rsidRDefault="00AC0E5E" w:rsidP="009F69C1">
      <w:pPr>
        <w:pStyle w:val="BodyText21"/>
        <w:spacing w:before="120" w:after="60" w:line="240" w:lineRule="auto"/>
        <w:ind w:firstLine="0"/>
        <w:rPr>
          <w:b/>
          <w:sz w:val="20"/>
          <w:szCs w:val="20"/>
        </w:rPr>
      </w:pPr>
      <w:r w:rsidRPr="00AC0E5E">
        <w:rPr>
          <w:rStyle w:val="Bodytext85pt"/>
          <w:b/>
          <w:sz w:val="20"/>
          <w:szCs w:val="20"/>
        </w:rPr>
        <w:lastRenderedPageBreak/>
        <w:t>Schedule 2</w:t>
      </w:r>
    </w:p>
    <w:p w14:paraId="533A11C0" w14:textId="77777777" w:rsidR="00CA61F6" w:rsidRPr="00AA26C0" w:rsidRDefault="0039441C" w:rsidP="009F69C1">
      <w:pPr>
        <w:pStyle w:val="BodyText21"/>
        <w:tabs>
          <w:tab w:val="left" w:pos="630"/>
        </w:tabs>
        <w:spacing w:after="60" w:line="240" w:lineRule="auto"/>
        <w:ind w:firstLine="274"/>
        <w:rPr>
          <w:sz w:val="24"/>
          <w:szCs w:val="24"/>
        </w:rPr>
      </w:pPr>
      <w:r>
        <w:rPr>
          <w:b/>
          <w:sz w:val="24"/>
          <w:szCs w:val="24"/>
        </w:rPr>
        <w:t>8.</w:t>
      </w:r>
      <w:r w:rsidR="00AC0E5E">
        <w:rPr>
          <w:sz w:val="24"/>
          <w:szCs w:val="24"/>
        </w:rPr>
        <w:tab/>
      </w:r>
      <w:r w:rsidR="008E7E5F" w:rsidRPr="00AA26C0">
        <w:rPr>
          <w:sz w:val="24"/>
          <w:szCs w:val="24"/>
        </w:rPr>
        <w:t>Schedule 2 t</w:t>
      </w:r>
      <w:r w:rsidR="00AC0E5E">
        <w:rPr>
          <w:sz w:val="24"/>
          <w:szCs w:val="24"/>
        </w:rPr>
        <w:t>o the Principal Act is amended—</w:t>
      </w:r>
    </w:p>
    <w:p w14:paraId="75C7C52B" w14:textId="77777777" w:rsidR="00CA61F6" w:rsidRPr="00AA26C0" w:rsidRDefault="00AC0E5E" w:rsidP="009F69C1">
      <w:pPr>
        <w:pStyle w:val="BodyText21"/>
        <w:spacing w:after="60" w:line="240" w:lineRule="auto"/>
        <w:ind w:left="548" w:hanging="274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8E7E5F" w:rsidRPr="00AA26C0">
        <w:rPr>
          <w:sz w:val="24"/>
          <w:szCs w:val="24"/>
        </w:rPr>
        <w:t>by omitting the heading to the description, and the description, of the area adjacent to the Territory of Papua; and</w:t>
      </w:r>
    </w:p>
    <w:p w14:paraId="0BE3FB56" w14:textId="77777777" w:rsidR="00AC0E5E" w:rsidRDefault="00AC0E5E" w:rsidP="009F69C1">
      <w:pPr>
        <w:pStyle w:val="BodyText21"/>
        <w:spacing w:line="240" w:lineRule="auto"/>
        <w:ind w:left="270" w:firstLine="0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8E7E5F" w:rsidRPr="00AA26C0">
        <w:rPr>
          <w:sz w:val="24"/>
          <w:szCs w:val="24"/>
        </w:rPr>
        <w:t>by omitting the heading to the description, and the description, of the area adjacent to the Territory of New Guinea.</w:t>
      </w:r>
    </w:p>
    <w:p w14:paraId="28DF0E59" w14:textId="77777777" w:rsidR="00AC0E5E" w:rsidRDefault="00AC0E5E" w:rsidP="0039441C">
      <w:pPr>
        <w:pStyle w:val="BodyText21"/>
        <w:pBdr>
          <w:bottom w:val="single" w:sz="4" w:space="1" w:color="auto"/>
        </w:pBdr>
        <w:spacing w:line="240" w:lineRule="auto"/>
        <w:ind w:left="270" w:firstLine="0"/>
        <w:jc w:val="left"/>
        <w:rPr>
          <w:sz w:val="24"/>
          <w:szCs w:val="24"/>
        </w:rPr>
      </w:pPr>
    </w:p>
    <w:sectPr w:rsidR="00AC0E5E" w:rsidSect="00F34966">
      <w:headerReference w:type="default" r:id="rId8"/>
      <w:type w:val="continuous"/>
      <w:pgSz w:w="11909" w:h="18000"/>
      <w:pgMar w:top="1080" w:right="1080" w:bottom="1080" w:left="108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36A7EC" w15:done="0"/>
  <w15:commentEx w15:paraId="33AB45F9" w15:done="0"/>
  <w15:commentEx w15:paraId="28728A5D" w15:done="0"/>
  <w15:commentEx w15:paraId="24DED294" w15:done="0"/>
  <w15:commentEx w15:paraId="2B7F338C" w15:done="0"/>
  <w15:commentEx w15:paraId="0855C6B4" w15:done="0"/>
  <w15:commentEx w15:paraId="7934C8AA" w15:done="0"/>
  <w15:commentEx w15:paraId="2841A816" w15:done="0"/>
  <w15:commentEx w15:paraId="5BE68EE1" w15:done="0"/>
  <w15:commentEx w15:paraId="59D8727A" w15:done="0"/>
  <w15:commentEx w15:paraId="27675A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36A7EC" w16cid:durableId="1F4A32EC"/>
  <w16cid:commentId w16cid:paraId="33AB45F9" w16cid:durableId="1F4A330B"/>
  <w16cid:commentId w16cid:paraId="28728A5D" w16cid:durableId="1F4A3345"/>
  <w16cid:commentId w16cid:paraId="24DED294" w16cid:durableId="1F4A3355"/>
  <w16cid:commentId w16cid:paraId="2B7F338C" w16cid:durableId="1F4A3362"/>
  <w16cid:commentId w16cid:paraId="0855C6B4" w16cid:durableId="1F4A337B"/>
  <w16cid:commentId w16cid:paraId="7934C8AA" w16cid:durableId="1F4A3397"/>
  <w16cid:commentId w16cid:paraId="2841A816" w16cid:durableId="1F4A33B4"/>
  <w16cid:commentId w16cid:paraId="5BE68EE1" w16cid:durableId="1F4A33BC"/>
  <w16cid:commentId w16cid:paraId="59D8727A" w16cid:durableId="1F4A33C7"/>
  <w16cid:commentId w16cid:paraId="27675A9F" w16cid:durableId="1F4A33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EF2EE" w14:textId="77777777" w:rsidR="00147CBA" w:rsidRDefault="00147CBA">
      <w:r>
        <w:separator/>
      </w:r>
    </w:p>
  </w:endnote>
  <w:endnote w:type="continuationSeparator" w:id="0">
    <w:p w14:paraId="54C0094C" w14:textId="77777777" w:rsidR="00147CBA" w:rsidRDefault="0014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A6DEF" w14:textId="77777777" w:rsidR="00147CBA" w:rsidRDefault="00147CBA">
      <w:r>
        <w:separator/>
      </w:r>
    </w:p>
  </w:footnote>
  <w:footnote w:type="continuationSeparator" w:id="0">
    <w:p w14:paraId="49E73DD9" w14:textId="77777777" w:rsidR="00147CBA" w:rsidRDefault="0014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01F4" w14:textId="77777777" w:rsidR="00F34966" w:rsidRPr="00F34966" w:rsidRDefault="00F34966" w:rsidP="00F34966">
    <w:pPr>
      <w:pStyle w:val="Header"/>
      <w:tabs>
        <w:tab w:val="clear" w:pos="4680"/>
        <w:tab w:val="clear" w:pos="9360"/>
        <w:tab w:val="center" w:pos="5040"/>
        <w:tab w:val="right" w:pos="9720"/>
      </w:tabs>
      <w:rPr>
        <w:rFonts w:ascii="Times New Roman" w:hAnsi="Times New Roman" w:cs="Times New Roman"/>
        <w:sz w:val="22"/>
        <w:szCs w:val="22"/>
        <w:lang w:val="en-IN"/>
      </w:rPr>
    </w:pPr>
    <w:r w:rsidRPr="00F34966">
      <w:rPr>
        <w:rFonts w:ascii="Times New Roman" w:hAnsi="Times New Roman" w:cs="Times New Roman"/>
        <w:sz w:val="22"/>
        <w:szCs w:val="22"/>
        <w:lang w:val="en-IN"/>
      </w:rPr>
      <w:t>1974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F34966">
      <w:rPr>
        <w:rFonts w:ascii="Times New Roman" w:hAnsi="Times New Roman" w:cs="Times New Roman"/>
        <w:i/>
        <w:sz w:val="22"/>
        <w:szCs w:val="22"/>
        <w:lang w:val="en-IN"/>
      </w:rPr>
      <w:t>Petroleum (Submerged Lands)</w:t>
    </w:r>
    <w:r>
      <w:rPr>
        <w:rFonts w:ascii="Times New Roman" w:hAnsi="Times New Roman" w:cs="Times New Roman"/>
        <w:sz w:val="22"/>
        <w:szCs w:val="22"/>
        <w:lang w:val="en-IN"/>
      </w:rPr>
      <w:tab/>
    </w:r>
    <w:r w:rsidRPr="00F34966">
      <w:rPr>
        <w:rFonts w:ascii="Times New Roman" w:hAnsi="Times New Roman" w:cs="Times New Roman"/>
        <w:sz w:val="22"/>
        <w:szCs w:val="22"/>
        <w:lang w:val="en-IN"/>
      </w:rPr>
      <w:t>No. 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1229"/>
    <w:multiLevelType w:val="multilevel"/>
    <w:tmpl w:val="A8D0AAF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C2FDF"/>
    <w:multiLevelType w:val="multilevel"/>
    <w:tmpl w:val="8A462AF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1120D"/>
    <w:multiLevelType w:val="multilevel"/>
    <w:tmpl w:val="5D363CA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B6701A"/>
    <w:multiLevelType w:val="multilevel"/>
    <w:tmpl w:val="AF1C511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CE644C"/>
    <w:multiLevelType w:val="multilevel"/>
    <w:tmpl w:val="1334F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04F59"/>
    <w:multiLevelType w:val="multilevel"/>
    <w:tmpl w:val="9A56554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D338A4"/>
    <w:multiLevelType w:val="multilevel"/>
    <w:tmpl w:val="4D0AEB9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6"/>
    <w:rsid w:val="000433DB"/>
    <w:rsid w:val="00147CBA"/>
    <w:rsid w:val="001933B0"/>
    <w:rsid w:val="0039441C"/>
    <w:rsid w:val="00440A68"/>
    <w:rsid w:val="00455DB7"/>
    <w:rsid w:val="00505811"/>
    <w:rsid w:val="005554E4"/>
    <w:rsid w:val="008E7E5F"/>
    <w:rsid w:val="009F69C1"/>
    <w:rsid w:val="00AA26C0"/>
    <w:rsid w:val="00AC0E5E"/>
    <w:rsid w:val="00B01A8C"/>
    <w:rsid w:val="00B1254C"/>
    <w:rsid w:val="00C93EDB"/>
    <w:rsid w:val="00CA61F6"/>
    <w:rsid w:val="00E74E82"/>
    <w:rsid w:val="00F34966"/>
    <w:rsid w:val="00F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9B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85pt">
    <w:name w:val="Footnote + 8.5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7"/>
      <w:szCs w:val="2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Corbel">
    <w:name w:val="Body text + Corbel"/>
    <w:aliases w:val="12.5 pt,Bold"/>
    <w:basedOn w:val="Bodytex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erorfooter105pt">
    <w:name w:val="Header or footer + 10.5 pt"/>
    <w:aliases w:val="Not Bold,Not 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85pt">
    <w:name w:val="Body text + 8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pt">
    <w:name w:val="Body text + 9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Footnote0">
    <w:name w:val="Footnote"/>
    <w:basedOn w:val="Normal"/>
    <w:link w:val="Footnote"/>
    <w:pPr>
      <w:spacing w:line="0" w:lineRule="atLeas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pacing w:line="0" w:lineRule="atLeas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1">
    <w:name w:val="Body text (4)"/>
    <w:basedOn w:val="Normal"/>
    <w:link w:val="Bodytext40"/>
    <w:pPr>
      <w:spacing w:line="17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line="0" w:lineRule="atLeast"/>
      <w:ind w:firstLine="340"/>
      <w:jc w:val="both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center"/>
    </w:pPr>
    <w:rPr>
      <w:rFonts w:ascii="Arial" w:eastAsia="Arial" w:hAnsi="Arial" w:cs="Arial"/>
      <w:b/>
      <w:bCs/>
      <w:spacing w:val="20"/>
      <w:sz w:val="27"/>
      <w:szCs w:val="27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1">
    <w:name w:val="Body Text2"/>
    <w:basedOn w:val="Normal"/>
    <w:link w:val="Bodytext"/>
    <w:pPr>
      <w:spacing w:line="235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4C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8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811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11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933B0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85pt">
    <w:name w:val="Footnote + 8.5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7"/>
      <w:szCs w:val="2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Corbel">
    <w:name w:val="Body text + Corbel"/>
    <w:aliases w:val="12.5 pt,Bold"/>
    <w:basedOn w:val="Bodytex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erorfooter105pt">
    <w:name w:val="Header or footer + 10.5 pt"/>
    <w:aliases w:val="Not Bold,Not 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85pt">
    <w:name w:val="Body text + 8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pt">
    <w:name w:val="Body text + 9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Footnote0">
    <w:name w:val="Footnote"/>
    <w:basedOn w:val="Normal"/>
    <w:link w:val="Footnote"/>
    <w:pPr>
      <w:spacing w:line="0" w:lineRule="atLeas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pacing w:line="0" w:lineRule="atLeas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1">
    <w:name w:val="Body text (4)"/>
    <w:basedOn w:val="Normal"/>
    <w:link w:val="Bodytext40"/>
    <w:pPr>
      <w:spacing w:line="17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line="0" w:lineRule="atLeast"/>
      <w:ind w:firstLine="340"/>
      <w:jc w:val="both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center"/>
    </w:pPr>
    <w:rPr>
      <w:rFonts w:ascii="Arial" w:eastAsia="Arial" w:hAnsi="Arial" w:cs="Arial"/>
      <w:b/>
      <w:bCs/>
      <w:spacing w:val="20"/>
      <w:sz w:val="27"/>
      <w:szCs w:val="27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1">
    <w:name w:val="Body Text2"/>
    <w:basedOn w:val="Normal"/>
    <w:link w:val="Bodytext"/>
    <w:pPr>
      <w:spacing w:line="235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4C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8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811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11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933B0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Harper, Michael</cp:lastModifiedBy>
  <cp:revision>3</cp:revision>
  <dcterms:created xsi:type="dcterms:W3CDTF">2018-09-17T04:08:00Z</dcterms:created>
  <dcterms:modified xsi:type="dcterms:W3CDTF">2019-06-18T04:35:00Z</dcterms:modified>
</cp:coreProperties>
</file>