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A9419" w14:textId="77777777" w:rsidR="007926E3" w:rsidRPr="0012272E" w:rsidRDefault="008A6547" w:rsidP="0012272E">
      <w:pPr>
        <w:pStyle w:val="BodyText1"/>
        <w:spacing w:after="160" w:line="240" w:lineRule="auto"/>
        <w:ind w:firstLine="0"/>
        <w:rPr>
          <w:b/>
          <w:sz w:val="32"/>
          <w:szCs w:val="24"/>
        </w:rPr>
      </w:pPr>
      <w:bookmarkStart w:id="0" w:name="bookmark0"/>
      <w:r w:rsidRPr="0012272E">
        <w:rPr>
          <w:b/>
          <w:sz w:val="32"/>
          <w:szCs w:val="24"/>
        </w:rPr>
        <w:t>PAPUA NEW GUINEA ACT 1974</w:t>
      </w:r>
      <w:bookmarkEnd w:id="0"/>
    </w:p>
    <w:p w14:paraId="7F105F2A" w14:textId="77777777" w:rsidR="007926E3" w:rsidRPr="0012272E" w:rsidRDefault="008A6547" w:rsidP="0012272E">
      <w:pPr>
        <w:pStyle w:val="BodyText1"/>
        <w:spacing w:after="160" w:line="240" w:lineRule="auto"/>
        <w:ind w:firstLine="0"/>
        <w:rPr>
          <w:b/>
          <w:sz w:val="28"/>
          <w:szCs w:val="24"/>
        </w:rPr>
      </w:pPr>
      <w:bookmarkStart w:id="1" w:name="bookmark1"/>
      <w:r w:rsidRPr="0012272E">
        <w:rPr>
          <w:b/>
          <w:sz w:val="28"/>
          <w:szCs w:val="24"/>
        </w:rPr>
        <w:t>No. 56 of 1974</w:t>
      </w:r>
      <w:bookmarkEnd w:id="1"/>
    </w:p>
    <w:p w14:paraId="321FD787" w14:textId="77777777" w:rsidR="007926E3" w:rsidRPr="0012272E" w:rsidRDefault="008A6547" w:rsidP="0012272E">
      <w:pPr>
        <w:pStyle w:val="BodyText1"/>
        <w:spacing w:after="160" w:line="240" w:lineRule="auto"/>
        <w:ind w:firstLine="0"/>
        <w:rPr>
          <w:sz w:val="24"/>
          <w:szCs w:val="24"/>
        </w:rPr>
      </w:pPr>
      <w:r w:rsidRPr="0012272E">
        <w:rPr>
          <w:sz w:val="24"/>
          <w:szCs w:val="24"/>
        </w:rPr>
        <w:t xml:space="preserve">An Act to amend the </w:t>
      </w:r>
      <w:r w:rsidRPr="0012272E">
        <w:rPr>
          <w:rStyle w:val="BodytextItalic"/>
          <w:sz w:val="24"/>
          <w:szCs w:val="24"/>
        </w:rPr>
        <w:t>Papua New Guinea Act</w:t>
      </w:r>
      <w:r w:rsidRPr="0012272E">
        <w:rPr>
          <w:sz w:val="24"/>
          <w:szCs w:val="24"/>
        </w:rPr>
        <w:t xml:space="preserve"> 1949-1973.</w:t>
      </w:r>
    </w:p>
    <w:p w14:paraId="0A9C26E5" w14:textId="77777777" w:rsidR="007926E3" w:rsidRPr="0012272E" w:rsidRDefault="008A6547" w:rsidP="0012272E">
      <w:pPr>
        <w:pStyle w:val="BodyText1"/>
        <w:spacing w:line="240" w:lineRule="auto"/>
        <w:ind w:firstLine="360"/>
        <w:jc w:val="both"/>
        <w:rPr>
          <w:sz w:val="24"/>
          <w:szCs w:val="24"/>
        </w:rPr>
      </w:pPr>
      <w:r w:rsidRPr="0012272E">
        <w:rPr>
          <w:sz w:val="24"/>
          <w:szCs w:val="24"/>
        </w:rPr>
        <w:t>BE IT ENACTED by the Queen, the Senate and the House of Representatives of Australia, as follows: —</w:t>
      </w:r>
    </w:p>
    <w:p w14:paraId="238CD24B" w14:textId="77777777" w:rsidR="007926E3" w:rsidRPr="00A442A1" w:rsidRDefault="008A6547" w:rsidP="00A442A1">
      <w:pPr>
        <w:pStyle w:val="Bodytext20"/>
        <w:spacing w:before="120" w:after="60" w:line="240" w:lineRule="auto"/>
        <w:jc w:val="both"/>
        <w:rPr>
          <w:b/>
          <w:sz w:val="20"/>
          <w:szCs w:val="24"/>
        </w:rPr>
      </w:pPr>
      <w:r w:rsidRPr="00A442A1">
        <w:rPr>
          <w:b/>
          <w:sz w:val="20"/>
          <w:szCs w:val="24"/>
        </w:rPr>
        <w:t>Short title and citation.</w:t>
      </w:r>
    </w:p>
    <w:p w14:paraId="6C6C5C70" w14:textId="77777777" w:rsidR="0012272E" w:rsidRPr="0012272E" w:rsidRDefault="00A442A1" w:rsidP="005C16D2">
      <w:pPr>
        <w:pStyle w:val="BodyText1"/>
        <w:tabs>
          <w:tab w:val="left" w:pos="630"/>
        </w:tabs>
        <w:spacing w:after="60" w:line="240" w:lineRule="auto"/>
        <w:ind w:firstLine="270"/>
        <w:jc w:val="both"/>
        <w:rPr>
          <w:sz w:val="24"/>
          <w:szCs w:val="24"/>
        </w:rPr>
      </w:pPr>
      <w:r w:rsidRPr="00A442A1">
        <w:rPr>
          <w:b/>
          <w:sz w:val="24"/>
          <w:szCs w:val="24"/>
        </w:rPr>
        <w:t>1.</w:t>
      </w:r>
      <w:r>
        <w:rPr>
          <w:b/>
          <w:sz w:val="24"/>
          <w:szCs w:val="24"/>
        </w:rPr>
        <w:tab/>
      </w:r>
      <w:r w:rsidR="008A6547" w:rsidRPr="0012272E">
        <w:rPr>
          <w:sz w:val="24"/>
          <w:szCs w:val="24"/>
        </w:rPr>
        <w:t xml:space="preserve">(1) This Act may be cited as the </w:t>
      </w:r>
      <w:r w:rsidR="008A6547" w:rsidRPr="0012272E">
        <w:rPr>
          <w:rStyle w:val="BodytextItalic"/>
          <w:sz w:val="24"/>
          <w:szCs w:val="24"/>
        </w:rPr>
        <w:t>Papua New Guinea Act</w:t>
      </w:r>
      <w:r w:rsidR="008A6547" w:rsidRPr="0012272E">
        <w:rPr>
          <w:sz w:val="24"/>
          <w:szCs w:val="24"/>
        </w:rPr>
        <w:t xml:space="preserve"> 1974.</w:t>
      </w:r>
      <w:r w:rsidRPr="00A442A1">
        <w:rPr>
          <w:sz w:val="24"/>
          <w:szCs w:val="24"/>
          <w:vertAlign w:val="superscript"/>
        </w:rPr>
        <w:t>1</w:t>
      </w:r>
    </w:p>
    <w:p w14:paraId="142322AF" w14:textId="73F4A3C3" w:rsidR="007926E3" w:rsidRDefault="0012272E" w:rsidP="00A442A1">
      <w:pPr>
        <w:pStyle w:val="BodyText1"/>
        <w:spacing w:line="240" w:lineRule="auto"/>
        <w:ind w:firstLine="270"/>
        <w:jc w:val="both"/>
        <w:rPr>
          <w:sz w:val="24"/>
          <w:szCs w:val="24"/>
        </w:rPr>
      </w:pPr>
      <w:r w:rsidRPr="0012272E">
        <w:rPr>
          <w:sz w:val="24"/>
          <w:szCs w:val="24"/>
        </w:rPr>
        <w:t xml:space="preserve">(2) </w:t>
      </w:r>
      <w:r w:rsidRPr="00A442A1">
        <w:rPr>
          <w:rStyle w:val="BodytextItalic"/>
          <w:i w:val="0"/>
          <w:sz w:val="24"/>
          <w:szCs w:val="24"/>
        </w:rPr>
        <w:t>The</w:t>
      </w:r>
      <w:r w:rsidRPr="0012272E">
        <w:rPr>
          <w:rStyle w:val="BodytextItalic"/>
          <w:sz w:val="24"/>
          <w:szCs w:val="24"/>
        </w:rPr>
        <w:t xml:space="preserve"> Papua New Guinea Act</w:t>
      </w:r>
      <w:r w:rsidRPr="0012272E">
        <w:rPr>
          <w:sz w:val="24"/>
          <w:szCs w:val="24"/>
        </w:rPr>
        <w:t xml:space="preserve"> 1949-1973, </w:t>
      </w:r>
      <w:r w:rsidR="008A6547" w:rsidRPr="0012272E">
        <w:rPr>
          <w:sz w:val="24"/>
          <w:szCs w:val="24"/>
        </w:rPr>
        <w:t xml:space="preserve">as amended by this Act, may be cited as the </w:t>
      </w:r>
      <w:r w:rsidR="008A6547" w:rsidRPr="0012272E">
        <w:rPr>
          <w:rStyle w:val="BodytextItalic"/>
          <w:sz w:val="24"/>
          <w:szCs w:val="24"/>
        </w:rPr>
        <w:t>Papua New Guinea Act</w:t>
      </w:r>
      <w:r w:rsidR="008A6547" w:rsidRPr="0012272E">
        <w:rPr>
          <w:sz w:val="24"/>
          <w:szCs w:val="24"/>
        </w:rPr>
        <w:t xml:space="preserve"> 1949-1974.</w:t>
      </w:r>
    </w:p>
    <w:p w14:paraId="22F65FEE" w14:textId="77777777" w:rsidR="00A442A1" w:rsidRPr="00A442A1" w:rsidRDefault="00A442A1" w:rsidP="00A442A1">
      <w:pPr>
        <w:pStyle w:val="Bodytext20"/>
        <w:spacing w:before="120" w:after="60" w:line="240" w:lineRule="auto"/>
        <w:jc w:val="both"/>
        <w:rPr>
          <w:b/>
          <w:sz w:val="20"/>
          <w:szCs w:val="24"/>
        </w:rPr>
      </w:pPr>
      <w:r w:rsidRPr="00A442A1">
        <w:rPr>
          <w:b/>
          <w:sz w:val="20"/>
          <w:szCs w:val="24"/>
        </w:rPr>
        <w:t>Commencement.</w:t>
      </w:r>
    </w:p>
    <w:p w14:paraId="60CAE475" w14:textId="0B3B73A4" w:rsidR="007926E3" w:rsidRPr="0012272E" w:rsidRDefault="00A442A1" w:rsidP="00A442A1">
      <w:pPr>
        <w:pStyle w:val="BodyText1"/>
        <w:tabs>
          <w:tab w:val="left" w:pos="621"/>
        </w:tabs>
        <w:spacing w:line="240" w:lineRule="auto"/>
        <w:ind w:firstLine="270"/>
        <w:jc w:val="both"/>
        <w:rPr>
          <w:sz w:val="24"/>
          <w:szCs w:val="24"/>
        </w:rPr>
      </w:pPr>
      <w:r w:rsidRPr="00A442A1">
        <w:rPr>
          <w:b/>
          <w:sz w:val="24"/>
          <w:szCs w:val="24"/>
        </w:rPr>
        <w:t>2.</w:t>
      </w:r>
      <w:r>
        <w:rPr>
          <w:b/>
          <w:sz w:val="24"/>
          <w:szCs w:val="24"/>
        </w:rPr>
        <w:tab/>
      </w:r>
      <w:r w:rsidR="008A6547" w:rsidRPr="0012272E">
        <w:rPr>
          <w:sz w:val="24"/>
          <w:szCs w:val="24"/>
        </w:rPr>
        <w:t>This Act shall come into operation on the day on which it receives the Royal Assent.</w:t>
      </w:r>
    </w:p>
    <w:p w14:paraId="62AB42C7" w14:textId="77777777" w:rsidR="00A442A1" w:rsidRPr="00A442A1" w:rsidRDefault="00A442A1" w:rsidP="00A442A1">
      <w:pPr>
        <w:pStyle w:val="Bodytext20"/>
        <w:spacing w:before="120" w:after="60" w:line="240" w:lineRule="auto"/>
        <w:jc w:val="both"/>
        <w:rPr>
          <w:b/>
          <w:sz w:val="20"/>
          <w:szCs w:val="24"/>
        </w:rPr>
      </w:pPr>
      <w:r w:rsidRPr="00A442A1">
        <w:rPr>
          <w:b/>
          <w:sz w:val="20"/>
          <w:szCs w:val="24"/>
        </w:rPr>
        <w:t>Laws relating to off-shore mineral resources.</w:t>
      </w:r>
    </w:p>
    <w:p w14:paraId="5F2DCA2C" w14:textId="77777777" w:rsidR="007926E3" w:rsidRPr="0012272E" w:rsidRDefault="00A442A1" w:rsidP="00174980">
      <w:pPr>
        <w:pStyle w:val="BodyText1"/>
        <w:tabs>
          <w:tab w:val="left" w:pos="621"/>
        </w:tabs>
        <w:spacing w:after="60" w:line="240" w:lineRule="auto"/>
        <w:ind w:firstLine="270"/>
        <w:jc w:val="both"/>
        <w:rPr>
          <w:sz w:val="24"/>
          <w:szCs w:val="24"/>
        </w:rPr>
      </w:pPr>
      <w:r w:rsidRPr="00A442A1">
        <w:rPr>
          <w:b/>
          <w:sz w:val="24"/>
          <w:szCs w:val="24"/>
        </w:rPr>
        <w:t>3.</w:t>
      </w:r>
      <w:r>
        <w:rPr>
          <w:b/>
          <w:sz w:val="24"/>
          <w:szCs w:val="24"/>
        </w:rPr>
        <w:tab/>
      </w:r>
      <w:r w:rsidR="008A6547" w:rsidRPr="0012272E">
        <w:rPr>
          <w:sz w:val="24"/>
          <w:szCs w:val="24"/>
        </w:rPr>
        <w:t>After section 52 of the Principal Act the following section is inserted:—</w:t>
      </w:r>
    </w:p>
    <w:p w14:paraId="7AB1D9D0" w14:textId="05A35F23" w:rsidR="007926E3" w:rsidRPr="005C16D2" w:rsidRDefault="00C3269E" w:rsidP="005C16D2">
      <w:pPr>
        <w:pStyle w:val="BodyText1"/>
        <w:spacing w:after="60" w:line="240" w:lineRule="auto"/>
        <w:ind w:firstLine="270"/>
        <w:jc w:val="both"/>
        <w:rPr>
          <w:smallCaps/>
        </w:rPr>
      </w:pPr>
      <w:r>
        <w:rPr>
          <w:rStyle w:val="BodytextSmallCaps"/>
          <w:sz w:val="24"/>
          <w:szCs w:val="24"/>
        </w:rPr>
        <w:t>“</w:t>
      </w:r>
      <w:r w:rsidR="005C16D2">
        <w:rPr>
          <w:smallCaps/>
        </w:rPr>
        <w:t>52</w:t>
      </w:r>
      <w:r w:rsidR="008A6547" w:rsidRPr="0012272E">
        <w:rPr>
          <w:rStyle w:val="BodytextSmallCaps"/>
          <w:sz w:val="24"/>
          <w:szCs w:val="24"/>
        </w:rPr>
        <w:t>a.</w:t>
      </w:r>
      <w:r w:rsidR="008A6547" w:rsidRPr="0012272E">
        <w:rPr>
          <w:sz w:val="24"/>
          <w:szCs w:val="24"/>
        </w:rPr>
        <w:t xml:space="preserve"> (1) In this section—</w:t>
      </w:r>
    </w:p>
    <w:p w14:paraId="13FE0CFB" w14:textId="67857770" w:rsidR="007926E3" w:rsidRPr="0012272E" w:rsidRDefault="00A442A1" w:rsidP="005C16D2">
      <w:pPr>
        <w:pStyle w:val="BodyText1"/>
        <w:spacing w:after="60" w:line="240" w:lineRule="auto"/>
        <w:ind w:left="801" w:hanging="531"/>
        <w:jc w:val="both"/>
        <w:rPr>
          <w:sz w:val="24"/>
          <w:szCs w:val="24"/>
        </w:rPr>
      </w:pPr>
      <w:r>
        <w:rPr>
          <w:sz w:val="24"/>
          <w:szCs w:val="24"/>
        </w:rPr>
        <w:t xml:space="preserve">‘continental shelf’ </w:t>
      </w:r>
      <w:r w:rsidR="008A6547" w:rsidRPr="0012272E">
        <w:rPr>
          <w:sz w:val="24"/>
          <w:szCs w:val="24"/>
        </w:rPr>
        <w:t>has the same meaning as in the Convention entitled ‘Convention on the Continental Shelf’ signed at Geneva on 29 April 1958;</w:t>
      </w:r>
    </w:p>
    <w:p w14:paraId="1444BBF3" w14:textId="77777777" w:rsidR="007926E3" w:rsidRPr="0012272E" w:rsidRDefault="008A6547" w:rsidP="005C16D2">
      <w:pPr>
        <w:pStyle w:val="BodyText1"/>
        <w:spacing w:after="60" w:line="240" w:lineRule="auto"/>
        <w:ind w:left="720" w:hanging="450"/>
        <w:jc w:val="both"/>
        <w:rPr>
          <w:sz w:val="24"/>
          <w:szCs w:val="24"/>
        </w:rPr>
      </w:pPr>
      <w:r w:rsidRPr="0012272E">
        <w:rPr>
          <w:sz w:val="24"/>
          <w:szCs w:val="24"/>
        </w:rPr>
        <w:t xml:space="preserve">‘off-shore area’ means the sea-bed and subsoil beneath the waters within the areas specified in Schedule 2 to the </w:t>
      </w:r>
      <w:r w:rsidR="00BB3FF1">
        <w:rPr>
          <w:rStyle w:val="BodytextItalic"/>
          <w:sz w:val="24"/>
          <w:szCs w:val="24"/>
        </w:rPr>
        <w:t>Petroleum (Sub</w:t>
      </w:r>
      <w:r w:rsidRPr="0012272E">
        <w:rPr>
          <w:rStyle w:val="BodytextItalic"/>
          <w:sz w:val="24"/>
          <w:szCs w:val="24"/>
        </w:rPr>
        <w:t>merged Lands) Act</w:t>
      </w:r>
      <w:r w:rsidRPr="0012272E">
        <w:rPr>
          <w:sz w:val="24"/>
          <w:szCs w:val="24"/>
        </w:rPr>
        <w:t xml:space="preserve"> 1967-1973, as in force at the commencement of this section, as being adjacent, respectively, to the Territory of Papua and to the Territory of New Guinea, to the extent only that those waters are territorial waters or superjacent waters of the continental shelf.</w:t>
      </w:r>
    </w:p>
    <w:p w14:paraId="2BEB06AF" w14:textId="77777777" w:rsidR="007926E3" w:rsidRPr="0012272E" w:rsidRDefault="008A6547" w:rsidP="005C16D2">
      <w:pPr>
        <w:pStyle w:val="BodyText1"/>
        <w:spacing w:after="60" w:line="240" w:lineRule="auto"/>
        <w:ind w:firstLine="270"/>
        <w:jc w:val="both"/>
        <w:rPr>
          <w:sz w:val="24"/>
          <w:szCs w:val="24"/>
        </w:rPr>
      </w:pPr>
      <w:r w:rsidRPr="0012272E">
        <w:rPr>
          <w:sz w:val="24"/>
          <w:szCs w:val="24"/>
        </w:rPr>
        <w:t>“(2) The power to make laws conferred on the House of Assembly by section 52 includes power to make laws in relation to—</w:t>
      </w:r>
    </w:p>
    <w:p w14:paraId="726C4442" w14:textId="77777777" w:rsidR="007926E3" w:rsidRPr="0012272E" w:rsidRDefault="00A442A1" w:rsidP="005C16D2">
      <w:pPr>
        <w:pStyle w:val="BodyText1"/>
        <w:spacing w:after="60" w:line="240" w:lineRule="auto"/>
        <w:ind w:left="630" w:hanging="360"/>
        <w:jc w:val="both"/>
        <w:rPr>
          <w:sz w:val="24"/>
          <w:szCs w:val="24"/>
        </w:rPr>
      </w:pPr>
      <w:r>
        <w:rPr>
          <w:sz w:val="24"/>
          <w:szCs w:val="24"/>
        </w:rPr>
        <w:t xml:space="preserve">(a) </w:t>
      </w:r>
      <w:r w:rsidR="008A6547" w:rsidRPr="0012272E">
        <w:rPr>
          <w:sz w:val="24"/>
          <w:szCs w:val="24"/>
        </w:rPr>
        <w:t>the exploration of the off-shore area for mineral resources, including petroleum resources, and the exploitation of those resources; and</w:t>
      </w:r>
    </w:p>
    <w:p w14:paraId="3E838C44" w14:textId="0643FD98" w:rsidR="007926E3" w:rsidRPr="0012272E" w:rsidRDefault="00A442A1" w:rsidP="005C16D2">
      <w:pPr>
        <w:pStyle w:val="BodyText1"/>
        <w:spacing w:after="60" w:line="240" w:lineRule="auto"/>
        <w:ind w:left="630" w:hanging="360"/>
        <w:jc w:val="both"/>
        <w:rPr>
          <w:sz w:val="24"/>
          <w:szCs w:val="24"/>
        </w:rPr>
      </w:pPr>
      <w:r>
        <w:rPr>
          <w:sz w:val="24"/>
          <w:szCs w:val="24"/>
        </w:rPr>
        <w:t xml:space="preserve">(b) </w:t>
      </w:r>
      <w:r w:rsidR="008A6547" w:rsidRPr="0012272E">
        <w:rPr>
          <w:sz w:val="24"/>
          <w:szCs w:val="24"/>
        </w:rPr>
        <w:t>acts, omissions, matters, circumstances and things touching, concerning, arising out of or connected with any such exploration or exploitation.</w:t>
      </w:r>
    </w:p>
    <w:p w14:paraId="57A8E2F2" w14:textId="77777777" w:rsidR="008A6547" w:rsidRDefault="008A6547" w:rsidP="008A6547">
      <w:pPr>
        <w:pStyle w:val="BodyText1"/>
        <w:spacing w:line="240" w:lineRule="auto"/>
        <w:ind w:firstLine="270"/>
        <w:jc w:val="both"/>
        <w:rPr>
          <w:sz w:val="24"/>
          <w:szCs w:val="24"/>
        </w:rPr>
      </w:pPr>
      <w:r w:rsidRPr="0012272E">
        <w:rPr>
          <w:sz w:val="24"/>
          <w:szCs w:val="24"/>
        </w:rPr>
        <w:t>“(3) The power to make laws referred to in sub-section (2), and laws made in pursuance of that power, are not affected by any law of Australia relating to a matter referred to in paragraph (a) or (b) of that sub-section.</w:t>
      </w:r>
    </w:p>
    <w:p w14:paraId="67275442" w14:textId="77777777" w:rsidR="007926E3" w:rsidRDefault="008A6547" w:rsidP="005C16D2">
      <w:pPr>
        <w:pStyle w:val="BodyText1"/>
        <w:spacing w:line="240" w:lineRule="auto"/>
        <w:ind w:firstLine="270"/>
        <w:jc w:val="both"/>
        <w:rPr>
          <w:sz w:val="24"/>
          <w:szCs w:val="24"/>
        </w:rPr>
      </w:pPr>
      <w:r w:rsidRPr="0012272E">
        <w:rPr>
          <w:sz w:val="24"/>
          <w:szCs w:val="24"/>
        </w:rPr>
        <w:t>“(4) This section shall not be construed as limiting by implication any other power of the House of Assembly to make laws under section 52.”.</w:t>
      </w:r>
    </w:p>
    <w:p w14:paraId="6AD84A94" w14:textId="77777777" w:rsidR="005C16D2" w:rsidRPr="0012272E" w:rsidRDefault="005C16D2" w:rsidP="005C16D2">
      <w:pPr>
        <w:pStyle w:val="BodyText1"/>
        <w:spacing w:line="240" w:lineRule="auto"/>
        <w:ind w:firstLine="0"/>
        <w:jc w:val="both"/>
        <w:rPr>
          <w:sz w:val="24"/>
          <w:szCs w:val="24"/>
        </w:rPr>
      </w:pPr>
      <w:r>
        <w:rPr>
          <w:sz w:val="24"/>
          <w:szCs w:val="24"/>
        </w:rPr>
        <w:t>–––––––––––––––––––––––––––––––––––––––––––––––––––––––––––––––––––––––––––––––––</w:t>
      </w:r>
      <w:bookmarkStart w:id="2" w:name="_GoBack"/>
      <w:bookmarkEnd w:id="2"/>
    </w:p>
    <w:sectPr w:rsidR="005C16D2" w:rsidRPr="0012272E" w:rsidSect="00C14460">
      <w:headerReference w:type="even" r:id="rId8"/>
      <w:type w:val="continuous"/>
      <w:pgSz w:w="11909" w:h="18000"/>
      <w:pgMar w:top="1080" w:right="1080" w:bottom="1080" w:left="1080" w:header="720" w:footer="72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138622" w15:done="0"/>
  <w15:commentEx w15:paraId="0EA951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138622" w16cid:durableId="1F4A329A"/>
  <w16cid:commentId w16cid:paraId="0EA95118" w16cid:durableId="1F4A32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D6115" w14:textId="77777777" w:rsidR="00D52FF4" w:rsidRDefault="00D52FF4">
      <w:r>
        <w:separator/>
      </w:r>
    </w:p>
  </w:endnote>
  <w:endnote w:type="continuationSeparator" w:id="0">
    <w:p w14:paraId="2FD972FD" w14:textId="77777777" w:rsidR="00D52FF4" w:rsidRDefault="00D5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6A2DF" w14:textId="77777777" w:rsidR="00D52FF4" w:rsidRDefault="00D52FF4">
      <w:r>
        <w:separator/>
      </w:r>
    </w:p>
  </w:footnote>
  <w:footnote w:type="continuationSeparator" w:id="0">
    <w:p w14:paraId="287DD2E4" w14:textId="77777777" w:rsidR="00D52FF4" w:rsidRDefault="00D52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625C4" w14:textId="77777777" w:rsidR="00954CBE" w:rsidRPr="00954CBE" w:rsidRDefault="00954CBE" w:rsidP="00954CBE">
    <w:pPr>
      <w:pStyle w:val="Header"/>
      <w:tabs>
        <w:tab w:val="clear" w:pos="4513"/>
        <w:tab w:val="clear" w:pos="9026"/>
        <w:tab w:val="center" w:pos="5040"/>
        <w:tab w:val="right" w:pos="9720"/>
      </w:tabs>
      <w:rPr>
        <w:rFonts w:ascii="Times New Roman" w:hAnsi="Times New Roman" w:cs="Times New Roman"/>
        <w:sz w:val="22"/>
        <w:szCs w:val="22"/>
        <w:lang w:val="en-IN"/>
      </w:rPr>
    </w:pPr>
    <w:r w:rsidRPr="00954CBE">
      <w:rPr>
        <w:rFonts w:ascii="Times New Roman" w:hAnsi="Times New Roman" w:cs="Times New Roman"/>
        <w:sz w:val="22"/>
        <w:szCs w:val="22"/>
        <w:lang w:val="en-IN"/>
      </w:rPr>
      <w:t>1974</w:t>
    </w:r>
    <w:r>
      <w:rPr>
        <w:rFonts w:ascii="Times New Roman" w:hAnsi="Times New Roman" w:cs="Times New Roman"/>
        <w:sz w:val="22"/>
        <w:szCs w:val="22"/>
        <w:lang w:val="en-IN"/>
      </w:rPr>
      <w:tab/>
    </w:r>
    <w:r w:rsidRPr="00954CBE">
      <w:rPr>
        <w:rFonts w:ascii="Times New Roman" w:hAnsi="Times New Roman" w:cs="Times New Roman"/>
        <w:i/>
        <w:sz w:val="22"/>
        <w:szCs w:val="22"/>
        <w:lang w:val="en-IN"/>
      </w:rPr>
      <w:t>Papua New Guinea</w:t>
    </w:r>
    <w:r>
      <w:rPr>
        <w:rFonts w:ascii="Times New Roman" w:hAnsi="Times New Roman" w:cs="Times New Roman"/>
        <w:sz w:val="22"/>
        <w:szCs w:val="22"/>
        <w:lang w:val="en-IN"/>
      </w:rPr>
      <w:tab/>
    </w:r>
    <w:r w:rsidRPr="00954CBE">
      <w:rPr>
        <w:rFonts w:ascii="Times New Roman" w:hAnsi="Times New Roman" w:cs="Times New Roman"/>
        <w:sz w:val="22"/>
        <w:szCs w:val="22"/>
        <w:lang w:val="en-IN"/>
      </w:rPr>
      <w:t>No. 56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4304F"/>
    <w:multiLevelType w:val="multilevel"/>
    <w:tmpl w:val="EAEE36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E8588C"/>
    <w:multiLevelType w:val="multilevel"/>
    <w:tmpl w:val="97647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6E3"/>
    <w:rsid w:val="0012272E"/>
    <w:rsid w:val="00174980"/>
    <w:rsid w:val="001D65F6"/>
    <w:rsid w:val="005C16D2"/>
    <w:rsid w:val="005C1715"/>
    <w:rsid w:val="005D6E7C"/>
    <w:rsid w:val="006B27BC"/>
    <w:rsid w:val="007926E3"/>
    <w:rsid w:val="008221E1"/>
    <w:rsid w:val="008A6547"/>
    <w:rsid w:val="00954CBE"/>
    <w:rsid w:val="00A442A1"/>
    <w:rsid w:val="00BB3FF1"/>
    <w:rsid w:val="00C14460"/>
    <w:rsid w:val="00C3269E"/>
    <w:rsid w:val="00D52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9"/>
      <w:szCs w:val="19"/>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7"/>
      <w:szCs w:val="27"/>
      <w:u w:val="none"/>
    </w:rPr>
  </w:style>
  <w:style w:type="character" w:customStyle="1" w:styleId="Heading2">
    <w:name w:val="Heading #2_"/>
    <w:basedOn w:val="DefaultParagraphFont"/>
    <w:link w:val="Heading20"/>
    <w:rPr>
      <w:rFonts w:ascii="Arial" w:eastAsia="Arial" w:hAnsi="Arial" w:cs="Arial"/>
      <w:b/>
      <w:bCs/>
      <w:i w:val="0"/>
      <w:iCs w:val="0"/>
      <w:smallCaps w:val="0"/>
      <w:strike w:val="0"/>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Arial">
    <w:name w:val="Body text + Arial"/>
    <w:aliases w:val="12 pt,Bold"/>
    <w:basedOn w:val="Bodytext"/>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paragraph" w:customStyle="1" w:styleId="Footnote0">
    <w:name w:val="Footnote"/>
    <w:basedOn w:val="Normal"/>
    <w:link w:val="Footnote"/>
    <w:pPr>
      <w:spacing w:line="0" w:lineRule="atLeast"/>
      <w:ind w:hanging="300"/>
    </w:pPr>
    <w:rPr>
      <w:rFonts w:ascii="Times New Roman" w:eastAsia="Times New Roman" w:hAnsi="Times New Roman" w:cs="Times New Roman"/>
      <w:sz w:val="19"/>
      <w:szCs w:val="19"/>
    </w:rPr>
  </w:style>
  <w:style w:type="paragraph" w:customStyle="1" w:styleId="Bodytext20">
    <w:name w:val="Body text (2)"/>
    <w:basedOn w:val="Normal"/>
    <w:link w:val="Bodytext2"/>
    <w:pPr>
      <w:spacing w:line="173" w:lineRule="exact"/>
    </w:pPr>
    <w:rPr>
      <w:rFonts w:ascii="Times New Roman" w:eastAsia="Times New Roman" w:hAnsi="Times New Roman" w:cs="Times New Roman"/>
      <w:sz w:val="17"/>
      <w:szCs w:val="17"/>
    </w:rPr>
  </w:style>
  <w:style w:type="paragraph" w:customStyle="1" w:styleId="Heading10">
    <w:name w:val="Heading #1"/>
    <w:basedOn w:val="Normal"/>
    <w:link w:val="Heading1"/>
    <w:pPr>
      <w:spacing w:line="0" w:lineRule="atLeast"/>
      <w:jc w:val="center"/>
      <w:outlineLvl w:val="0"/>
    </w:pPr>
    <w:rPr>
      <w:rFonts w:ascii="Arial" w:eastAsia="Arial" w:hAnsi="Arial" w:cs="Arial"/>
      <w:b/>
      <w:bCs/>
      <w:sz w:val="27"/>
      <w:szCs w:val="27"/>
    </w:rPr>
  </w:style>
  <w:style w:type="paragraph" w:customStyle="1" w:styleId="Heading20">
    <w:name w:val="Heading #2"/>
    <w:basedOn w:val="Normal"/>
    <w:link w:val="Heading2"/>
    <w:pPr>
      <w:spacing w:line="0" w:lineRule="atLeast"/>
      <w:jc w:val="center"/>
      <w:outlineLvl w:val="1"/>
    </w:pPr>
    <w:rPr>
      <w:rFonts w:ascii="Arial" w:eastAsia="Arial" w:hAnsi="Arial" w:cs="Arial"/>
      <w:b/>
      <w:bCs/>
    </w:rPr>
  </w:style>
  <w:style w:type="paragraph" w:customStyle="1" w:styleId="BodyText1">
    <w:name w:val="Body Text1"/>
    <w:basedOn w:val="Normal"/>
    <w:link w:val="Bodytext"/>
    <w:pPr>
      <w:spacing w:line="0" w:lineRule="atLeast"/>
      <w:ind w:hanging="440"/>
      <w:jc w:val="center"/>
    </w:pPr>
    <w:rPr>
      <w:rFonts w:ascii="Times New Roman" w:eastAsia="Times New Roman" w:hAnsi="Times New Roman" w:cs="Times New Roman"/>
      <w:sz w:val="22"/>
      <w:szCs w:val="22"/>
    </w:rPr>
  </w:style>
  <w:style w:type="paragraph" w:styleId="EndnoteText">
    <w:name w:val="endnote text"/>
    <w:basedOn w:val="Normal"/>
    <w:link w:val="EndnoteTextChar"/>
    <w:uiPriority w:val="99"/>
    <w:semiHidden/>
    <w:unhideWhenUsed/>
    <w:rsid w:val="0012272E"/>
    <w:rPr>
      <w:sz w:val="20"/>
      <w:szCs w:val="20"/>
    </w:rPr>
  </w:style>
  <w:style w:type="character" w:customStyle="1" w:styleId="EndnoteTextChar">
    <w:name w:val="Endnote Text Char"/>
    <w:basedOn w:val="DefaultParagraphFont"/>
    <w:link w:val="EndnoteText"/>
    <w:uiPriority w:val="99"/>
    <w:semiHidden/>
    <w:rsid w:val="0012272E"/>
    <w:rPr>
      <w:color w:val="000000"/>
      <w:sz w:val="20"/>
      <w:szCs w:val="20"/>
    </w:rPr>
  </w:style>
  <w:style w:type="paragraph" w:styleId="FootnoteText">
    <w:name w:val="footnote text"/>
    <w:basedOn w:val="Normal"/>
    <w:link w:val="FootnoteTextChar"/>
    <w:uiPriority w:val="99"/>
    <w:semiHidden/>
    <w:unhideWhenUsed/>
    <w:rsid w:val="0012272E"/>
    <w:rPr>
      <w:sz w:val="20"/>
      <w:szCs w:val="20"/>
    </w:rPr>
  </w:style>
  <w:style w:type="character" w:customStyle="1" w:styleId="FootnoteTextChar">
    <w:name w:val="Footnote Text Char"/>
    <w:basedOn w:val="DefaultParagraphFont"/>
    <w:link w:val="FootnoteText"/>
    <w:uiPriority w:val="99"/>
    <w:semiHidden/>
    <w:rsid w:val="0012272E"/>
    <w:rPr>
      <w:color w:val="000000"/>
      <w:sz w:val="20"/>
      <w:szCs w:val="20"/>
    </w:rPr>
  </w:style>
  <w:style w:type="character" w:styleId="EndnoteReference">
    <w:name w:val="endnote reference"/>
    <w:basedOn w:val="DefaultParagraphFont"/>
    <w:uiPriority w:val="99"/>
    <w:semiHidden/>
    <w:unhideWhenUsed/>
    <w:rsid w:val="0012272E"/>
    <w:rPr>
      <w:vertAlign w:val="superscript"/>
    </w:rPr>
  </w:style>
  <w:style w:type="character" w:styleId="FootnoteReference">
    <w:name w:val="footnote reference"/>
    <w:basedOn w:val="DefaultParagraphFont"/>
    <w:uiPriority w:val="99"/>
    <w:semiHidden/>
    <w:unhideWhenUsed/>
    <w:rsid w:val="0012272E"/>
    <w:rPr>
      <w:vertAlign w:val="superscript"/>
    </w:rPr>
  </w:style>
  <w:style w:type="paragraph" w:styleId="Header">
    <w:name w:val="header"/>
    <w:basedOn w:val="Normal"/>
    <w:link w:val="HeaderChar"/>
    <w:uiPriority w:val="99"/>
    <w:unhideWhenUsed/>
    <w:rsid w:val="00954CBE"/>
    <w:pPr>
      <w:tabs>
        <w:tab w:val="center" w:pos="4513"/>
        <w:tab w:val="right" w:pos="9026"/>
      </w:tabs>
    </w:pPr>
  </w:style>
  <w:style w:type="character" w:customStyle="1" w:styleId="HeaderChar">
    <w:name w:val="Header Char"/>
    <w:basedOn w:val="DefaultParagraphFont"/>
    <w:link w:val="Header"/>
    <w:uiPriority w:val="99"/>
    <w:rsid w:val="00954CBE"/>
    <w:rPr>
      <w:color w:val="000000"/>
    </w:rPr>
  </w:style>
  <w:style w:type="paragraph" w:styleId="Footer">
    <w:name w:val="footer"/>
    <w:basedOn w:val="Normal"/>
    <w:link w:val="FooterChar"/>
    <w:uiPriority w:val="99"/>
    <w:unhideWhenUsed/>
    <w:rsid w:val="00954CBE"/>
    <w:pPr>
      <w:tabs>
        <w:tab w:val="center" w:pos="4513"/>
        <w:tab w:val="right" w:pos="9026"/>
      </w:tabs>
    </w:pPr>
  </w:style>
  <w:style w:type="character" w:customStyle="1" w:styleId="FooterChar">
    <w:name w:val="Footer Char"/>
    <w:basedOn w:val="DefaultParagraphFont"/>
    <w:link w:val="Footer"/>
    <w:uiPriority w:val="99"/>
    <w:rsid w:val="00954CBE"/>
    <w:rPr>
      <w:color w:val="000000"/>
    </w:rPr>
  </w:style>
  <w:style w:type="character" w:styleId="CommentReference">
    <w:name w:val="annotation reference"/>
    <w:basedOn w:val="DefaultParagraphFont"/>
    <w:uiPriority w:val="99"/>
    <w:semiHidden/>
    <w:unhideWhenUsed/>
    <w:rsid w:val="005C1715"/>
    <w:rPr>
      <w:sz w:val="16"/>
      <w:szCs w:val="16"/>
    </w:rPr>
  </w:style>
  <w:style w:type="paragraph" w:styleId="CommentText">
    <w:name w:val="annotation text"/>
    <w:basedOn w:val="Normal"/>
    <w:link w:val="CommentTextChar"/>
    <w:uiPriority w:val="99"/>
    <w:semiHidden/>
    <w:unhideWhenUsed/>
    <w:rsid w:val="005C1715"/>
    <w:rPr>
      <w:sz w:val="20"/>
      <w:szCs w:val="20"/>
    </w:rPr>
  </w:style>
  <w:style w:type="character" w:customStyle="1" w:styleId="CommentTextChar">
    <w:name w:val="Comment Text Char"/>
    <w:basedOn w:val="DefaultParagraphFont"/>
    <w:link w:val="CommentText"/>
    <w:uiPriority w:val="99"/>
    <w:semiHidden/>
    <w:rsid w:val="005C1715"/>
    <w:rPr>
      <w:color w:val="000000"/>
      <w:sz w:val="20"/>
      <w:szCs w:val="20"/>
    </w:rPr>
  </w:style>
  <w:style w:type="paragraph" w:styleId="CommentSubject">
    <w:name w:val="annotation subject"/>
    <w:basedOn w:val="CommentText"/>
    <w:next w:val="CommentText"/>
    <w:link w:val="CommentSubjectChar"/>
    <w:uiPriority w:val="99"/>
    <w:semiHidden/>
    <w:unhideWhenUsed/>
    <w:rsid w:val="005C1715"/>
    <w:rPr>
      <w:b/>
      <w:bCs/>
    </w:rPr>
  </w:style>
  <w:style w:type="character" w:customStyle="1" w:styleId="CommentSubjectChar">
    <w:name w:val="Comment Subject Char"/>
    <w:basedOn w:val="CommentTextChar"/>
    <w:link w:val="CommentSubject"/>
    <w:uiPriority w:val="99"/>
    <w:semiHidden/>
    <w:rsid w:val="005C1715"/>
    <w:rPr>
      <w:b/>
      <w:bCs/>
      <w:color w:val="000000"/>
      <w:sz w:val="20"/>
      <w:szCs w:val="20"/>
    </w:rPr>
  </w:style>
  <w:style w:type="paragraph" w:styleId="BalloonText">
    <w:name w:val="Balloon Text"/>
    <w:basedOn w:val="Normal"/>
    <w:link w:val="BalloonTextChar"/>
    <w:uiPriority w:val="99"/>
    <w:semiHidden/>
    <w:unhideWhenUsed/>
    <w:rsid w:val="005C1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715"/>
    <w:rPr>
      <w:rFonts w:ascii="Segoe UI" w:hAnsi="Segoe UI" w:cs="Segoe UI"/>
      <w:color w:val="000000"/>
      <w:sz w:val="18"/>
      <w:szCs w:val="18"/>
    </w:rPr>
  </w:style>
  <w:style w:type="paragraph" w:styleId="Revision">
    <w:name w:val="Revision"/>
    <w:hidden/>
    <w:uiPriority w:val="99"/>
    <w:semiHidden/>
    <w:rsid w:val="00C3269E"/>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9"/>
      <w:szCs w:val="19"/>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7"/>
      <w:szCs w:val="27"/>
      <w:u w:val="none"/>
    </w:rPr>
  </w:style>
  <w:style w:type="character" w:customStyle="1" w:styleId="Heading2">
    <w:name w:val="Heading #2_"/>
    <w:basedOn w:val="DefaultParagraphFont"/>
    <w:link w:val="Heading20"/>
    <w:rPr>
      <w:rFonts w:ascii="Arial" w:eastAsia="Arial" w:hAnsi="Arial" w:cs="Arial"/>
      <w:b/>
      <w:bCs/>
      <w:i w:val="0"/>
      <w:iCs w:val="0"/>
      <w:smallCaps w:val="0"/>
      <w:strike w:val="0"/>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Arial">
    <w:name w:val="Body text + Arial"/>
    <w:aliases w:val="12 pt,Bold"/>
    <w:basedOn w:val="Bodytext"/>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paragraph" w:customStyle="1" w:styleId="Footnote0">
    <w:name w:val="Footnote"/>
    <w:basedOn w:val="Normal"/>
    <w:link w:val="Footnote"/>
    <w:pPr>
      <w:spacing w:line="0" w:lineRule="atLeast"/>
      <w:ind w:hanging="300"/>
    </w:pPr>
    <w:rPr>
      <w:rFonts w:ascii="Times New Roman" w:eastAsia="Times New Roman" w:hAnsi="Times New Roman" w:cs="Times New Roman"/>
      <w:sz w:val="19"/>
      <w:szCs w:val="19"/>
    </w:rPr>
  </w:style>
  <w:style w:type="paragraph" w:customStyle="1" w:styleId="Bodytext20">
    <w:name w:val="Body text (2)"/>
    <w:basedOn w:val="Normal"/>
    <w:link w:val="Bodytext2"/>
    <w:pPr>
      <w:spacing w:line="173" w:lineRule="exact"/>
    </w:pPr>
    <w:rPr>
      <w:rFonts w:ascii="Times New Roman" w:eastAsia="Times New Roman" w:hAnsi="Times New Roman" w:cs="Times New Roman"/>
      <w:sz w:val="17"/>
      <w:szCs w:val="17"/>
    </w:rPr>
  </w:style>
  <w:style w:type="paragraph" w:customStyle="1" w:styleId="Heading10">
    <w:name w:val="Heading #1"/>
    <w:basedOn w:val="Normal"/>
    <w:link w:val="Heading1"/>
    <w:pPr>
      <w:spacing w:line="0" w:lineRule="atLeast"/>
      <w:jc w:val="center"/>
      <w:outlineLvl w:val="0"/>
    </w:pPr>
    <w:rPr>
      <w:rFonts w:ascii="Arial" w:eastAsia="Arial" w:hAnsi="Arial" w:cs="Arial"/>
      <w:b/>
      <w:bCs/>
      <w:sz w:val="27"/>
      <w:szCs w:val="27"/>
    </w:rPr>
  </w:style>
  <w:style w:type="paragraph" w:customStyle="1" w:styleId="Heading20">
    <w:name w:val="Heading #2"/>
    <w:basedOn w:val="Normal"/>
    <w:link w:val="Heading2"/>
    <w:pPr>
      <w:spacing w:line="0" w:lineRule="atLeast"/>
      <w:jc w:val="center"/>
      <w:outlineLvl w:val="1"/>
    </w:pPr>
    <w:rPr>
      <w:rFonts w:ascii="Arial" w:eastAsia="Arial" w:hAnsi="Arial" w:cs="Arial"/>
      <w:b/>
      <w:bCs/>
    </w:rPr>
  </w:style>
  <w:style w:type="paragraph" w:customStyle="1" w:styleId="BodyText1">
    <w:name w:val="Body Text1"/>
    <w:basedOn w:val="Normal"/>
    <w:link w:val="Bodytext"/>
    <w:pPr>
      <w:spacing w:line="0" w:lineRule="atLeast"/>
      <w:ind w:hanging="440"/>
      <w:jc w:val="center"/>
    </w:pPr>
    <w:rPr>
      <w:rFonts w:ascii="Times New Roman" w:eastAsia="Times New Roman" w:hAnsi="Times New Roman" w:cs="Times New Roman"/>
      <w:sz w:val="22"/>
      <w:szCs w:val="22"/>
    </w:rPr>
  </w:style>
  <w:style w:type="paragraph" w:styleId="EndnoteText">
    <w:name w:val="endnote text"/>
    <w:basedOn w:val="Normal"/>
    <w:link w:val="EndnoteTextChar"/>
    <w:uiPriority w:val="99"/>
    <w:semiHidden/>
    <w:unhideWhenUsed/>
    <w:rsid w:val="0012272E"/>
    <w:rPr>
      <w:sz w:val="20"/>
      <w:szCs w:val="20"/>
    </w:rPr>
  </w:style>
  <w:style w:type="character" w:customStyle="1" w:styleId="EndnoteTextChar">
    <w:name w:val="Endnote Text Char"/>
    <w:basedOn w:val="DefaultParagraphFont"/>
    <w:link w:val="EndnoteText"/>
    <w:uiPriority w:val="99"/>
    <w:semiHidden/>
    <w:rsid w:val="0012272E"/>
    <w:rPr>
      <w:color w:val="000000"/>
      <w:sz w:val="20"/>
      <w:szCs w:val="20"/>
    </w:rPr>
  </w:style>
  <w:style w:type="paragraph" w:styleId="FootnoteText">
    <w:name w:val="footnote text"/>
    <w:basedOn w:val="Normal"/>
    <w:link w:val="FootnoteTextChar"/>
    <w:uiPriority w:val="99"/>
    <w:semiHidden/>
    <w:unhideWhenUsed/>
    <w:rsid w:val="0012272E"/>
    <w:rPr>
      <w:sz w:val="20"/>
      <w:szCs w:val="20"/>
    </w:rPr>
  </w:style>
  <w:style w:type="character" w:customStyle="1" w:styleId="FootnoteTextChar">
    <w:name w:val="Footnote Text Char"/>
    <w:basedOn w:val="DefaultParagraphFont"/>
    <w:link w:val="FootnoteText"/>
    <w:uiPriority w:val="99"/>
    <w:semiHidden/>
    <w:rsid w:val="0012272E"/>
    <w:rPr>
      <w:color w:val="000000"/>
      <w:sz w:val="20"/>
      <w:szCs w:val="20"/>
    </w:rPr>
  </w:style>
  <w:style w:type="character" w:styleId="EndnoteReference">
    <w:name w:val="endnote reference"/>
    <w:basedOn w:val="DefaultParagraphFont"/>
    <w:uiPriority w:val="99"/>
    <w:semiHidden/>
    <w:unhideWhenUsed/>
    <w:rsid w:val="0012272E"/>
    <w:rPr>
      <w:vertAlign w:val="superscript"/>
    </w:rPr>
  </w:style>
  <w:style w:type="character" w:styleId="FootnoteReference">
    <w:name w:val="footnote reference"/>
    <w:basedOn w:val="DefaultParagraphFont"/>
    <w:uiPriority w:val="99"/>
    <w:semiHidden/>
    <w:unhideWhenUsed/>
    <w:rsid w:val="0012272E"/>
    <w:rPr>
      <w:vertAlign w:val="superscript"/>
    </w:rPr>
  </w:style>
  <w:style w:type="paragraph" w:styleId="Header">
    <w:name w:val="header"/>
    <w:basedOn w:val="Normal"/>
    <w:link w:val="HeaderChar"/>
    <w:uiPriority w:val="99"/>
    <w:unhideWhenUsed/>
    <w:rsid w:val="00954CBE"/>
    <w:pPr>
      <w:tabs>
        <w:tab w:val="center" w:pos="4513"/>
        <w:tab w:val="right" w:pos="9026"/>
      </w:tabs>
    </w:pPr>
  </w:style>
  <w:style w:type="character" w:customStyle="1" w:styleId="HeaderChar">
    <w:name w:val="Header Char"/>
    <w:basedOn w:val="DefaultParagraphFont"/>
    <w:link w:val="Header"/>
    <w:uiPriority w:val="99"/>
    <w:rsid w:val="00954CBE"/>
    <w:rPr>
      <w:color w:val="000000"/>
    </w:rPr>
  </w:style>
  <w:style w:type="paragraph" w:styleId="Footer">
    <w:name w:val="footer"/>
    <w:basedOn w:val="Normal"/>
    <w:link w:val="FooterChar"/>
    <w:uiPriority w:val="99"/>
    <w:unhideWhenUsed/>
    <w:rsid w:val="00954CBE"/>
    <w:pPr>
      <w:tabs>
        <w:tab w:val="center" w:pos="4513"/>
        <w:tab w:val="right" w:pos="9026"/>
      </w:tabs>
    </w:pPr>
  </w:style>
  <w:style w:type="character" w:customStyle="1" w:styleId="FooterChar">
    <w:name w:val="Footer Char"/>
    <w:basedOn w:val="DefaultParagraphFont"/>
    <w:link w:val="Footer"/>
    <w:uiPriority w:val="99"/>
    <w:rsid w:val="00954CBE"/>
    <w:rPr>
      <w:color w:val="000000"/>
    </w:rPr>
  </w:style>
  <w:style w:type="character" w:styleId="CommentReference">
    <w:name w:val="annotation reference"/>
    <w:basedOn w:val="DefaultParagraphFont"/>
    <w:uiPriority w:val="99"/>
    <w:semiHidden/>
    <w:unhideWhenUsed/>
    <w:rsid w:val="005C1715"/>
    <w:rPr>
      <w:sz w:val="16"/>
      <w:szCs w:val="16"/>
    </w:rPr>
  </w:style>
  <w:style w:type="paragraph" w:styleId="CommentText">
    <w:name w:val="annotation text"/>
    <w:basedOn w:val="Normal"/>
    <w:link w:val="CommentTextChar"/>
    <w:uiPriority w:val="99"/>
    <w:semiHidden/>
    <w:unhideWhenUsed/>
    <w:rsid w:val="005C1715"/>
    <w:rPr>
      <w:sz w:val="20"/>
      <w:szCs w:val="20"/>
    </w:rPr>
  </w:style>
  <w:style w:type="character" w:customStyle="1" w:styleId="CommentTextChar">
    <w:name w:val="Comment Text Char"/>
    <w:basedOn w:val="DefaultParagraphFont"/>
    <w:link w:val="CommentText"/>
    <w:uiPriority w:val="99"/>
    <w:semiHidden/>
    <w:rsid w:val="005C1715"/>
    <w:rPr>
      <w:color w:val="000000"/>
      <w:sz w:val="20"/>
      <w:szCs w:val="20"/>
    </w:rPr>
  </w:style>
  <w:style w:type="paragraph" w:styleId="CommentSubject">
    <w:name w:val="annotation subject"/>
    <w:basedOn w:val="CommentText"/>
    <w:next w:val="CommentText"/>
    <w:link w:val="CommentSubjectChar"/>
    <w:uiPriority w:val="99"/>
    <w:semiHidden/>
    <w:unhideWhenUsed/>
    <w:rsid w:val="005C1715"/>
    <w:rPr>
      <w:b/>
      <w:bCs/>
    </w:rPr>
  </w:style>
  <w:style w:type="character" w:customStyle="1" w:styleId="CommentSubjectChar">
    <w:name w:val="Comment Subject Char"/>
    <w:basedOn w:val="CommentTextChar"/>
    <w:link w:val="CommentSubject"/>
    <w:uiPriority w:val="99"/>
    <w:semiHidden/>
    <w:rsid w:val="005C1715"/>
    <w:rPr>
      <w:b/>
      <w:bCs/>
      <w:color w:val="000000"/>
      <w:sz w:val="20"/>
      <w:szCs w:val="20"/>
    </w:rPr>
  </w:style>
  <w:style w:type="paragraph" w:styleId="BalloonText">
    <w:name w:val="Balloon Text"/>
    <w:basedOn w:val="Normal"/>
    <w:link w:val="BalloonTextChar"/>
    <w:uiPriority w:val="99"/>
    <w:semiHidden/>
    <w:unhideWhenUsed/>
    <w:rsid w:val="005C1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715"/>
    <w:rPr>
      <w:rFonts w:ascii="Segoe UI" w:hAnsi="Segoe UI" w:cs="Segoe UI"/>
      <w:color w:val="000000"/>
      <w:sz w:val="18"/>
      <w:szCs w:val="18"/>
    </w:rPr>
  </w:style>
  <w:style w:type="paragraph" w:styleId="Revision">
    <w:name w:val="Revision"/>
    <w:hidden/>
    <w:uiPriority w:val="99"/>
    <w:semiHidden/>
    <w:rsid w:val="00C3269E"/>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dc:creator>
  <cp:lastModifiedBy>Harper, Michael</cp:lastModifiedBy>
  <cp:revision>3</cp:revision>
  <dcterms:created xsi:type="dcterms:W3CDTF">2018-09-17T04:03:00Z</dcterms:created>
  <dcterms:modified xsi:type="dcterms:W3CDTF">2019-06-18T04:34:00Z</dcterms:modified>
</cp:coreProperties>
</file>