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946C0" w14:textId="77777777" w:rsidR="00B1649A" w:rsidRDefault="0081050D" w:rsidP="00EE7422">
      <w:pPr>
        <w:pStyle w:val="BodyText1"/>
        <w:tabs>
          <w:tab w:val="left" w:pos="689"/>
        </w:tabs>
        <w:spacing w:line="240" w:lineRule="auto"/>
        <w:ind w:firstLine="0"/>
        <w:jc w:val="center"/>
        <w:rPr>
          <w:b/>
          <w:sz w:val="36"/>
          <w:szCs w:val="24"/>
        </w:rPr>
      </w:pPr>
      <w:bookmarkStart w:id="0" w:name="bookmark0"/>
      <w:r w:rsidRPr="00CF1A7C">
        <w:rPr>
          <w:b/>
          <w:sz w:val="36"/>
          <w:szCs w:val="24"/>
        </w:rPr>
        <w:t>PARLIAMENTARY PAPERS ACT 1974</w:t>
      </w:r>
      <w:bookmarkEnd w:id="0"/>
    </w:p>
    <w:p w14:paraId="32CBE56E" w14:textId="77777777" w:rsidR="00CF1A7C" w:rsidRPr="00CF1A7C" w:rsidRDefault="00CF1A7C" w:rsidP="00EE7422">
      <w:pPr>
        <w:pStyle w:val="BodyText1"/>
        <w:tabs>
          <w:tab w:val="left" w:pos="689"/>
        </w:tabs>
        <w:spacing w:line="240" w:lineRule="auto"/>
        <w:ind w:firstLine="0"/>
        <w:jc w:val="center"/>
        <w:rPr>
          <w:b/>
          <w:sz w:val="36"/>
          <w:szCs w:val="24"/>
        </w:rPr>
      </w:pPr>
    </w:p>
    <w:p w14:paraId="532D70D8" w14:textId="77777777" w:rsidR="00B1649A" w:rsidRDefault="0081050D" w:rsidP="00EE7422">
      <w:pPr>
        <w:pStyle w:val="BodyText1"/>
        <w:tabs>
          <w:tab w:val="left" w:pos="689"/>
        </w:tabs>
        <w:spacing w:line="240" w:lineRule="auto"/>
        <w:ind w:firstLine="0"/>
        <w:jc w:val="center"/>
        <w:rPr>
          <w:b/>
          <w:sz w:val="28"/>
          <w:szCs w:val="24"/>
        </w:rPr>
      </w:pPr>
      <w:bookmarkStart w:id="1" w:name="bookmark1"/>
      <w:r w:rsidRPr="00CF1A7C">
        <w:rPr>
          <w:b/>
          <w:sz w:val="28"/>
          <w:szCs w:val="24"/>
        </w:rPr>
        <w:t>No. 33 of 1974</w:t>
      </w:r>
      <w:bookmarkEnd w:id="1"/>
    </w:p>
    <w:p w14:paraId="114EFE0A" w14:textId="77777777" w:rsidR="00CF1A7C" w:rsidRPr="00CF1A7C" w:rsidRDefault="00CF1A7C" w:rsidP="00EE7422">
      <w:pPr>
        <w:pStyle w:val="BodyText1"/>
        <w:tabs>
          <w:tab w:val="left" w:pos="689"/>
        </w:tabs>
        <w:spacing w:line="240" w:lineRule="auto"/>
        <w:ind w:firstLine="0"/>
        <w:jc w:val="center"/>
        <w:rPr>
          <w:b/>
          <w:sz w:val="28"/>
          <w:szCs w:val="24"/>
        </w:rPr>
      </w:pPr>
    </w:p>
    <w:p w14:paraId="1E748ADE" w14:textId="77777777" w:rsidR="00B1649A" w:rsidRDefault="0081050D" w:rsidP="00CF1A7C">
      <w:pPr>
        <w:pStyle w:val="BodyText1"/>
        <w:spacing w:line="240" w:lineRule="auto"/>
        <w:ind w:firstLine="0"/>
        <w:jc w:val="center"/>
        <w:rPr>
          <w:sz w:val="24"/>
          <w:szCs w:val="24"/>
        </w:rPr>
      </w:pPr>
      <w:r w:rsidRPr="00D348C3">
        <w:rPr>
          <w:sz w:val="24"/>
          <w:szCs w:val="24"/>
        </w:rPr>
        <w:t xml:space="preserve">An Act to amend the </w:t>
      </w:r>
      <w:r w:rsidRPr="00D348C3">
        <w:rPr>
          <w:rStyle w:val="BodytextItalic"/>
          <w:sz w:val="24"/>
          <w:szCs w:val="24"/>
        </w:rPr>
        <w:t>Parliamentary Papers Act</w:t>
      </w:r>
      <w:r w:rsidRPr="00D348C3">
        <w:rPr>
          <w:sz w:val="24"/>
          <w:szCs w:val="24"/>
        </w:rPr>
        <w:t xml:space="preserve"> 1908-1963.</w:t>
      </w:r>
    </w:p>
    <w:p w14:paraId="78003A31" w14:textId="77777777" w:rsidR="00CF1A7C" w:rsidRPr="00D348C3" w:rsidRDefault="00CF1A7C" w:rsidP="00CF1A7C">
      <w:pPr>
        <w:pStyle w:val="BodyText1"/>
        <w:spacing w:line="240" w:lineRule="auto"/>
        <w:ind w:firstLine="0"/>
        <w:jc w:val="center"/>
        <w:rPr>
          <w:sz w:val="24"/>
          <w:szCs w:val="24"/>
        </w:rPr>
      </w:pPr>
    </w:p>
    <w:p w14:paraId="3BC557F2" w14:textId="77777777" w:rsidR="00B1649A" w:rsidRPr="00D348C3" w:rsidRDefault="0081050D" w:rsidP="00D348C3">
      <w:pPr>
        <w:pStyle w:val="BodyText1"/>
        <w:spacing w:line="240" w:lineRule="auto"/>
        <w:ind w:firstLine="0"/>
        <w:rPr>
          <w:sz w:val="24"/>
          <w:szCs w:val="24"/>
        </w:rPr>
      </w:pPr>
      <w:r w:rsidRPr="00D348C3">
        <w:rPr>
          <w:sz w:val="24"/>
          <w:szCs w:val="24"/>
        </w:rPr>
        <w:t>BE IT ENACTED by the Queen, the Senate and the House of Representatives of Australia, as follows:—</w:t>
      </w:r>
    </w:p>
    <w:p w14:paraId="1CCBB95B" w14:textId="77777777" w:rsidR="00B1649A" w:rsidRPr="00C20B36" w:rsidRDefault="0081050D" w:rsidP="00C20B36">
      <w:pPr>
        <w:pStyle w:val="Bodytext20"/>
        <w:spacing w:before="120" w:after="60" w:line="240" w:lineRule="auto"/>
        <w:jc w:val="left"/>
        <w:rPr>
          <w:b/>
          <w:sz w:val="20"/>
          <w:szCs w:val="24"/>
        </w:rPr>
      </w:pPr>
      <w:r w:rsidRPr="00C20B36">
        <w:rPr>
          <w:rStyle w:val="Bodytext21"/>
          <w:b/>
          <w:sz w:val="20"/>
          <w:szCs w:val="24"/>
        </w:rPr>
        <w:t>Short title and citation.</w:t>
      </w:r>
    </w:p>
    <w:p w14:paraId="4E9294C0" w14:textId="38E75AB3" w:rsidR="00B1649A" w:rsidRPr="00D348C3" w:rsidRDefault="00CF1A7C" w:rsidP="00C20B36">
      <w:pPr>
        <w:pStyle w:val="BodyText1"/>
        <w:spacing w:after="60" w:line="240" w:lineRule="auto"/>
        <w:ind w:firstLine="270"/>
        <w:rPr>
          <w:sz w:val="24"/>
          <w:szCs w:val="24"/>
        </w:rPr>
      </w:pPr>
      <w:r w:rsidRPr="00CF1A7C">
        <w:rPr>
          <w:b/>
          <w:sz w:val="24"/>
          <w:szCs w:val="24"/>
        </w:rPr>
        <w:t>1.</w:t>
      </w:r>
      <w:r w:rsidR="00990072">
        <w:rPr>
          <w:b/>
          <w:sz w:val="24"/>
          <w:szCs w:val="24"/>
        </w:rPr>
        <w:t xml:space="preserve"> </w:t>
      </w:r>
      <w:r w:rsidR="0081050D" w:rsidRPr="00D348C3">
        <w:rPr>
          <w:sz w:val="24"/>
          <w:szCs w:val="24"/>
        </w:rPr>
        <w:t xml:space="preserve">(1) This Act may be cited as the </w:t>
      </w:r>
      <w:r w:rsidR="0081050D" w:rsidRPr="00D348C3">
        <w:rPr>
          <w:rStyle w:val="BodytextItalic"/>
          <w:sz w:val="24"/>
          <w:szCs w:val="24"/>
        </w:rPr>
        <w:t>Parliamentary Papers Act</w:t>
      </w:r>
      <w:r w:rsidR="0081050D" w:rsidRPr="00D348C3">
        <w:rPr>
          <w:sz w:val="24"/>
          <w:szCs w:val="24"/>
        </w:rPr>
        <w:t xml:space="preserve"> 1974.</w:t>
      </w:r>
    </w:p>
    <w:p w14:paraId="68616888" w14:textId="6206C603" w:rsidR="00B1649A" w:rsidRPr="00D348C3" w:rsidRDefault="00CF1A7C" w:rsidP="00C20B36">
      <w:pPr>
        <w:pStyle w:val="BodyText1"/>
        <w:spacing w:after="60"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>(2)</w:t>
      </w:r>
      <w:r w:rsidR="00990072">
        <w:rPr>
          <w:sz w:val="24"/>
          <w:szCs w:val="24"/>
        </w:rPr>
        <w:t xml:space="preserve"> </w:t>
      </w:r>
      <w:r w:rsidR="0081050D" w:rsidRPr="00D348C3">
        <w:rPr>
          <w:sz w:val="24"/>
          <w:szCs w:val="24"/>
        </w:rPr>
        <w:t xml:space="preserve">The </w:t>
      </w:r>
      <w:r w:rsidR="0081050D" w:rsidRPr="00D348C3">
        <w:rPr>
          <w:rStyle w:val="BodytextItalic"/>
          <w:sz w:val="24"/>
          <w:szCs w:val="24"/>
        </w:rPr>
        <w:t>Parliamentary Papers Act</w:t>
      </w:r>
      <w:r w:rsidR="0081050D" w:rsidRPr="00D348C3">
        <w:rPr>
          <w:sz w:val="24"/>
          <w:szCs w:val="24"/>
        </w:rPr>
        <w:t xml:space="preserve"> 1908-1963 is in this Act referred to as the Principal Act.</w:t>
      </w:r>
    </w:p>
    <w:p w14:paraId="7BF420FD" w14:textId="77777777" w:rsidR="00B1649A" w:rsidRPr="00D348C3" w:rsidRDefault="00CF1A7C" w:rsidP="00C20B36">
      <w:pPr>
        <w:pStyle w:val="BodyText1"/>
        <w:spacing w:after="60"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81050D" w:rsidRPr="00D348C3">
        <w:rPr>
          <w:sz w:val="24"/>
          <w:szCs w:val="24"/>
        </w:rPr>
        <w:t xml:space="preserve">The Principal Act, as amended by this Act, may be cited as the </w:t>
      </w:r>
      <w:r w:rsidR="0081050D" w:rsidRPr="00D348C3">
        <w:rPr>
          <w:rStyle w:val="BodytextItalic"/>
          <w:sz w:val="24"/>
          <w:szCs w:val="24"/>
        </w:rPr>
        <w:t>Parliamentary Papers Act</w:t>
      </w:r>
      <w:r w:rsidR="0081050D" w:rsidRPr="00D348C3">
        <w:rPr>
          <w:sz w:val="24"/>
          <w:szCs w:val="24"/>
        </w:rPr>
        <w:t xml:space="preserve"> 1908-1974.</w:t>
      </w:r>
    </w:p>
    <w:p w14:paraId="5FA28637" w14:textId="6A6869A3" w:rsidR="00B1649A" w:rsidRPr="00C20B36" w:rsidRDefault="0081050D" w:rsidP="00C20B36">
      <w:pPr>
        <w:pStyle w:val="Bodytext20"/>
        <w:spacing w:before="120" w:after="60" w:line="240" w:lineRule="auto"/>
        <w:jc w:val="left"/>
        <w:rPr>
          <w:b/>
          <w:sz w:val="20"/>
          <w:szCs w:val="24"/>
        </w:rPr>
      </w:pPr>
      <w:r w:rsidRPr="00C20B36">
        <w:rPr>
          <w:b/>
          <w:sz w:val="20"/>
          <w:szCs w:val="24"/>
        </w:rPr>
        <w:t>Commencement.</w:t>
      </w:r>
    </w:p>
    <w:p w14:paraId="7903D301" w14:textId="662EC61B" w:rsidR="00B1649A" w:rsidRPr="00D348C3" w:rsidRDefault="00CF1A7C" w:rsidP="00C20B36">
      <w:pPr>
        <w:pStyle w:val="BodyText1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CF1A7C">
        <w:rPr>
          <w:b/>
          <w:sz w:val="24"/>
          <w:szCs w:val="24"/>
        </w:rPr>
        <w:t>2.</w:t>
      </w:r>
      <w:r w:rsidR="00C20B36">
        <w:rPr>
          <w:b/>
          <w:sz w:val="24"/>
          <w:szCs w:val="24"/>
        </w:rPr>
        <w:tab/>
      </w:r>
      <w:r w:rsidR="0081050D" w:rsidRPr="00D348C3">
        <w:rPr>
          <w:sz w:val="24"/>
          <w:szCs w:val="24"/>
        </w:rPr>
        <w:t>This Act shall come into operation on the day on which it receives the Royal Assent.</w:t>
      </w:r>
    </w:p>
    <w:p w14:paraId="22C2C434" w14:textId="79CA3E61" w:rsidR="00B1649A" w:rsidRPr="00D348C3" w:rsidRDefault="00CF1A7C" w:rsidP="00C20B36">
      <w:pPr>
        <w:pStyle w:val="BodyText1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CF1A7C">
        <w:rPr>
          <w:b/>
          <w:sz w:val="24"/>
          <w:szCs w:val="24"/>
        </w:rPr>
        <w:t>3.</w:t>
      </w:r>
      <w:r w:rsidR="00C20B36">
        <w:rPr>
          <w:b/>
          <w:sz w:val="24"/>
          <w:szCs w:val="24"/>
        </w:rPr>
        <w:tab/>
      </w:r>
      <w:r w:rsidR="0081050D" w:rsidRPr="00C20B36">
        <w:rPr>
          <w:sz w:val="24"/>
          <w:szCs w:val="24"/>
        </w:rPr>
        <w:t>Section</w:t>
      </w:r>
      <w:r w:rsidR="00C94C59">
        <w:rPr>
          <w:sz w:val="24"/>
          <w:szCs w:val="24"/>
        </w:rPr>
        <w:t xml:space="preserve"> 1</w:t>
      </w:r>
      <w:r w:rsidR="00990072">
        <w:rPr>
          <w:smallCaps/>
          <w:sz w:val="24"/>
          <w:szCs w:val="24"/>
        </w:rPr>
        <w:t>a</w:t>
      </w:r>
      <w:r w:rsidR="0081050D" w:rsidRPr="00D348C3">
        <w:rPr>
          <w:sz w:val="24"/>
          <w:szCs w:val="24"/>
        </w:rPr>
        <w:t xml:space="preserve"> of the Principal Act is</w:t>
      </w:r>
      <w:r w:rsidR="00C94C59">
        <w:rPr>
          <w:sz w:val="24"/>
          <w:szCs w:val="24"/>
        </w:rPr>
        <w:t xml:space="preserve"> repealed and the following sec</w:t>
      </w:r>
      <w:r w:rsidR="0081050D" w:rsidRPr="00D348C3">
        <w:rPr>
          <w:sz w:val="24"/>
          <w:szCs w:val="24"/>
        </w:rPr>
        <w:t>tion substituted:—</w:t>
      </w:r>
    </w:p>
    <w:p w14:paraId="3CF5E175" w14:textId="77777777" w:rsidR="00990072" w:rsidRDefault="00990072" w:rsidP="00CF1A7C">
      <w:pPr>
        <w:pStyle w:val="BodyText1"/>
        <w:spacing w:after="60" w:line="240" w:lineRule="auto"/>
        <w:ind w:firstLine="270"/>
        <w:rPr>
          <w:b/>
          <w:sz w:val="20"/>
          <w:szCs w:val="24"/>
        </w:rPr>
      </w:pPr>
      <w:r w:rsidRPr="00C20B36">
        <w:rPr>
          <w:b/>
          <w:sz w:val="20"/>
          <w:szCs w:val="24"/>
        </w:rPr>
        <w:t>Definitions.</w:t>
      </w:r>
    </w:p>
    <w:p w14:paraId="24EDB5AA" w14:textId="635F35B5" w:rsidR="00B1649A" w:rsidRPr="00D348C3" w:rsidRDefault="00990072" w:rsidP="00CF1A7C">
      <w:pPr>
        <w:pStyle w:val="BodyText1"/>
        <w:spacing w:after="60"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>“1</w:t>
      </w:r>
      <w:r>
        <w:rPr>
          <w:smallCaps/>
          <w:sz w:val="24"/>
          <w:szCs w:val="24"/>
        </w:rPr>
        <w:t>a</w:t>
      </w:r>
      <w:r w:rsidR="0081050D" w:rsidRPr="00D348C3">
        <w:rPr>
          <w:sz w:val="24"/>
          <w:szCs w:val="24"/>
        </w:rPr>
        <w:t>. In this Act—</w:t>
      </w:r>
    </w:p>
    <w:p w14:paraId="4E5F0C21" w14:textId="77777777" w:rsidR="00B1649A" w:rsidRPr="00D348C3" w:rsidRDefault="0081050D" w:rsidP="00C20B36">
      <w:pPr>
        <w:pStyle w:val="BodyText1"/>
        <w:spacing w:after="60" w:line="240" w:lineRule="auto"/>
        <w:ind w:left="360" w:firstLine="0"/>
        <w:rPr>
          <w:sz w:val="24"/>
          <w:szCs w:val="24"/>
        </w:rPr>
      </w:pPr>
      <w:r w:rsidRPr="00D348C3">
        <w:rPr>
          <w:sz w:val="24"/>
          <w:szCs w:val="24"/>
        </w:rPr>
        <w:t>‘Committee’ means a Committee of either House or of both Houses of the Parliament;</w:t>
      </w:r>
    </w:p>
    <w:p w14:paraId="2F6131DE" w14:textId="1B5DDBEC" w:rsidR="00B1649A" w:rsidRPr="00D348C3" w:rsidRDefault="0081050D" w:rsidP="00C20B36">
      <w:pPr>
        <w:pStyle w:val="BodyText1"/>
        <w:spacing w:after="60" w:line="240" w:lineRule="auto"/>
        <w:ind w:left="360" w:firstLine="0"/>
        <w:rPr>
          <w:sz w:val="24"/>
          <w:szCs w:val="24"/>
        </w:rPr>
      </w:pPr>
      <w:r w:rsidRPr="00D348C3">
        <w:rPr>
          <w:sz w:val="24"/>
          <w:szCs w:val="24"/>
        </w:rPr>
        <w:t>‘joint sitting’ means a joint sitting of the members of the Senate and of the House of Representatives convened by the G</w:t>
      </w:r>
      <w:r w:rsidR="00990072">
        <w:rPr>
          <w:sz w:val="24"/>
          <w:szCs w:val="24"/>
        </w:rPr>
        <w:t>overnor-</w:t>
      </w:r>
      <w:r w:rsidRPr="00D348C3">
        <w:rPr>
          <w:sz w:val="24"/>
          <w:szCs w:val="24"/>
        </w:rPr>
        <w:t>General</w:t>
      </w:r>
      <w:r w:rsidR="00990072">
        <w:rPr>
          <w:sz w:val="24"/>
          <w:szCs w:val="24"/>
        </w:rPr>
        <w:t xml:space="preserve"> </w:t>
      </w:r>
      <w:r w:rsidRPr="00D348C3">
        <w:rPr>
          <w:sz w:val="24"/>
          <w:szCs w:val="24"/>
        </w:rPr>
        <w:t>in pursuance of section 57 of the Constitution. ”.</w:t>
      </w:r>
    </w:p>
    <w:p w14:paraId="3EC2F05C" w14:textId="77777777" w:rsidR="00B1649A" w:rsidRPr="00C20B36" w:rsidRDefault="00EE7422" w:rsidP="00C20B36">
      <w:pPr>
        <w:pStyle w:val="Bodytext20"/>
        <w:spacing w:before="120" w:after="60" w:line="240" w:lineRule="auto"/>
        <w:jc w:val="left"/>
        <w:rPr>
          <w:b/>
          <w:sz w:val="20"/>
          <w:szCs w:val="24"/>
        </w:rPr>
      </w:pPr>
      <w:r w:rsidRPr="00C20B36">
        <w:rPr>
          <w:b/>
          <w:sz w:val="20"/>
          <w:szCs w:val="24"/>
        </w:rPr>
        <w:t xml:space="preserve">Publication </w:t>
      </w:r>
      <w:r w:rsidR="00CF1A7C" w:rsidRPr="00C20B36">
        <w:rPr>
          <w:b/>
          <w:sz w:val="20"/>
          <w:szCs w:val="24"/>
        </w:rPr>
        <w:t>o</w:t>
      </w:r>
      <w:r w:rsidRPr="00C20B36">
        <w:rPr>
          <w:b/>
          <w:sz w:val="20"/>
          <w:szCs w:val="24"/>
        </w:rPr>
        <w:t>f Parlia</w:t>
      </w:r>
      <w:r w:rsidR="0081050D" w:rsidRPr="00C20B36">
        <w:rPr>
          <w:b/>
          <w:sz w:val="20"/>
          <w:szCs w:val="24"/>
        </w:rPr>
        <w:t>mentary Papers.</w:t>
      </w:r>
    </w:p>
    <w:p w14:paraId="578BC3AD" w14:textId="7ACAAC45" w:rsidR="00B1649A" w:rsidRPr="00C20B36" w:rsidRDefault="00C20B36" w:rsidP="00C20B36">
      <w:pPr>
        <w:pStyle w:val="BodyText1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C20B36">
        <w:rPr>
          <w:b/>
          <w:sz w:val="24"/>
          <w:szCs w:val="24"/>
        </w:rPr>
        <w:t>4.</w:t>
      </w:r>
      <w:r>
        <w:rPr>
          <w:sz w:val="24"/>
          <w:szCs w:val="24"/>
        </w:rPr>
        <w:tab/>
      </w:r>
      <w:r w:rsidR="0081050D" w:rsidRPr="00D348C3">
        <w:rPr>
          <w:sz w:val="24"/>
          <w:szCs w:val="24"/>
        </w:rPr>
        <w:t xml:space="preserve">Section 2 of the Principal Act </w:t>
      </w:r>
      <w:r w:rsidR="00C94C59">
        <w:rPr>
          <w:sz w:val="24"/>
          <w:szCs w:val="24"/>
        </w:rPr>
        <w:t>is amended by omitting from sub</w:t>
      </w:r>
      <w:r w:rsidR="0081050D" w:rsidRPr="00D348C3">
        <w:rPr>
          <w:sz w:val="24"/>
          <w:szCs w:val="24"/>
        </w:rPr>
        <w:t>section (1) the words “either the Se</w:t>
      </w:r>
      <w:r w:rsidR="00C94C59">
        <w:rPr>
          <w:sz w:val="24"/>
          <w:szCs w:val="24"/>
        </w:rPr>
        <w:t>nate or the House of Representa</w:t>
      </w:r>
      <w:r w:rsidR="0081050D" w:rsidRPr="00D348C3">
        <w:rPr>
          <w:sz w:val="24"/>
          <w:szCs w:val="24"/>
        </w:rPr>
        <w:t xml:space="preserve">tives” and substituting the words “the </w:t>
      </w:r>
      <w:r w:rsidR="00C94C59">
        <w:rPr>
          <w:sz w:val="24"/>
          <w:szCs w:val="24"/>
        </w:rPr>
        <w:t>Senate, the House of Representa</w:t>
      </w:r>
      <w:r w:rsidR="0081050D" w:rsidRPr="00D348C3">
        <w:rPr>
          <w:sz w:val="24"/>
          <w:szCs w:val="24"/>
        </w:rPr>
        <w:t>tives or a joint sitting”.</w:t>
      </w:r>
    </w:p>
    <w:p w14:paraId="27DE9DEA" w14:textId="77777777" w:rsidR="00C20B36" w:rsidRPr="00C20B36" w:rsidRDefault="00C20B36" w:rsidP="00C20B36">
      <w:pPr>
        <w:pStyle w:val="Bodytext20"/>
        <w:spacing w:before="120" w:after="60" w:line="240" w:lineRule="auto"/>
        <w:jc w:val="left"/>
        <w:rPr>
          <w:b/>
          <w:sz w:val="20"/>
          <w:szCs w:val="24"/>
        </w:rPr>
      </w:pPr>
      <w:r w:rsidRPr="00C20B36">
        <w:rPr>
          <w:b/>
          <w:sz w:val="20"/>
          <w:szCs w:val="24"/>
        </w:rPr>
        <w:t>Authority to Government Printer to publish.</w:t>
      </w:r>
    </w:p>
    <w:p w14:paraId="225CDA39" w14:textId="77777777" w:rsidR="00B1649A" w:rsidRPr="00D348C3" w:rsidRDefault="00C20B36" w:rsidP="00C20B36">
      <w:pPr>
        <w:pStyle w:val="BodyText1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C20B36">
        <w:rPr>
          <w:b/>
          <w:sz w:val="24"/>
          <w:szCs w:val="24"/>
        </w:rPr>
        <w:t>5.</w:t>
      </w:r>
      <w:r>
        <w:rPr>
          <w:sz w:val="24"/>
          <w:szCs w:val="24"/>
        </w:rPr>
        <w:tab/>
      </w:r>
      <w:r w:rsidR="0081050D" w:rsidRPr="00D348C3">
        <w:rPr>
          <w:sz w:val="24"/>
          <w:szCs w:val="24"/>
        </w:rPr>
        <w:t>Section 3 of the Principal Act is amended by adding at the end thereof the following sub-sections:—</w:t>
      </w:r>
    </w:p>
    <w:p w14:paraId="5F2C89BB" w14:textId="77777777" w:rsidR="00B1649A" w:rsidRPr="00D348C3" w:rsidRDefault="0081050D" w:rsidP="00C20B36">
      <w:pPr>
        <w:pStyle w:val="BodyText1"/>
        <w:spacing w:after="60" w:line="240" w:lineRule="auto"/>
        <w:ind w:firstLine="270"/>
        <w:rPr>
          <w:sz w:val="24"/>
          <w:szCs w:val="24"/>
        </w:rPr>
      </w:pPr>
      <w:r w:rsidRPr="00D348C3">
        <w:rPr>
          <w:sz w:val="24"/>
          <w:szCs w:val="24"/>
        </w:rPr>
        <w:t>“(3) Where a joint sitting orders a document or evidence to be printed, the joint sitting shall be deemed, unless the contrary intention appears in the order, to have authorize</w:t>
      </w:r>
      <w:r w:rsidR="00DF293C">
        <w:rPr>
          <w:sz w:val="24"/>
          <w:szCs w:val="24"/>
        </w:rPr>
        <w:t>d the Government Printer to pub</w:t>
      </w:r>
      <w:r w:rsidRPr="00D348C3">
        <w:rPr>
          <w:sz w:val="24"/>
          <w:szCs w:val="24"/>
        </w:rPr>
        <w:t>lish the document or evidence.</w:t>
      </w:r>
    </w:p>
    <w:p w14:paraId="4AACC0A5" w14:textId="2B72F9CA" w:rsidR="00B1649A" w:rsidRPr="00D348C3" w:rsidRDefault="0081050D" w:rsidP="00C20B36">
      <w:pPr>
        <w:pStyle w:val="BodyText1"/>
        <w:spacing w:after="60" w:line="240" w:lineRule="auto"/>
        <w:ind w:firstLine="270"/>
        <w:rPr>
          <w:sz w:val="24"/>
          <w:szCs w:val="24"/>
        </w:rPr>
      </w:pPr>
      <w:r w:rsidRPr="00D348C3">
        <w:rPr>
          <w:sz w:val="24"/>
          <w:szCs w:val="24"/>
        </w:rPr>
        <w:t>“(4) A joint sitting shall be deemed to have authorized the Govern</w:t>
      </w:r>
      <w:bookmarkStart w:id="2" w:name="_GoBack"/>
      <w:bookmarkEnd w:id="2"/>
      <w:r w:rsidRPr="00D348C3">
        <w:rPr>
          <w:sz w:val="24"/>
          <w:szCs w:val="24"/>
        </w:rPr>
        <w:t>ment Printer to publish the reports of the debates and pr</w:t>
      </w:r>
      <w:r w:rsidR="00C94C59">
        <w:rPr>
          <w:sz w:val="24"/>
          <w:szCs w:val="24"/>
        </w:rPr>
        <w:t>oceedings of the joint sitting.</w:t>
      </w:r>
      <w:r w:rsidRPr="00D348C3">
        <w:rPr>
          <w:sz w:val="24"/>
          <w:szCs w:val="24"/>
        </w:rPr>
        <w:t>”.</w:t>
      </w:r>
    </w:p>
    <w:p w14:paraId="7913F9A9" w14:textId="77777777" w:rsidR="00B1649A" w:rsidRPr="00D348C3" w:rsidRDefault="00C20B36" w:rsidP="00C20B36">
      <w:pPr>
        <w:pStyle w:val="BodyText1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C20B36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090A1B">
        <w:rPr>
          <w:sz w:val="24"/>
          <w:szCs w:val="24"/>
        </w:rPr>
        <w:t>S</w:t>
      </w:r>
      <w:r w:rsidR="0081050D" w:rsidRPr="00D348C3">
        <w:rPr>
          <w:sz w:val="24"/>
          <w:szCs w:val="24"/>
        </w:rPr>
        <w:t xml:space="preserve">ection 4 or the </w:t>
      </w:r>
      <w:r>
        <w:rPr>
          <w:sz w:val="24"/>
          <w:szCs w:val="24"/>
        </w:rPr>
        <w:t>P</w:t>
      </w:r>
      <w:r w:rsidR="0081050D" w:rsidRPr="00D348C3">
        <w:rPr>
          <w:sz w:val="24"/>
          <w:szCs w:val="24"/>
        </w:rPr>
        <w:t>r</w:t>
      </w:r>
      <w:r>
        <w:rPr>
          <w:sz w:val="24"/>
          <w:szCs w:val="24"/>
        </w:rPr>
        <w:t>incipal</w:t>
      </w:r>
      <w:r w:rsidR="0081050D" w:rsidRPr="00D348C3">
        <w:rPr>
          <w:sz w:val="24"/>
          <w:szCs w:val="24"/>
        </w:rPr>
        <w:t xml:space="preserve"> Act is amended—</w:t>
      </w:r>
    </w:p>
    <w:p w14:paraId="0E5DAEE6" w14:textId="77777777" w:rsidR="00B1649A" w:rsidRPr="00C20B36" w:rsidRDefault="0081050D" w:rsidP="00C20B36">
      <w:pPr>
        <w:pStyle w:val="Bodytext20"/>
        <w:spacing w:before="120" w:after="60" w:line="240" w:lineRule="auto"/>
        <w:jc w:val="left"/>
        <w:rPr>
          <w:b/>
          <w:sz w:val="20"/>
          <w:szCs w:val="24"/>
        </w:rPr>
      </w:pPr>
      <w:r w:rsidRPr="00C20B36">
        <w:rPr>
          <w:b/>
          <w:sz w:val="20"/>
        </w:rPr>
        <w:t xml:space="preserve">No </w:t>
      </w:r>
      <w:r w:rsidR="00C20B36">
        <w:rPr>
          <w:b/>
          <w:sz w:val="20"/>
        </w:rPr>
        <w:t>action for publishing Parliamen</w:t>
      </w:r>
      <w:r w:rsidRPr="00C20B36">
        <w:rPr>
          <w:b/>
          <w:sz w:val="20"/>
        </w:rPr>
        <w:t>tary Papers.</w:t>
      </w:r>
    </w:p>
    <w:p w14:paraId="3B0B739D" w14:textId="77777777" w:rsidR="00B1649A" w:rsidRPr="00D348C3" w:rsidRDefault="00C20B36" w:rsidP="00C20B36">
      <w:pPr>
        <w:pStyle w:val="BodyText1"/>
        <w:spacing w:after="60" w:line="240" w:lineRule="auto"/>
        <w:ind w:left="630" w:hanging="360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81050D" w:rsidRPr="00D348C3">
        <w:rPr>
          <w:sz w:val="24"/>
          <w:szCs w:val="24"/>
        </w:rPr>
        <w:t>by omitting from sub-section (1) the words “section two of this Act” and substituting the words “section 2 or deemed by section 3 to have been given”;</w:t>
      </w:r>
    </w:p>
    <w:p w14:paraId="415F2181" w14:textId="77777777" w:rsidR="00B1649A" w:rsidRPr="00D348C3" w:rsidRDefault="00C20B36" w:rsidP="00C20B36">
      <w:pPr>
        <w:pStyle w:val="BodyText1"/>
        <w:spacing w:after="60" w:line="240" w:lineRule="auto"/>
        <w:ind w:left="630" w:hanging="360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81050D" w:rsidRPr="00D348C3">
        <w:rPr>
          <w:sz w:val="24"/>
          <w:szCs w:val="24"/>
        </w:rPr>
        <w:t>by omitting from sub-section (2) the words “section two of this Act” and substituting the words “section 2 or deemed by section 3 to have been given”; and</w:t>
      </w:r>
    </w:p>
    <w:p w14:paraId="79953909" w14:textId="3096B5F4" w:rsidR="00C20B36" w:rsidRDefault="00C20B36" w:rsidP="00C20B36">
      <w:pPr>
        <w:pStyle w:val="BodyText1"/>
        <w:spacing w:after="60" w:line="240" w:lineRule="auto"/>
        <w:ind w:left="630" w:hanging="360"/>
        <w:rPr>
          <w:sz w:val="24"/>
          <w:szCs w:val="24"/>
        </w:rPr>
      </w:pPr>
      <w:r>
        <w:rPr>
          <w:sz w:val="24"/>
          <w:szCs w:val="24"/>
        </w:rPr>
        <w:t xml:space="preserve">(c) </w:t>
      </w:r>
      <w:r w:rsidR="0081050D" w:rsidRPr="00D348C3">
        <w:rPr>
          <w:sz w:val="24"/>
          <w:szCs w:val="24"/>
        </w:rPr>
        <w:t>by inserting in sub-section (2), after the words “as the case requires,”, the words “or, in the case of a document or evidence published under an authority given or deemed to have been given by a joint sitting, a certificate under the hand of the person who presided at the joint sitting, the Clerk of the Senate or the Clerk of the House of Representatives</w:t>
      </w:r>
      <w:r w:rsidR="00990072">
        <w:rPr>
          <w:sz w:val="24"/>
          <w:szCs w:val="24"/>
        </w:rPr>
        <w:t>.”.</w:t>
      </w:r>
      <w:r>
        <w:rPr>
          <w:sz w:val="24"/>
          <w:szCs w:val="24"/>
        </w:rPr>
        <w:t xml:space="preserve"> ___________________________________________________________________________</w:t>
      </w:r>
    </w:p>
    <w:p w14:paraId="00A77A4A" w14:textId="75859F01" w:rsidR="00B1649A" w:rsidRPr="00D348C3" w:rsidRDefault="00B1649A" w:rsidP="00C94C59">
      <w:pPr>
        <w:pStyle w:val="Bodytext30"/>
        <w:tabs>
          <w:tab w:val="left" w:pos="630"/>
        </w:tabs>
        <w:spacing w:after="60" w:line="240" w:lineRule="auto"/>
        <w:ind w:firstLine="270"/>
        <w:jc w:val="left"/>
        <w:rPr>
          <w:sz w:val="24"/>
          <w:szCs w:val="24"/>
        </w:rPr>
      </w:pPr>
    </w:p>
    <w:sectPr w:rsidR="00B1649A" w:rsidRPr="00D348C3" w:rsidSect="001B009A">
      <w:headerReference w:type="even" r:id="rId8"/>
      <w:type w:val="continuous"/>
      <w:pgSz w:w="11909" w:h="18000"/>
      <w:pgMar w:top="1080" w:right="1080" w:bottom="1080" w:left="108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F8A3CB" w15:done="0"/>
  <w15:commentEx w15:paraId="4B3BE7DE" w15:done="0"/>
  <w15:commentEx w15:paraId="6CC1918B" w15:done="0"/>
  <w15:commentEx w15:paraId="66350455" w15:done="0"/>
  <w15:commentEx w15:paraId="772338D6" w15:done="0"/>
  <w15:commentEx w15:paraId="36F20B8F" w15:done="0"/>
  <w15:commentEx w15:paraId="662BF75F" w15:done="0"/>
  <w15:commentEx w15:paraId="57DEE8C5" w15:done="0"/>
  <w15:commentEx w15:paraId="08E7AFE4" w15:done="0"/>
  <w15:commentEx w15:paraId="53FB8ECA" w15:done="0"/>
  <w15:commentEx w15:paraId="539AC39A" w15:done="0"/>
  <w15:commentEx w15:paraId="689ACEC2" w15:done="0"/>
  <w15:commentEx w15:paraId="058968A3" w15:done="0"/>
  <w15:commentEx w15:paraId="03AC07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F8A3CB" w16cid:durableId="1F4738C4"/>
  <w16cid:commentId w16cid:paraId="4B3BE7DE" w16cid:durableId="1F4738CB"/>
  <w16cid:commentId w16cid:paraId="6CC1918B" w16cid:durableId="1F4738D8"/>
  <w16cid:commentId w16cid:paraId="66350455" w16cid:durableId="1F4738FE"/>
  <w16cid:commentId w16cid:paraId="772338D6" w16cid:durableId="1F473906"/>
  <w16cid:commentId w16cid:paraId="36F20B8F" w16cid:durableId="1F473918"/>
  <w16cid:commentId w16cid:paraId="662BF75F" w16cid:durableId="1F47392B"/>
  <w16cid:commentId w16cid:paraId="57DEE8C5" w16cid:durableId="1F47394C"/>
  <w16cid:commentId w16cid:paraId="08E7AFE4" w16cid:durableId="1F47395D"/>
  <w16cid:commentId w16cid:paraId="53FB8ECA" w16cid:durableId="1F473955"/>
  <w16cid:commentId w16cid:paraId="539AC39A" w16cid:durableId="1F47396C"/>
  <w16cid:commentId w16cid:paraId="689ACEC2" w16cid:durableId="1F473973"/>
  <w16cid:commentId w16cid:paraId="058968A3" w16cid:durableId="1F47397A"/>
  <w16cid:commentId w16cid:paraId="03AC075B" w16cid:durableId="1F4739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811CC" w14:textId="77777777" w:rsidR="00C92979" w:rsidRDefault="00C92979">
      <w:r>
        <w:separator/>
      </w:r>
    </w:p>
  </w:endnote>
  <w:endnote w:type="continuationSeparator" w:id="0">
    <w:p w14:paraId="2EE1ABD2" w14:textId="77777777" w:rsidR="00C92979" w:rsidRDefault="00C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1271E" w14:textId="77777777" w:rsidR="00C92979" w:rsidRDefault="00C92979">
      <w:r>
        <w:separator/>
      </w:r>
    </w:p>
  </w:footnote>
  <w:footnote w:type="continuationSeparator" w:id="0">
    <w:p w14:paraId="3F23529C" w14:textId="77777777" w:rsidR="00C92979" w:rsidRDefault="00C9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1D4D" w14:textId="77777777" w:rsidR="001B009A" w:rsidRPr="001B009A" w:rsidRDefault="001B009A" w:rsidP="001B009A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1B009A">
      <w:rPr>
        <w:rFonts w:ascii="Times New Roman" w:hAnsi="Times New Roman" w:cs="Times New Roman"/>
        <w:sz w:val="22"/>
        <w:szCs w:val="22"/>
        <w:lang w:val="en-IN"/>
      </w:rPr>
      <w:t>No. 33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1B009A">
      <w:rPr>
        <w:rFonts w:ascii="Times New Roman" w:hAnsi="Times New Roman" w:cs="Times New Roman"/>
        <w:i/>
        <w:sz w:val="22"/>
        <w:szCs w:val="22"/>
        <w:lang w:val="en-IN"/>
      </w:rPr>
      <w:t>Parliamentary Papers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1B009A">
      <w:rPr>
        <w:rFonts w:ascii="Times New Roman" w:hAnsi="Times New Roman" w:cs="Times New Roman"/>
        <w:sz w:val="22"/>
        <w:szCs w:val="22"/>
        <w:lang w:val="en-IN"/>
      </w:rPr>
      <w:t>1974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109"/>
    <w:multiLevelType w:val="multilevel"/>
    <w:tmpl w:val="C10433C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A3C39"/>
    <w:multiLevelType w:val="multilevel"/>
    <w:tmpl w:val="45009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B3AF8"/>
    <w:multiLevelType w:val="multilevel"/>
    <w:tmpl w:val="1DAEF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D536CF"/>
    <w:multiLevelType w:val="multilevel"/>
    <w:tmpl w:val="B8505EB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649A"/>
    <w:rsid w:val="00090A1B"/>
    <w:rsid w:val="001B009A"/>
    <w:rsid w:val="006F3B9D"/>
    <w:rsid w:val="00756AF8"/>
    <w:rsid w:val="0081050D"/>
    <w:rsid w:val="008A1E30"/>
    <w:rsid w:val="00990072"/>
    <w:rsid w:val="00B1649A"/>
    <w:rsid w:val="00B728ED"/>
    <w:rsid w:val="00C20B36"/>
    <w:rsid w:val="00C92979"/>
    <w:rsid w:val="00C94C59"/>
    <w:rsid w:val="00CF1A7C"/>
    <w:rsid w:val="00D348C3"/>
    <w:rsid w:val="00DF293C"/>
    <w:rsid w:val="00E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4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11pt">
    <w:name w:val="Body text + 11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1">
    <w:name w:val="Body Text1"/>
    <w:basedOn w:val="Normal"/>
    <w:link w:val="Bodytext"/>
    <w:pPr>
      <w:spacing w:line="0" w:lineRule="atLeas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1B0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09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0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09A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56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AF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AF8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F8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90072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2018-09-14T21:55:00Z</dcterms:created>
  <dcterms:modified xsi:type="dcterms:W3CDTF">2019-06-13T02:59:00Z</dcterms:modified>
</cp:coreProperties>
</file>