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86E9D" w14:textId="77777777" w:rsidR="002C77A0" w:rsidRPr="002C77A0" w:rsidRDefault="005A2A46" w:rsidP="00966BF8">
      <w:pPr>
        <w:pStyle w:val="BodyText1"/>
        <w:spacing w:line="240" w:lineRule="auto"/>
        <w:jc w:val="center"/>
        <w:rPr>
          <w:b/>
          <w:sz w:val="36"/>
          <w:szCs w:val="36"/>
        </w:rPr>
      </w:pPr>
      <w:bookmarkStart w:id="0" w:name="bookmark0"/>
      <w:r w:rsidRPr="002C77A0">
        <w:rPr>
          <w:b/>
          <w:sz w:val="36"/>
          <w:szCs w:val="36"/>
        </w:rPr>
        <w:t>REPATRIATION ACT (No. 2) 1974</w:t>
      </w:r>
    </w:p>
    <w:p w14:paraId="1AA83948" w14:textId="77777777" w:rsidR="002C77A0" w:rsidRPr="002C77A0" w:rsidRDefault="002C77A0" w:rsidP="00966BF8">
      <w:pPr>
        <w:pStyle w:val="BodyText1"/>
        <w:spacing w:line="240" w:lineRule="auto"/>
        <w:jc w:val="center"/>
        <w:rPr>
          <w:sz w:val="36"/>
          <w:szCs w:val="36"/>
        </w:rPr>
      </w:pPr>
    </w:p>
    <w:p w14:paraId="42AA3421" w14:textId="69241A9C" w:rsidR="00C35F45" w:rsidRPr="0047114E" w:rsidRDefault="005A2A46" w:rsidP="00966BF8">
      <w:pPr>
        <w:pStyle w:val="BodyText1"/>
        <w:spacing w:line="240" w:lineRule="auto"/>
        <w:jc w:val="center"/>
        <w:rPr>
          <w:b/>
          <w:sz w:val="28"/>
          <w:szCs w:val="28"/>
        </w:rPr>
      </w:pPr>
      <w:r w:rsidRPr="0047114E">
        <w:rPr>
          <w:b/>
          <w:sz w:val="28"/>
          <w:szCs w:val="28"/>
        </w:rPr>
        <w:t>No. 24 of 1974</w:t>
      </w:r>
      <w:bookmarkEnd w:id="0"/>
    </w:p>
    <w:p w14:paraId="63362DE1" w14:textId="77777777" w:rsidR="002C77A0" w:rsidRPr="002C77A0" w:rsidRDefault="002C77A0" w:rsidP="00966BF8">
      <w:pPr>
        <w:pStyle w:val="BodyText1"/>
        <w:spacing w:line="240" w:lineRule="auto"/>
        <w:jc w:val="center"/>
        <w:rPr>
          <w:sz w:val="28"/>
          <w:szCs w:val="28"/>
        </w:rPr>
      </w:pPr>
    </w:p>
    <w:p w14:paraId="308B0CD2" w14:textId="77777777" w:rsidR="002C77A0" w:rsidRDefault="001247A3" w:rsidP="001247A3">
      <w:pPr>
        <w:widowControl/>
        <w:autoSpaceDE w:val="0"/>
        <w:autoSpaceDN w:val="0"/>
        <w:adjustRightInd w:val="0"/>
        <w:jc w:val="both"/>
      </w:pPr>
      <w:r>
        <w:rPr>
          <w:rFonts w:ascii="Times New Roman" w:hAnsi="Times New Roman" w:cs="Times New Roman"/>
          <w:color w:val="auto"/>
        </w:rPr>
        <w:t xml:space="preserve">An Act to amend the </w:t>
      </w:r>
      <w:r>
        <w:rPr>
          <w:rFonts w:ascii="Times New Roman" w:hAnsi="Times New Roman" w:cs="Times New Roman"/>
          <w:i/>
          <w:iCs/>
          <w:color w:val="auto"/>
        </w:rPr>
        <w:t xml:space="preserve">Repatriation Act </w:t>
      </w:r>
      <w:r>
        <w:rPr>
          <w:rFonts w:ascii="Times New Roman" w:hAnsi="Times New Roman" w:cs="Times New Roman"/>
          <w:color w:val="auto"/>
        </w:rPr>
        <w:t xml:space="preserve">1920-1973, as amended by the </w:t>
      </w:r>
      <w:r>
        <w:rPr>
          <w:rFonts w:ascii="Times New Roman" w:hAnsi="Times New Roman" w:cs="Times New Roman"/>
          <w:i/>
          <w:iCs/>
          <w:color w:val="auto"/>
        </w:rPr>
        <w:t xml:space="preserve">Repatriation Act </w:t>
      </w:r>
      <w:r>
        <w:rPr>
          <w:rFonts w:ascii="Times New Roman" w:hAnsi="Times New Roman" w:cs="Times New Roman"/>
          <w:color w:val="auto"/>
        </w:rPr>
        <w:t>1974, and to appropriate the Consolidated Revenue Fund for the purpose of certain payments resulting from those amendments.</w:t>
      </w:r>
    </w:p>
    <w:p w14:paraId="6177A655" w14:textId="77777777" w:rsidR="002C77A0" w:rsidRPr="002C77A0" w:rsidRDefault="002C77A0" w:rsidP="00966BF8">
      <w:pPr>
        <w:pStyle w:val="BodyText1"/>
        <w:spacing w:line="240" w:lineRule="auto"/>
        <w:jc w:val="center"/>
        <w:rPr>
          <w:sz w:val="24"/>
          <w:szCs w:val="24"/>
        </w:rPr>
      </w:pPr>
    </w:p>
    <w:p w14:paraId="4635071C" w14:textId="77777777" w:rsidR="00C35F45" w:rsidRPr="002C77A0" w:rsidRDefault="005A2A46" w:rsidP="001247A3">
      <w:pPr>
        <w:pStyle w:val="BodyText1"/>
        <w:spacing w:line="240" w:lineRule="auto"/>
        <w:rPr>
          <w:sz w:val="24"/>
          <w:szCs w:val="24"/>
        </w:rPr>
      </w:pPr>
      <w:r w:rsidRPr="002C77A0">
        <w:rPr>
          <w:sz w:val="24"/>
          <w:szCs w:val="24"/>
        </w:rPr>
        <w:t>BE IT ENACTED by the Queen, the Senate and the House of Representatives of Australia, as follows:—</w:t>
      </w:r>
    </w:p>
    <w:p w14:paraId="7B5E9D27" w14:textId="77777777" w:rsidR="00C35F45" w:rsidRPr="002C77A0" w:rsidRDefault="005A2A46" w:rsidP="001247A3">
      <w:pPr>
        <w:pStyle w:val="Bodytext30"/>
        <w:spacing w:before="120" w:after="60" w:line="240" w:lineRule="auto"/>
        <w:rPr>
          <w:b/>
          <w:sz w:val="20"/>
          <w:szCs w:val="20"/>
        </w:rPr>
      </w:pPr>
      <w:r w:rsidRPr="002C77A0">
        <w:rPr>
          <w:b/>
          <w:sz w:val="20"/>
          <w:szCs w:val="20"/>
        </w:rPr>
        <w:t>Short title and citation.</w:t>
      </w:r>
    </w:p>
    <w:p w14:paraId="77BFD527" w14:textId="6BD477E5" w:rsidR="00C35F45" w:rsidRPr="002C77A0" w:rsidRDefault="002C77A0" w:rsidP="001247A3">
      <w:pPr>
        <w:pStyle w:val="Bodytext20"/>
        <w:spacing w:after="120" w:line="240" w:lineRule="auto"/>
        <w:ind w:firstLine="274"/>
        <w:rPr>
          <w:sz w:val="24"/>
          <w:szCs w:val="24"/>
        </w:rPr>
      </w:pPr>
      <w:r w:rsidRPr="002C77A0">
        <w:rPr>
          <w:rStyle w:val="Bodytext2NotItalic"/>
          <w:b/>
          <w:sz w:val="24"/>
          <w:szCs w:val="24"/>
        </w:rPr>
        <w:t>1.</w:t>
      </w:r>
      <w:r w:rsidR="0052197E">
        <w:rPr>
          <w:rStyle w:val="Bodytext2NotItalic"/>
          <w:b/>
          <w:sz w:val="24"/>
          <w:szCs w:val="24"/>
        </w:rPr>
        <w:t xml:space="preserve"> </w:t>
      </w:r>
      <w:r w:rsidR="005A2A46" w:rsidRPr="002C77A0">
        <w:rPr>
          <w:rStyle w:val="Bodytext2NotItalic"/>
          <w:sz w:val="24"/>
          <w:szCs w:val="24"/>
        </w:rPr>
        <w:t xml:space="preserve">(1) </w:t>
      </w:r>
      <w:r w:rsidR="005A2A46" w:rsidRPr="00524DAA">
        <w:rPr>
          <w:i w:val="0"/>
          <w:sz w:val="24"/>
          <w:szCs w:val="24"/>
        </w:rPr>
        <w:t>This Act may be cited as the</w:t>
      </w:r>
      <w:r w:rsidR="005A2A46" w:rsidRPr="002C77A0">
        <w:rPr>
          <w:sz w:val="24"/>
          <w:szCs w:val="24"/>
        </w:rPr>
        <w:t xml:space="preserve"> Repatriation Act </w:t>
      </w:r>
      <w:r w:rsidR="005A2A46" w:rsidRPr="0052197E">
        <w:rPr>
          <w:i w:val="0"/>
          <w:sz w:val="24"/>
          <w:szCs w:val="24"/>
        </w:rPr>
        <w:t>(</w:t>
      </w:r>
      <w:r w:rsidR="005A2A46" w:rsidRPr="002C77A0">
        <w:rPr>
          <w:sz w:val="24"/>
          <w:szCs w:val="24"/>
        </w:rPr>
        <w:t xml:space="preserve">No. </w:t>
      </w:r>
      <w:r w:rsidR="005A2A46" w:rsidRPr="0047114E">
        <w:rPr>
          <w:i w:val="0"/>
          <w:sz w:val="24"/>
          <w:szCs w:val="24"/>
        </w:rPr>
        <w:t>2</w:t>
      </w:r>
      <w:r w:rsidR="005A2A46" w:rsidRPr="0052197E">
        <w:rPr>
          <w:i w:val="0"/>
          <w:sz w:val="24"/>
          <w:szCs w:val="24"/>
        </w:rPr>
        <w:t>)</w:t>
      </w:r>
      <w:r w:rsidR="005A2A46" w:rsidRPr="002C77A0">
        <w:rPr>
          <w:sz w:val="24"/>
          <w:szCs w:val="24"/>
        </w:rPr>
        <w:t xml:space="preserve"> </w:t>
      </w:r>
      <w:r w:rsidR="00D26CEF">
        <w:rPr>
          <w:i w:val="0"/>
          <w:sz w:val="24"/>
          <w:szCs w:val="24"/>
        </w:rPr>
        <w:t>1974.</w:t>
      </w:r>
    </w:p>
    <w:p w14:paraId="15614044" w14:textId="3C4A0396" w:rsidR="00C35F45" w:rsidRPr="002C77A0" w:rsidRDefault="00966BF8" w:rsidP="001247A3">
      <w:pPr>
        <w:pStyle w:val="BodyText1"/>
        <w:spacing w:after="60" w:line="240" w:lineRule="auto"/>
        <w:ind w:firstLine="274"/>
        <w:rPr>
          <w:sz w:val="24"/>
          <w:szCs w:val="24"/>
        </w:rPr>
      </w:pPr>
      <w:r>
        <w:rPr>
          <w:sz w:val="24"/>
          <w:szCs w:val="24"/>
        </w:rPr>
        <w:t xml:space="preserve">(2) </w:t>
      </w:r>
      <w:r w:rsidR="005A2A46" w:rsidRPr="002C77A0">
        <w:rPr>
          <w:sz w:val="24"/>
          <w:szCs w:val="24"/>
        </w:rPr>
        <w:t xml:space="preserve">The </w:t>
      </w:r>
      <w:r w:rsidR="005A2A46" w:rsidRPr="002C77A0">
        <w:rPr>
          <w:rStyle w:val="BodytextItalic"/>
          <w:sz w:val="24"/>
          <w:szCs w:val="24"/>
        </w:rPr>
        <w:t>Repatriation Act</w:t>
      </w:r>
      <w:r w:rsidR="0052197E">
        <w:rPr>
          <w:sz w:val="24"/>
          <w:szCs w:val="24"/>
        </w:rPr>
        <w:t xml:space="preserve"> 1920-1973</w:t>
      </w:r>
      <w:r w:rsidR="005A2A46" w:rsidRPr="002C77A0">
        <w:rPr>
          <w:sz w:val="24"/>
          <w:szCs w:val="24"/>
        </w:rPr>
        <w:t xml:space="preserve"> as amended by the </w:t>
      </w:r>
      <w:r w:rsidR="005A2A46" w:rsidRPr="002C77A0">
        <w:rPr>
          <w:rStyle w:val="BodytextItalic"/>
          <w:sz w:val="24"/>
          <w:szCs w:val="24"/>
        </w:rPr>
        <w:t>Repatriation Act</w:t>
      </w:r>
      <w:r w:rsidR="0052197E">
        <w:rPr>
          <w:sz w:val="24"/>
          <w:szCs w:val="24"/>
        </w:rPr>
        <w:t xml:space="preserve"> 1974</w:t>
      </w:r>
      <w:r w:rsidR="005A2A46" w:rsidRPr="002C77A0">
        <w:rPr>
          <w:sz w:val="24"/>
          <w:szCs w:val="24"/>
        </w:rPr>
        <w:t xml:space="preserve"> is in this Act referred to as the Principal Act.</w:t>
      </w:r>
    </w:p>
    <w:p w14:paraId="4EEB375C" w14:textId="77777777" w:rsidR="00C35F45" w:rsidRPr="002C77A0" w:rsidRDefault="002C77A0" w:rsidP="001247A3">
      <w:pPr>
        <w:pStyle w:val="BodyText1"/>
        <w:spacing w:after="120" w:line="240" w:lineRule="auto"/>
        <w:ind w:firstLine="274"/>
        <w:rPr>
          <w:sz w:val="24"/>
          <w:szCs w:val="24"/>
        </w:rPr>
      </w:pPr>
      <w:r>
        <w:rPr>
          <w:sz w:val="24"/>
          <w:szCs w:val="24"/>
        </w:rPr>
        <w:t xml:space="preserve">(3) </w:t>
      </w:r>
      <w:r w:rsidR="005A2A46" w:rsidRPr="002C77A0">
        <w:rPr>
          <w:sz w:val="24"/>
          <w:szCs w:val="24"/>
        </w:rPr>
        <w:t xml:space="preserve">Section 1 of the </w:t>
      </w:r>
      <w:r w:rsidR="005A2A46" w:rsidRPr="002C77A0">
        <w:rPr>
          <w:rStyle w:val="BodytextItalic"/>
          <w:sz w:val="24"/>
          <w:szCs w:val="24"/>
        </w:rPr>
        <w:t>Repatriation Act</w:t>
      </w:r>
      <w:r w:rsidR="005A2A46" w:rsidRPr="002C77A0">
        <w:rPr>
          <w:sz w:val="24"/>
          <w:szCs w:val="24"/>
        </w:rPr>
        <w:t xml:space="preserve"> 1974 is amended by omitting sub-section (3).</w:t>
      </w:r>
    </w:p>
    <w:p w14:paraId="30B7A947" w14:textId="77777777" w:rsidR="00C35F45" w:rsidRPr="002C77A0" w:rsidRDefault="002C77A0" w:rsidP="001247A3">
      <w:pPr>
        <w:pStyle w:val="BodyText1"/>
        <w:spacing w:line="240" w:lineRule="auto"/>
        <w:ind w:firstLine="270"/>
        <w:rPr>
          <w:sz w:val="24"/>
          <w:szCs w:val="24"/>
        </w:rPr>
      </w:pPr>
      <w:r>
        <w:rPr>
          <w:sz w:val="24"/>
          <w:szCs w:val="24"/>
        </w:rPr>
        <w:t xml:space="preserve">(4) </w:t>
      </w:r>
      <w:r w:rsidR="005A2A46" w:rsidRPr="002C77A0">
        <w:rPr>
          <w:sz w:val="24"/>
          <w:szCs w:val="24"/>
        </w:rPr>
        <w:t xml:space="preserve">The Principal Act, as amended by this Act, may be cited as the </w:t>
      </w:r>
      <w:r w:rsidR="005A2A46" w:rsidRPr="002C77A0">
        <w:rPr>
          <w:rStyle w:val="BodytextItalic"/>
          <w:sz w:val="24"/>
          <w:szCs w:val="24"/>
        </w:rPr>
        <w:t>Repatriation Act</w:t>
      </w:r>
      <w:r w:rsidR="005A2A46" w:rsidRPr="002C77A0">
        <w:rPr>
          <w:sz w:val="24"/>
          <w:szCs w:val="24"/>
        </w:rPr>
        <w:t xml:space="preserve"> 1920-1974.</w:t>
      </w:r>
    </w:p>
    <w:p w14:paraId="10E5CF01" w14:textId="77777777" w:rsidR="006A4693" w:rsidRPr="006A4693" w:rsidRDefault="006A4693" w:rsidP="001247A3">
      <w:pPr>
        <w:pStyle w:val="Bodytext30"/>
        <w:spacing w:before="120" w:after="60" w:line="240" w:lineRule="auto"/>
        <w:rPr>
          <w:b/>
          <w:sz w:val="20"/>
          <w:szCs w:val="20"/>
        </w:rPr>
      </w:pPr>
      <w:r w:rsidRPr="006A4693">
        <w:rPr>
          <w:b/>
          <w:sz w:val="20"/>
          <w:szCs w:val="20"/>
        </w:rPr>
        <w:t>Commencement.</w:t>
      </w:r>
    </w:p>
    <w:p w14:paraId="5B431468" w14:textId="7E786555" w:rsidR="00C35F45" w:rsidRPr="006A4693" w:rsidRDefault="006A4693" w:rsidP="001247A3">
      <w:pPr>
        <w:pStyle w:val="Bodytext20"/>
        <w:tabs>
          <w:tab w:val="left" w:pos="630"/>
        </w:tabs>
        <w:spacing w:line="240" w:lineRule="auto"/>
        <w:ind w:firstLine="274"/>
        <w:rPr>
          <w:i w:val="0"/>
          <w:sz w:val="24"/>
          <w:szCs w:val="24"/>
        </w:rPr>
      </w:pPr>
      <w:r w:rsidRPr="006A4693">
        <w:rPr>
          <w:b/>
          <w:i w:val="0"/>
          <w:sz w:val="24"/>
          <w:szCs w:val="24"/>
        </w:rPr>
        <w:t>2</w:t>
      </w:r>
      <w:r w:rsidR="001452D7">
        <w:rPr>
          <w:b/>
          <w:i w:val="0"/>
          <w:sz w:val="24"/>
          <w:szCs w:val="24"/>
        </w:rPr>
        <w:t>.</w:t>
      </w:r>
      <w:r>
        <w:rPr>
          <w:sz w:val="24"/>
          <w:szCs w:val="24"/>
        </w:rPr>
        <w:tab/>
      </w:r>
      <w:r w:rsidR="005A2A46" w:rsidRPr="006A4693">
        <w:rPr>
          <w:i w:val="0"/>
          <w:sz w:val="24"/>
          <w:szCs w:val="24"/>
        </w:rPr>
        <w:t>This Act shall come into operation on the day on which it receives the Royal Assent.</w:t>
      </w:r>
    </w:p>
    <w:p w14:paraId="3772B8B7" w14:textId="77777777" w:rsidR="006A4693" w:rsidRPr="006A4693" w:rsidRDefault="006A4693" w:rsidP="001247A3">
      <w:pPr>
        <w:pStyle w:val="Bodytext30"/>
        <w:spacing w:before="120" w:after="60" w:line="240" w:lineRule="auto"/>
        <w:rPr>
          <w:b/>
          <w:sz w:val="20"/>
          <w:szCs w:val="20"/>
        </w:rPr>
      </w:pPr>
      <w:r w:rsidRPr="006A4693">
        <w:rPr>
          <w:b/>
          <w:sz w:val="20"/>
          <w:szCs w:val="20"/>
        </w:rPr>
        <w:t>Transitional benefit for the aged blind</w:t>
      </w:r>
    </w:p>
    <w:p w14:paraId="472523A4" w14:textId="7AE652E6" w:rsidR="00C35F45" w:rsidRPr="006A4693" w:rsidRDefault="006A4693" w:rsidP="001247A3">
      <w:pPr>
        <w:pStyle w:val="Bodytext20"/>
        <w:tabs>
          <w:tab w:val="left" w:pos="630"/>
        </w:tabs>
        <w:spacing w:line="240" w:lineRule="auto"/>
        <w:ind w:firstLine="274"/>
        <w:rPr>
          <w:i w:val="0"/>
          <w:sz w:val="24"/>
          <w:szCs w:val="24"/>
        </w:rPr>
      </w:pPr>
      <w:r w:rsidRPr="006A4693">
        <w:rPr>
          <w:b/>
          <w:i w:val="0"/>
          <w:sz w:val="24"/>
          <w:szCs w:val="24"/>
        </w:rPr>
        <w:t>3.</w:t>
      </w:r>
      <w:r w:rsidRPr="006A4693">
        <w:rPr>
          <w:i w:val="0"/>
          <w:sz w:val="24"/>
          <w:szCs w:val="24"/>
        </w:rPr>
        <w:tab/>
      </w:r>
      <w:r w:rsidR="005A2A46" w:rsidRPr="006A4693">
        <w:rPr>
          <w:i w:val="0"/>
          <w:sz w:val="24"/>
          <w:szCs w:val="24"/>
        </w:rPr>
        <w:t>Section 98</w:t>
      </w:r>
      <w:r w:rsidR="0052197E">
        <w:rPr>
          <w:i w:val="0"/>
          <w:smallCaps/>
          <w:sz w:val="24"/>
          <w:szCs w:val="24"/>
        </w:rPr>
        <w:t>aaa</w:t>
      </w:r>
      <w:r w:rsidR="005A2A46" w:rsidRPr="006A4693">
        <w:rPr>
          <w:i w:val="0"/>
          <w:sz w:val="24"/>
          <w:szCs w:val="24"/>
        </w:rPr>
        <w:t xml:space="preserve"> of the Principal Act is amended by omitting from sub-section (2) the words “One hundred and fifty-six dollars” and substituting the figures “$78”.</w:t>
      </w:r>
    </w:p>
    <w:p w14:paraId="76D51847" w14:textId="77777777" w:rsidR="006A4693" w:rsidRPr="006A4693" w:rsidRDefault="006A4693" w:rsidP="001247A3">
      <w:pPr>
        <w:pStyle w:val="Bodytext30"/>
        <w:spacing w:before="120" w:after="60" w:line="240" w:lineRule="auto"/>
        <w:rPr>
          <w:b/>
          <w:sz w:val="20"/>
          <w:szCs w:val="20"/>
        </w:rPr>
      </w:pPr>
      <w:r w:rsidRPr="006A4693">
        <w:rPr>
          <w:b/>
          <w:sz w:val="20"/>
          <w:szCs w:val="20"/>
        </w:rPr>
        <w:t>Schedule 1.</w:t>
      </w:r>
    </w:p>
    <w:p w14:paraId="6811437E" w14:textId="54F33A9B" w:rsidR="00C35F45" w:rsidRPr="002C77A0" w:rsidRDefault="006A4693" w:rsidP="001247A3">
      <w:pPr>
        <w:pStyle w:val="BodyText1"/>
        <w:tabs>
          <w:tab w:val="left" w:pos="630"/>
        </w:tabs>
        <w:spacing w:line="240" w:lineRule="auto"/>
        <w:ind w:firstLine="274"/>
        <w:rPr>
          <w:sz w:val="24"/>
          <w:szCs w:val="24"/>
        </w:rPr>
      </w:pPr>
      <w:r w:rsidRPr="006A4693">
        <w:rPr>
          <w:b/>
          <w:sz w:val="24"/>
          <w:szCs w:val="24"/>
        </w:rPr>
        <w:t>4</w:t>
      </w:r>
      <w:r w:rsidR="001452D7">
        <w:rPr>
          <w:b/>
          <w:sz w:val="24"/>
          <w:szCs w:val="24"/>
        </w:rPr>
        <w:t>.</w:t>
      </w:r>
      <w:r>
        <w:rPr>
          <w:sz w:val="24"/>
          <w:szCs w:val="24"/>
        </w:rPr>
        <w:tab/>
      </w:r>
      <w:r w:rsidR="005A2A46" w:rsidRPr="002C77A0">
        <w:rPr>
          <w:sz w:val="24"/>
          <w:szCs w:val="24"/>
        </w:rPr>
        <w:t>Schedule 1 to the Principal Act is amended by omitting from column 2 of the table the figures “52</w:t>
      </w:r>
      <w:r w:rsidR="0047114E">
        <w:rPr>
          <w:sz w:val="24"/>
          <w:szCs w:val="24"/>
        </w:rPr>
        <w:t xml:space="preserve">” </w:t>
      </w:r>
      <w:r w:rsidR="005A2A46" w:rsidRPr="002C77A0">
        <w:rPr>
          <w:sz w:val="24"/>
          <w:szCs w:val="24"/>
        </w:rPr>
        <w:t>and s</w:t>
      </w:r>
      <w:r>
        <w:rPr>
          <w:sz w:val="24"/>
          <w:szCs w:val="24"/>
        </w:rPr>
        <w:t>ubstituting the figures “62”</w:t>
      </w:r>
      <w:r w:rsidR="0047114E">
        <w:rPr>
          <w:sz w:val="24"/>
          <w:szCs w:val="24"/>
        </w:rPr>
        <w:t>.</w:t>
      </w:r>
    </w:p>
    <w:p w14:paraId="79572198" w14:textId="77777777" w:rsidR="006A4693" w:rsidRPr="006A4693" w:rsidRDefault="006A4693" w:rsidP="001247A3">
      <w:pPr>
        <w:pStyle w:val="Bodytext30"/>
        <w:spacing w:before="120" w:after="60" w:line="240" w:lineRule="auto"/>
        <w:rPr>
          <w:b/>
          <w:sz w:val="20"/>
          <w:szCs w:val="20"/>
        </w:rPr>
      </w:pPr>
      <w:r w:rsidRPr="006A4693">
        <w:rPr>
          <w:b/>
          <w:sz w:val="20"/>
          <w:szCs w:val="20"/>
        </w:rPr>
        <w:t>Application of certain amendments</w:t>
      </w:r>
    </w:p>
    <w:p w14:paraId="1EB0C8D8" w14:textId="77777777" w:rsidR="00C35F45" w:rsidRDefault="006A4693" w:rsidP="001247A3">
      <w:pPr>
        <w:pStyle w:val="BodyText1"/>
        <w:tabs>
          <w:tab w:val="left" w:pos="630"/>
        </w:tabs>
        <w:spacing w:line="240" w:lineRule="auto"/>
        <w:ind w:firstLine="274"/>
        <w:rPr>
          <w:sz w:val="24"/>
          <w:szCs w:val="24"/>
        </w:rPr>
      </w:pPr>
      <w:r w:rsidRPr="006A4693">
        <w:rPr>
          <w:b/>
          <w:sz w:val="24"/>
          <w:szCs w:val="24"/>
        </w:rPr>
        <w:t>5</w:t>
      </w:r>
      <w:r w:rsidR="001452D7">
        <w:rPr>
          <w:b/>
          <w:sz w:val="24"/>
          <w:szCs w:val="24"/>
        </w:rPr>
        <w:t>.</w:t>
      </w:r>
      <w:r>
        <w:rPr>
          <w:sz w:val="24"/>
          <w:szCs w:val="24"/>
        </w:rPr>
        <w:tab/>
      </w:r>
      <w:r w:rsidR="005A2A46" w:rsidRPr="002C77A0">
        <w:rPr>
          <w:sz w:val="24"/>
          <w:szCs w:val="24"/>
        </w:rPr>
        <w:t>In so far as an amendment made by this Act affects instalments of pensions or allowances, the amendment a</w:t>
      </w:r>
      <w:r>
        <w:rPr>
          <w:sz w:val="24"/>
          <w:szCs w:val="24"/>
        </w:rPr>
        <w:t>pplies in relation to an instal</w:t>
      </w:r>
      <w:r w:rsidR="005A2A46" w:rsidRPr="002C77A0">
        <w:rPr>
          <w:sz w:val="24"/>
          <w:szCs w:val="24"/>
        </w:rPr>
        <w:t>ment of a pension or of an allowance falling due on the day on which this Act receives the Royal Assent, if that day is a pension pay-day, or, if it is not, on the first pension pay-day after that day, and to all subsequent instalments.</w:t>
      </w:r>
    </w:p>
    <w:p w14:paraId="7F15CD6C" w14:textId="77777777" w:rsidR="006A4693" w:rsidRPr="006A4693" w:rsidRDefault="006A4693" w:rsidP="001247A3">
      <w:pPr>
        <w:pStyle w:val="Bodytext30"/>
        <w:spacing w:before="120" w:after="60" w:line="240" w:lineRule="auto"/>
        <w:rPr>
          <w:b/>
          <w:sz w:val="20"/>
          <w:szCs w:val="20"/>
        </w:rPr>
      </w:pPr>
      <w:r w:rsidRPr="006A4693">
        <w:rPr>
          <w:b/>
          <w:sz w:val="20"/>
          <w:szCs w:val="20"/>
        </w:rPr>
        <w:t xml:space="preserve">Appropriation. </w:t>
      </w:r>
    </w:p>
    <w:p w14:paraId="0276A8F7" w14:textId="3EB1BE61" w:rsidR="00C35F45" w:rsidRPr="002C77A0" w:rsidRDefault="00966BF8" w:rsidP="001247A3">
      <w:pPr>
        <w:pStyle w:val="BodyText1"/>
        <w:spacing w:after="120" w:line="240" w:lineRule="auto"/>
        <w:ind w:firstLine="274"/>
        <w:rPr>
          <w:sz w:val="24"/>
          <w:szCs w:val="24"/>
        </w:rPr>
      </w:pPr>
      <w:r>
        <w:rPr>
          <w:b/>
          <w:sz w:val="24"/>
          <w:szCs w:val="24"/>
        </w:rPr>
        <w:t xml:space="preserve">6. </w:t>
      </w:r>
      <w:r>
        <w:rPr>
          <w:sz w:val="24"/>
          <w:szCs w:val="24"/>
        </w:rPr>
        <w:t>(1)</w:t>
      </w:r>
      <w:r w:rsidR="0047114E">
        <w:rPr>
          <w:sz w:val="24"/>
          <w:szCs w:val="24"/>
        </w:rPr>
        <w:t xml:space="preserve"> </w:t>
      </w:r>
      <w:r w:rsidR="005A2A46" w:rsidRPr="002C77A0">
        <w:rPr>
          <w:sz w:val="24"/>
          <w:szCs w:val="24"/>
        </w:rPr>
        <w:t>The Consolidated Revenue Fund is appropriated to the extent necessary for the purposes of such expenditure in pursuance of the Principal Act as amended by this Act as results from this Act, being expenditure on or before 30 June 1975.</w:t>
      </w:r>
    </w:p>
    <w:p w14:paraId="1D3CC19B" w14:textId="0C503E5B" w:rsidR="006A4693" w:rsidRDefault="006A4693" w:rsidP="001247A3">
      <w:pPr>
        <w:pStyle w:val="Footnote0"/>
        <w:ind w:firstLine="270"/>
        <w:jc w:val="both"/>
        <w:rPr>
          <w:sz w:val="24"/>
          <w:szCs w:val="24"/>
        </w:rPr>
      </w:pPr>
      <w:r>
        <w:rPr>
          <w:sz w:val="24"/>
          <w:szCs w:val="24"/>
        </w:rPr>
        <w:t>(2)</w:t>
      </w:r>
      <w:r w:rsidR="00966BF8">
        <w:rPr>
          <w:sz w:val="24"/>
          <w:szCs w:val="24"/>
        </w:rPr>
        <w:t>.</w:t>
      </w:r>
      <w:r>
        <w:rPr>
          <w:sz w:val="24"/>
          <w:szCs w:val="24"/>
        </w:rPr>
        <w:t xml:space="preserve"> </w:t>
      </w:r>
      <w:r w:rsidRPr="002C77A0">
        <w:rPr>
          <w:sz w:val="24"/>
          <w:szCs w:val="24"/>
        </w:rPr>
        <w:t>Sub-section (1) does not prevent the issue and application of</w:t>
      </w:r>
      <w:r>
        <w:rPr>
          <w:sz w:val="24"/>
          <w:szCs w:val="24"/>
        </w:rPr>
        <w:t xml:space="preserve"> </w:t>
      </w:r>
      <w:r w:rsidRPr="002C77A0">
        <w:rPr>
          <w:sz w:val="24"/>
          <w:szCs w:val="24"/>
        </w:rPr>
        <w:t>moneys, for the purposes referred to in that sub-section, in pursuance of an appropriation made by an Act other than this Act (whether passed before or after this Act receives the Royal Assent).</w:t>
      </w:r>
    </w:p>
    <w:p w14:paraId="3EDC21CA" w14:textId="24D5B709" w:rsidR="006A4693" w:rsidRDefault="006A4693" w:rsidP="00966BF8">
      <w:pPr>
        <w:rPr>
          <w:rFonts w:ascii="Times New Roman" w:eastAsia="Times New Roman" w:hAnsi="Times New Roman" w:cs="Times New Roman"/>
        </w:rPr>
      </w:pPr>
      <w:bookmarkStart w:id="1" w:name="_GoBack"/>
      <w:bookmarkEnd w:id="1"/>
    </w:p>
    <w:sectPr w:rsidR="006A4693" w:rsidSect="0056322C">
      <w:type w:val="continuous"/>
      <w:pgSz w:w="11909" w:h="18000" w:code="9"/>
      <w:pgMar w:top="1080" w:right="1080" w:bottom="1080" w:left="1080" w:header="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C6384B" w15:done="0"/>
  <w15:commentEx w15:paraId="33890D56" w15:done="0"/>
  <w15:commentEx w15:paraId="29F5F581" w15:done="0"/>
  <w15:commentEx w15:paraId="2753A6C3" w15:done="0"/>
  <w15:commentEx w15:paraId="6C4724FC" w15:done="0"/>
  <w15:commentEx w15:paraId="640CDF88" w15:done="0"/>
  <w15:commentEx w15:paraId="3BE276EF" w15:done="0"/>
  <w15:commentEx w15:paraId="7AD43A59" w15:done="0"/>
  <w15:commentEx w15:paraId="6D5959D2" w15:done="0"/>
  <w15:commentEx w15:paraId="0D685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6384B" w16cid:durableId="1F466E69"/>
  <w16cid:commentId w16cid:paraId="33890D56" w16cid:durableId="1F466E80"/>
  <w16cid:commentId w16cid:paraId="29F5F581" w16cid:durableId="1F466EA0"/>
  <w16cid:commentId w16cid:paraId="2753A6C3" w16cid:durableId="1F466EB2"/>
  <w16cid:commentId w16cid:paraId="6C4724FC" w16cid:durableId="1F466EC1"/>
  <w16cid:commentId w16cid:paraId="640CDF88" w16cid:durableId="1F466ECF"/>
  <w16cid:commentId w16cid:paraId="3BE276EF" w16cid:durableId="1F466EE4"/>
  <w16cid:commentId w16cid:paraId="7AD43A59" w16cid:durableId="1F466F03"/>
  <w16cid:commentId w16cid:paraId="6D5959D2" w16cid:durableId="1F466F49"/>
  <w16cid:commentId w16cid:paraId="0D685745" w16cid:durableId="1F466F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3B8B4" w14:textId="77777777" w:rsidR="00C52BFB" w:rsidRDefault="00C52BFB">
      <w:r>
        <w:separator/>
      </w:r>
    </w:p>
  </w:endnote>
  <w:endnote w:type="continuationSeparator" w:id="0">
    <w:p w14:paraId="6FA84787" w14:textId="77777777" w:rsidR="00C52BFB" w:rsidRDefault="00C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94A0F" w14:textId="77777777" w:rsidR="00C52BFB" w:rsidRDefault="00C52BFB">
      <w:r>
        <w:separator/>
      </w:r>
    </w:p>
  </w:footnote>
  <w:footnote w:type="continuationSeparator" w:id="0">
    <w:p w14:paraId="54C2868F" w14:textId="77777777" w:rsidR="00C52BFB" w:rsidRDefault="00C52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0804"/>
    <w:multiLevelType w:val="multilevel"/>
    <w:tmpl w:val="8102C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EC761F"/>
    <w:multiLevelType w:val="multilevel"/>
    <w:tmpl w:val="C02C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9C7CD4"/>
    <w:multiLevelType w:val="multilevel"/>
    <w:tmpl w:val="4A2AB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5"/>
    <w:rsid w:val="001247A3"/>
    <w:rsid w:val="001452D7"/>
    <w:rsid w:val="001C6A7E"/>
    <w:rsid w:val="0022270F"/>
    <w:rsid w:val="002C77A0"/>
    <w:rsid w:val="0047114E"/>
    <w:rsid w:val="0052197E"/>
    <w:rsid w:val="00524DAA"/>
    <w:rsid w:val="0056322C"/>
    <w:rsid w:val="005A2A46"/>
    <w:rsid w:val="0062116D"/>
    <w:rsid w:val="006A4693"/>
    <w:rsid w:val="006E4951"/>
    <w:rsid w:val="00966BF8"/>
    <w:rsid w:val="00AC55EE"/>
    <w:rsid w:val="00AD4261"/>
    <w:rsid w:val="00C35F45"/>
    <w:rsid w:val="00C52BFB"/>
    <w:rsid w:val="00D26CEF"/>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9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paragraph" w:customStyle="1" w:styleId="Footnote0">
    <w:name w:val="Footnote"/>
    <w:basedOn w:val="Normal"/>
    <w:link w:val="Footnote"/>
    <w:pPr>
      <w:spacing w:line="240" w:lineRule="exact"/>
    </w:pPr>
    <w:rPr>
      <w:rFonts w:ascii="Times New Roman" w:eastAsia="Times New Roman" w:hAnsi="Times New Roman" w:cs="Times New Roman"/>
      <w:sz w:val="22"/>
      <w:szCs w:val="22"/>
    </w:rPr>
  </w:style>
  <w:style w:type="paragraph" w:customStyle="1" w:styleId="Footnote20">
    <w:name w:val="Footnote (2)"/>
    <w:basedOn w:val="Normal"/>
    <w:link w:val="Footnote2"/>
    <w:pPr>
      <w:spacing w:line="0" w:lineRule="atLeast"/>
      <w:jc w:val="both"/>
    </w:pPr>
    <w:rPr>
      <w:rFonts w:ascii="Times New Roman" w:eastAsia="Times New Roman" w:hAnsi="Times New Roman" w:cs="Times New Roman"/>
      <w:sz w:val="19"/>
      <w:szCs w:val="19"/>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523" w:lineRule="exact"/>
      <w:jc w:val="center"/>
      <w:outlineLvl w:val="0"/>
    </w:pPr>
    <w:rPr>
      <w:rFonts w:ascii="Arial" w:eastAsia="Arial" w:hAnsi="Arial" w:cs="Arial"/>
      <w:b/>
      <w:bCs/>
      <w:sz w:val="28"/>
      <w:szCs w:val="28"/>
    </w:rPr>
  </w:style>
  <w:style w:type="paragraph" w:customStyle="1" w:styleId="BodyText1">
    <w:name w:val="Body Text1"/>
    <w:basedOn w:val="Normal"/>
    <w:link w:val="Bodytext"/>
    <w:pPr>
      <w:spacing w:line="235"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pacing w:line="0" w:lineRule="atLeast"/>
      <w:ind w:firstLine="340"/>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ind w:hanging="280"/>
      <w:jc w:val="both"/>
    </w:pPr>
    <w:rPr>
      <w:rFonts w:ascii="Times New Roman" w:eastAsia="Times New Roman" w:hAnsi="Times New Roman" w:cs="Times New Roman"/>
      <w:sz w:val="19"/>
      <w:szCs w:val="19"/>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spacing w:val="-10"/>
      <w:sz w:val="22"/>
      <w:szCs w:val="22"/>
    </w:rPr>
  </w:style>
  <w:style w:type="paragraph" w:styleId="Footer">
    <w:name w:val="footer"/>
    <w:basedOn w:val="Normal"/>
    <w:link w:val="FooterChar"/>
    <w:uiPriority w:val="99"/>
    <w:unhideWhenUsed/>
    <w:rsid w:val="006A4693"/>
    <w:pPr>
      <w:tabs>
        <w:tab w:val="center" w:pos="4680"/>
        <w:tab w:val="right" w:pos="9360"/>
      </w:tabs>
    </w:pPr>
  </w:style>
  <w:style w:type="character" w:customStyle="1" w:styleId="FooterChar">
    <w:name w:val="Footer Char"/>
    <w:basedOn w:val="DefaultParagraphFont"/>
    <w:link w:val="Footer"/>
    <w:uiPriority w:val="99"/>
    <w:rsid w:val="006A4693"/>
    <w:rPr>
      <w:color w:val="000000"/>
    </w:rPr>
  </w:style>
  <w:style w:type="paragraph" w:styleId="Header">
    <w:name w:val="header"/>
    <w:basedOn w:val="Normal"/>
    <w:link w:val="HeaderChar"/>
    <w:uiPriority w:val="99"/>
    <w:unhideWhenUsed/>
    <w:rsid w:val="006A4693"/>
    <w:pPr>
      <w:tabs>
        <w:tab w:val="center" w:pos="4680"/>
        <w:tab w:val="right" w:pos="9360"/>
      </w:tabs>
    </w:pPr>
  </w:style>
  <w:style w:type="character" w:customStyle="1" w:styleId="HeaderChar">
    <w:name w:val="Header Char"/>
    <w:basedOn w:val="DefaultParagraphFont"/>
    <w:link w:val="Header"/>
    <w:uiPriority w:val="99"/>
    <w:rsid w:val="006A4693"/>
    <w:rPr>
      <w:color w:val="000000"/>
    </w:rPr>
  </w:style>
  <w:style w:type="character" w:styleId="CommentReference">
    <w:name w:val="annotation reference"/>
    <w:basedOn w:val="DefaultParagraphFont"/>
    <w:uiPriority w:val="99"/>
    <w:semiHidden/>
    <w:unhideWhenUsed/>
    <w:rsid w:val="001C6A7E"/>
    <w:rPr>
      <w:sz w:val="16"/>
      <w:szCs w:val="16"/>
    </w:rPr>
  </w:style>
  <w:style w:type="paragraph" w:styleId="CommentText">
    <w:name w:val="annotation text"/>
    <w:basedOn w:val="Normal"/>
    <w:link w:val="CommentTextChar"/>
    <w:uiPriority w:val="99"/>
    <w:semiHidden/>
    <w:unhideWhenUsed/>
    <w:rsid w:val="001C6A7E"/>
    <w:rPr>
      <w:sz w:val="20"/>
      <w:szCs w:val="20"/>
    </w:rPr>
  </w:style>
  <w:style w:type="character" w:customStyle="1" w:styleId="CommentTextChar">
    <w:name w:val="Comment Text Char"/>
    <w:basedOn w:val="DefaultParagraphFont"/>
    <w:link w:val="CommentText"/>
    <w:uiPriority w:val="99"/>
    <w:semiHidden/>
    <w:rsid w:val="001C6A7E"/>
    <w:rPr>
      <w:color w:val="000000"/>
      <w:sz w:val="20"/>
      <w:szCs w:val="20"/>
    </w:rPr>
  </w:style>
  <w:style w:type="paragraph" w:styleId="CommentSubject">
    <w:name w:val="annotation subject"/>
    <w:basedOn w:val="CommentText"/>
    <w:next w:val="CommentText"/>
    <w:link w:val="CommentSubjectChar"/>
    <w:uiPriority w:val="99"/>
    <w:semiHidden/>
    <w:unhideWhenUsed/>
    <w:rsid w:val="001C6A7E"/>
    <w:rPr>
      <w:b/>
      <w:bCs/>
    </w:rPr>
  </w:style>
  <w:style w:type="character" w:customStyle="1" w:styleId="CommentSubjectChar">
    <w:name w:val="Comment Subject Char"/>
    <w:basedOn w:val="CommentTextChar"/>
    <w:link w:val="CommentSubject"/>
    <w:uiPriority w:val="99"/>
    <w:semiHidden/>
    <w:rsid w:val="001C6A7E"/>
    <w:rPr>
      <w:b/>
      <w:bCs/>
      <w:color w:val="000000"/>
      <w:sz w:val="20"/>
      <w:szCs w:val="20"/>
    </w:rPr>
  </w:style>
  <w:style w:type="paragraph" w:styleId="BalloonText">
    <w:name w:val="Balloon Text"/>
    <w:basedOn w:val="Normal"/>
    <w:link w:val="BalloonTextChar"/>
    <w:uiPriority w:val="99"/>
    <w:semiHidden/>
    <w:unhideWhenUsed/>
    <w:rsid w:val="001C6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7E"/>
    <w:rPr>
      <w:rFonts w:ascii="Segoe UI" w:hAnsi="Segoe UI" w:cs="Segoe UI"/>
      <w:color w:val="000000"/>
      <w:sz w:val="18"/>
      <w:szCs w:val="18"/>
    </w:rPr>
  </w:style>
  <w:style w:type="paragraph" w:styleId="Revision">
    <w:name w:val="Revision"/>
    <w:hidden/>
    <w:uiPriority w:val="99"/>
    <w:semiHidden/>
    <w:rsid w:val="0047114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10"/>
      <w:w w:val="100"/>
      <w:position w:val="0"/>
      <w:sz w:val="22"/>
      <w:szCs w:val="22"/>
      <w:u w:val="none"/>
      <w:lang w:val="en-US"/>
    </w:rPr>
  </w:style>
  <w:style w:type="paragraph" w:customStyle="1" w:styleId="Footnote0">
    <w:name w:val="Footnote"/>
    <w:basedOn w:val="Normal"/>
    <w:link w:val="Footnote"/>
    <w:pPr>
      <w:spacing w:line="240" w:lineRule="exact"/>
    </w:pPr>
    <w:rPr>
      <w:rFonts w:ascii="Times New Roman" w:eastAsia="Times New Roman" w:hAnsi="Times New Roman" w:cs="Times New Roman"/>
      <w:sz w:val="22"/>
      <w:szCs w:val="22"/>
    </w:rPr>
  </w:style>
  <w:style w:type="paragraph" w:customStyle="1" w:styleId="Footnote20">
    <w:name w:val="Footnote (2)"/>
    <w:basedOn w:val="Normal"/>
    <w:link w:val="Footnote2"/>
    <w:pPr>
      <w:spacing w:line="0" w:lineRule="atLeast"/>
      <w:jc w:val="both"/>
    </w:pPr>
    <w:rPr>
      <w:rFonts w:ascii="Times New Roman" w:eastAsia="Times New Roman" w:hAnsi="Times New Roman" w:cs="Times New Roman"/>
      <w:sz w:val="19"/>
      <w:szCs w:val="19"/>
    </w:rPr>
  </w:style>
  <w:style w:type="paragraph" w:customStyle="1" w:styleId="Bodytext30">
    <w:name w:val="Body text (3)"/>
    <w:basedOn w:val="Normal"/>
    <w:link w:val="Bodytext3"/>
    <w:pPr>
      <w:spacing w:line="168"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523" w:lineRule="exact"/>
      <w:jc w:val="center"/>
      <w:outlineLvl w:val="0"/>
    </w:pPr>
    <w:rPr>
      <w:rFonts w:ascii="Arial" w:eastAsia="Arial" w:hAnsi="Arial" w:cs="Arial"/>
      <w:b/>
      <w:bCs/>
      <w:sz w:val="28"/>
      <w:szCs w:val="28"/>
    </w:rPr>
  </w:style>
  <w:style w:type="paragraph" w:customStyle="1" w:styleId="BodyText1">
    <w:name w:val="Body Text1"/>
    <w:basedOn w:val="Normal"/>
    <w:link w:val="Bodytext"/>
    <w:pPr>
      <w:spacing w:line="235"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pacing w:line="0" w:lineRule="atLeast"/>
      <w:ind w:firstLine="340"/>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ind w:hanging="280"/>
      <w:jc w:val="both"/>
    </w:pPr>
    <w:rPr>
      <w:rFonts w:ascii="Times New Roman" w:eastAsia="Times New Roman" w:hAnsi="Times New Roman" w:cs="Times New Roman"/>
      <w:sz w:val="19"/>
      <w:szCs w:val="19"/>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b/>
      <w:bCs/>
      <w:spacing w:val="-10"/>
      <w:sz w:val="22"/>
      <w:szCs w:val="22"/>
    </w:rPr>
  </w:style>
  <w:style w:type="paragraph" w:styleId="Footer">
    <w:name w:val="footer"/>
    <w:basedOn w:val="Normal"/>
    <w:link w:val="FooterChar"/>
    <w:uiPriority w:val="99"/>
    <w:unhideWhenUsed/>
    <w:rsid w:val="006A4693"/>
    <w:pPr>
      <w:tabs>
        <w:tab w:val="center" w:pos="4680"/>
        <w:tab w:val="right" w:pos="9360"/>
      </w:tabs>
    </w:pPr>
  </w:style>
  <w:style w:type="character" w:customStyle="1" w:styleId="FooterChar">
    <w:name w:val="Footer Char"/>
    <w:basedOn w:val="DefaultParagraphFont"/>
    <w:link w:val="Footer"/>
    <w:uiPriority w:val="99"/>
    <w:rsid w:val="006A4693"/>
    <w:rPr>
      <w:color w:val="000000"/>
    </w:rPr>
  </w:style>
  <w:style w:type="paragraph" w:styleId="Header">
    <w:name w:val="header"/>
    <w:basedOn w:val="Normal"/>
    <w:link w:val="HeaderChar"/>
    <w:uiPriority w:val="99"/>
    <w:unhideWhenUsed/>
    <w:rsid w:val="006A4693"/>
    <w:pPr>
      <w:tabs>
        <w:tab w:val="center" w:pos="4680"/>
        <w:tab w:val="right" w:pos="9360"/>
      </w:tabs>
    </w:pPr>
  </w:style>
  <w:style w:type="character" w:customStyle="1" w:styleId="HeaderChar">
    <w:name w:val="Header Char"/>
    <w:basedOn w:val="DefaultParagraphFont"/>
    <w:link w:val="Header"/>
    <w:uiPriority w:val="99"/>
    <w:rsid w:val="006A4693"/>
    <w:rPr>
      <w:color w:val="000000"/>
    </w:rPr>
  </w:style>
  <w:style w:type="character" w:styleId="CommentReference">
    <w:name w:val="annotation reference"/>
    <w:basedOn w:val="DefaultParagraphFont"/>
    <w:uiPriority w:val="99"/>
    <w:semiHidden/>
    <w:unhideWhenUsed/>
    <w:rsid w:val="001C6A7E"/>
    <w:rPr>
      <w:sz w:val="16"/>
      <w:szCs w:val="16"/>
    </w:rPr>
  </w:style>
  <w:style w:type="paragraph" w:styleId="CommentText">
    <w:name w:val="annotation text"/>
    <w:basedOn w:val="Normal"/>
    <w:link w:val="CommentTextChar"/>
    <w:uiPriority w:val="99"/>
    <w:semiHidden/>
    <w:unhideWhenUsed/>
    <w:rsid w:val="001C6A7E"/>
    <w:rPr>
      <w:sz w:val="20"/>
      <w:szCs w:val="20"/>
    </w:rPr>
  </w:style>
  <w:style w:type="character" w:customStyle="1" w:styleId="CommentTextChar">
    <w:name w:val="Comment Text Char"/>
    <w:basedOn w:val="DefaultParagraphFont"/>
    <w:link w:val="CommentText"/>
    <w:uiPriority w:val="99"/>
    <w:semiHidden/>
    <w:rsid w:val="001C6A7E"/>
    <w:rPr>
      <w:color w:val="000000"/>
      <w:sz w:val="20"/>
      <w:szCs w:val="20"/>
    </w:rPr>
  </w:style>
  <w:style w:type="paragraph" w:styleId="CommentSubject">
    <w:name w:val="annotation subject"/>
    <w:basedOn w:val="CommentText"/>
    <w:next w:val="CommentText"/>
    <w:link w:val="CommentSubjectChar"/>
    <w:uiPriority w:val="99"/>
    <w:semiHidden/>
    <w:unhideWhenUsed/>
    <w:rsid w:val="001C6A7E"/>
    <w:rPr>
      <w:b/>
      <w:bCs/>
    </w:rPr>
  </w:style>
  <w:style w:type="character" w:customStyle="1" w:styleId="CommentSubjectChar">
    <w:name w:val="Comment Subject Char"/>
    <w:basedOn w:val="CommentTextChar"/>
    <w:link w:val="CommentSubject"/>
    <w:uiPriority w:val="99"/>
    <w:semiHidden/>
    <w:rsid w:val="001C6A7E"/>
    <w:rPr>
      <w:b/>
      <w:bCs/>
      <w:color w:val="000000"/>
      <w:sz w:val="20"/>
      <w:szCs w:val="20"/>
    </w:rPr>
  </w:style>
  <w:style w:type="paragraph" w:styleId="BalloonText">
    <w:name w:val="Balloon Text"/>
    <w:basedOn w:val="Normal"/>
    <w:link w:val="BalloonTextChar"/>
    <w:uiPriority w:val="99"/>
    <w:semiHidden/>
    <w:unhideWhenUsed/>
    <w:rsid w:val="001C6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7E"/>
    <w:rPr>
      <w:rFonts w:ascii="Segoe UI" w:hAnsi="Segoe UI" w:cs="Segoe UI"/>
      <w:color w:val="000000"/>
      <w:sz w:val="18"/>
      <w:szCs w:val="18"/>
    </w:rPr>
  </w:style>
  <w:style w:type="paragraph" w:styleId="Revision">
    <w:name w:val="Revision"/>
    <w:hidden/>
    <w:uiPriority w:val="99"/>
    <w:semiHidden/>
    <w:rsid w:val="0047114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2018-09-14T07:33:00Z</dcterms:created>
  <dcterms:modified xsi:type="dcterms:W3CDTF">2019-06-12T04:43:00Z</dcterms:modified>
</cp:coreProperties>
</file>