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915" w:rsidRPr="00827D77" w:rsidRDefault="000655AE" w:rsidP="001B4DAD">
      <w:pPr>
        <w:spacing w:before="3000" w:after="0" w:line="240" w:lineRule="auto"/>
        <w:jc w:val="center"/>
        <w:rPr>
          <w:rFonts w:ascii="Times New Roman" w:hAnsi="Times New Roman"/>
          <w:sz w:val="36"/>
        </w:rPr>
      </w:pPr>
      <w:r w:rsidRPr="00827D77">
        <w:rPr>
          <w:rFonts w:ascii="Times New Roman" w:hAnsi="Times New Roman"/>
          <w:b/>
          <w:sz w:val="36"/>
        </w:rPr>
        <w:t>Lands Acquisition Act 1973</w:t>
      </w:r>
    </w:p>
    <w:p w:rsidR="00502915" w:rsidRDefault="000655AE" w:rsidP="00827D77">
      <w:pPr>
        <w:spacing w:before="240" w:after="240" w:line="240" w:lineRule="auto"/>
        <w:jc w:val="center"/>
        <w:rPr>
          <w:rFonts w:ascii="Times New Roman" w:hAnsi="Times New Roman"/>
          <w:b/>
          <w:sz w:val="28"/>
        </w:rPr>
      </w:pPr>
      <w:r w:rsidRPr="00827D77">
        <w:rPr>
          <w:rFonts w:ascii="Times New Roman" w:hAnsi="Times New Roman"/>
          <w:b/>
          <w:sz w:val="28"/>
        </w:rPr>
        <w:t>No. 208 of 1973</w:t>
      </w:r>
    </w:p>
    <w:p w:rsidR="00827D77" w:rsidRPr="00827D77" w:rsidRDefault="00827D77" w:rsidP="00827D77">
      <w:pPr>
        <w:pBdr>
          <w:top w:val="double" w:sz="4" w:space="1" w:color="auto"/>
        </w:pBdr>
        <w:spacing w:before="240" w:after="240" w:line="240" w:lineRule="auto"/>
        <w:ind w:left="576" w:right="576"/>
        <w:jc w:val="center"/>
        <w:rPr>
          <w:rFonts w:ascii="Times New Roman" w:hAnsi="Times New Roman"/>
          <w:sz w:val="28"/>
        </w:rPr>
      </w:pPr>
    </w:p>
    <w:p w:rsidR="00502915" w:rsidRPr="00827D77" w:rsidRDefault="000655AE" w:rsidP="00827D77">
      <w:pPr>
        <w:spacing w:after="120" w:line="240" w:lineRule="auto"/>
        <w:jc w:val="center"/>
        <w:rPr>
          <w:rFonts w:ascii="Times New Roman" w:hAnsi="Times New Roman"/>
          <w:sz w:val="28"/>
        </w:rPr>
      </w:pPr>
      <w:r w:rsidRPr="00827D77">
        <w:rPr>
          <w:rFonts w:ascii="Times New Roman" w:hAnsi="Times New Roman"/>
          <w:b/>
          <w:sz w:val="28"/>
        </w:rPr>
        <w:t>AN ACT</w:t>
      </w:r>
    </w:p>
    <w:p w:rsidR="00502915" w:rsidRPr="000655AE" w:rsidRDefault="00502915" w:rsidP="00827D77">
      <w:pPr>
        <w:spacing w:after="0" w:line="240" w:lineRule="auto"/>
        <w:jc w:val="center"/>
        <w:rPr>
          <w:rFonts w:ascii="Times New Roman" w:hAnsi="Times New Roman"/>
        </w:rPr>
      </w:pPr>
      <w:r w:rsidRPr="000655AE">
        <w:rPr>
          <w:rFonts w:ascii="Times New Roman" w:hAnsi="Times New Roman"/>
        </w:rPr>
        <w:t xml:space="preserve">To amend the </w:t>
      </w:r>
      <w:r w:rsidR="000655AE" w:rsidRPr="000655AE">
        <w:rPr>
          <w:rFonts w:ascii="Times New Roman" w:hAnsi="Times New Roman"/>
          <w:i/>
        </w:rPr>
        <w:t xml:space="preserve">Lands Acquisition Act </w:t>
      </w:r>
      <w:r w:rsidRPr="000655AE">
        <w:rPr>
          <w:rFonts w:ascii="Times New Roman" w:hAnsi="Times New Roman"/>
        </w:rPr>
        <w:t>1955–1966.</w:t>
      </w:r>
    </w:p>
    <w:p w:rsidR="00502915" w:rsidRPr="000655AE" w:rsidRDefault="00502915" w:rsidP="00827D77">
      <w:pPr>
        <w:spacing w:before="120" w:after="120" w:line="240" w:lineRule="auto"/>
        <w:jc w:val="right"/>
        <w:rPr>
          <w:rFonts w:ascii="Times New Roman" w:hAnsi="Times New Roman"/>
        </w:rPr>
      </w:pPr>
      <w:r w:rsidRPr="000655AE">
        <w:rPr>
          <w:rFonts w:ascii="Times New Roman" w:hAnsi="Times New Roman"/>
        </w:rPr>
        <w:t>[</w:t>
      </w:r>
      <w:r w:rsidR="000655AE" w:rsidRPr="000655AE">
        <w:rPr>
          <w:rFonts w:ascii="Times New Roman" w:hAnsi="Times New Roman"/>
          <w:i/>
        </w:rPr>
        <w:t>Assented to 19 December 1973</w:t>
      </w:r>
      <w:r w:rsidRPr="000655AE">
        <w:rPr>
          <w:rFonts w:ascii="Times New Roman" w:hAnsi="Times New Roman"/>
        </w:rPr>
        <w:t>]</w:t>
      </w:r>
    </w:p>
    <w:p w:rsidR="00502915" w:rsidRPr="005A0043" w:rsidRDefault="00502915" w:rsidP="00FA130A">
      <w:pPr>
        <w:spacing w:after="0" w:line="240" w:lineRule="auto"/>
        <w:ind w:firstLine="432"/>
        <w:jc w:val="both"/>
        <w:rPr>
          <w:rFonts w:ascii="Times New Roman" w:hAnsi="Times New Roman"/>
        </w:rPr>
      </w:pPr>
      <w:r w:rsidRPr="005A0043">
        <w:rPr>
          <w:rFonts w:ascii="Times New Roman" w:hAnsi="Times New Roman"/>
        </w:rPr>
        <w:t>BE IT ENACTED by the Queen, the Senate and the House of Representatives of Australia, as follows:—</w:t>
      </w:r>
    </w:p>
    <w:p w:rsidR="00502915" w:rsidRPr="00FA130A" w:rsidRDefault="000655AE" w:rsidP="00FA130A">
      <w:pPr>
        <w:spacing w:before="120" w:after="60" w:line="240" w:lineRule="auto"/>
        <w:jc w:val="both"/>
        <w:rPr>
          <w:rFonts w:ascii="Times New Roman" w:hAnsi="Times New Roman" w:cs="Times New Roman"/>
          <w:b/>
          <w:sz w:val="20"/>
        </w:rPr>
      </w:pPr>
      <w:r w:rsidRPr="00FA130A">
        <w:rPr>
          <w:rFonts w:ascii="Times New Roman" w:hAnsi="Times New Roman" w:cs="Times New Roman"/>
          <w:b/>
          <w:sz w:val="20"/>
        </w:rPr>
        <w:t>Short title and citation.</w:t>
      </w:r>
    </w:p>
    <w:p w:rsidR="00502915" w:rsidRPr="000655AE" w:rsidRDefault="000655AE" w:rsidP="00FA130A">
      <w:pPr>
        <w:tabs>
          <w:tab w:val="left" w:pos="720"/>
        </w:tabs>
        <w:spacing w:after="0" w:line="240" w:lineRule="auto"/>
        <w:ind w:firstLine="432"/>
        <w:jc w:val="both"/>
        <w:rPr>
          <w:rFonts w:ascii="Times New Roman" w:hAnsi="Times New Roman"/>
        </w:rPr>
      </w:pPr>
      <w:r w:rsidRPr="000655AE">
        <w:rPr>
          <w:rFonts w:ascii="Times New Roman" w:hAnsi="Times New Roman"/>
          <w:b/>
        </w:rPr>
        <w:t>1.</w:t>
      </w:r>
      <w:r w:rsidR="00FA130A">
        <w:rPr>
          <w:rFonts w:ascii="Times New Roman" w:hAnsi="Times New Roman"/>
          <w:b/>
        </w:rPr>
        <w:t xml:space="preserve"> </w:t>
      </w:r>
      <w:r w:rsidR="00502915" w:rsidRPr="000655AE">
        <w:rPr>
          <w:rFonts w:ascii="Times New Roman" w:hAnsi="Times New Roman"/>
        </w:rPr>
        <w:t>(1)</w:t>
      </w:r>
      <w:r w:rsidR="00FA130A">
        <w:rPr>
          <w:rFonts w:ascii="Times New Roman" w:hAnsi="Times New Roman"/>
        </w:rPr>
        <w:tab/>
      </w:r>
      <w:r w:rsidR="00502915" w:rsidRPr="000655AE">
        <w:rPr>
          <w:rFonts w:ascii="Times New Roman" w:hAnsi="Times New Roman"/>
        </w:rPr>
        <w:t xml:space="preserve">This Act may be cited as the </w:t>
      </w:r>
      <w:r w:rsidRPr="000655AE">
        <w:rPr>
          <w:rFonts w:ascii="Times New Roman" w:hAnsi="Times New Roman"/>
          <w:i/>
        </w:rPr>
        <w:t xml:space="preserve">Lands Acquisition Act </w:t>
      </w:r>
      <w:r w:rsidR="00502915" w:rsidRPr="000655AE">
        <w:rPr>
          <w:rFonts w:ascii="Times New Roman" w:hAnsi="Times New Roman"/>
        </w:rPr>
        <w:t>1973.</w:t>
      </w:r>
    </w:p>
    <w:p w:rsidR="00502915" w:rsidRPr="000655AE" w:rsidRDefault="00502915" w:rsidP="00312B85">
      <w:pPr>
        <w:tabs>
          <w:tab w:val="left" w:pos="547"/>
          <w:tab w:val="left" w:pos="994"/>
        </w:tabs>
        <w:spacing w:after="0" w:line="240" w:lineRule="auto"/>
        <w:ind w:firstLine="432"/>
        <w:jc w:val="both"/>
        <w:rPr>
          <w:rFonts w:ascii="Times New Roman" w:hAnsi="Times New Roman"/>
        </w:rPr>
      </w:pPr>
      <w:r w:rsidRPr="000655AE">
        <w:rPr>
          <w:rFonts w:ascii="Times New Roman" w:hAnsi="Times New Roman"/>
        </w:rPr>
        <w:t>(2)</w:t>
      </w:r>
      <w:r w:rsidR="00312B85">
        <w:rPr>
          <w:rFonts w:ascii="Times New Roman" w:hAnsi="Times New Roman"/>
        </w:rPr>
        <w:tab/>
      </w:r>
      <w:r w:rsidRPr="000655AE">
        <w:rPr>
          <w:rFonts w:ascii="Times New Roman" w:hAnsi="Times New Roman"/>
        </w:rPr>
        <w:t xml:space="preserve">The </w:t>
      </w:r>
      <w:r w:rsidR="000655AE" w:rsidRPr="000655AE">
        <w:rPr>
          <w:rFonts w:ascii="Times New Roman" w:hAnsi="Times New Roman"/>
          <w:i/>
        </w:rPr>
        <w:t xml:space="preserve">Lands Acquisition Act </w:t>
      </w:r>
      <w:r w:rsidRPr="000655AE">
        <w:rPr>
          <w:rFonts w:ascii="Times New Roman" w:hAnsi="Times New Roman"/>
        </w:rPr>
        <w:t>1955–1966 is in this Act referred to as the Principal Act.</w:t>
      </w:r>
    </w:p>
    <w:p w:rsidR="00502915" w:rsidRPr="000655AE" w:rsidRDefault="00502915" w:rsidP="00312B85">
      <w:pPr>
        <w:tabs>
          <w:tab w:val="left" w:pos="547"/>
          <w:tab w:val="left" w:pos="994"/>
        </w:tabs>
        <w:spacing w:after="0" w:line="240" w:lineRule="auto"/>
        <w:ind w:firstLine="432"/>
        <w:jc w:val="both"/>
        <w:rPr>
          <w:rFonts w:ascii="Times New Roman" w:hAnsi="Times New Roman"/>
        </w:rPr>
      </w:pPr>
      <w:r w:rsidRPr="000655AE">
        <w:rPr>
          <w:rFonts w:ascii="Times New Roman" w:hAnsi="Times New Roman"/>
        </w:rPr>
        <w:t>(3)</w:t>
      </w:r>
      <w:r w:rsidR="00312B85">
        <w:rPr>
          <w:rFonts w:ascii="Times New Roman" w:hAnsi="Times New Roman"/>
        </w:rPr>
        <w:tab/>
      </w:r>
      <w:r w:rsidRPr="000655AE">
        <w:rPr>
          <w:rFonts w:ascii="Times New Roman" w:hAnsi="Times New Roman"/>
        </w:rPr>
        <w:t xml:space="preserve">The Principal Act, as amended by this Act, may be cited as the </w:t>
      </w:r>
      <w:r w:rsidR="000655AE" w:rsidRPr="000655AE">
        <w:rPr>
          <w:rFonts w:ascii="Times New Roman" w:hAnsi="Times New Roman"/>
          <w:i/>
        </w:rPr>
        <w:t xml:space="preserve">Lands Acquisition Act </w:t>
      </w:r>
      <w:r w:rsidRPr="000655AE">
        <w:rPr>
          <w:rFonts w:ascii="Times New Roman" w:hAnsi="Times New Roman"/>
        </w:rPr>
        <w:t>1955–1973.</w:t>
      </w:r>
    </w:p>
    <w:p w:rsidR="00502915" w:rsidRPr="00312B85" w:rsidRDefault="000655AE" w:rsidP="00312B85">
      <w:pPr>
        <w:spacing w:before="120" w:after="60" w:line="240" w:lineRule="auto"/>
        <w:jc w:val="both"/>
        <w:rPr>
          <w:rFonts w:ascii="Times New Roman" w:hAnsi="Times New Roman" w:cs="Times New Roman"/>
          <w:b/>
          <w:sz w:val="20"/>
        </w:rPr>
      </w:pPr>
      <w:r w:rsidRPr="00312B85">
        <w:rPr>
          <w:rFonts w:ascii="Times New Roman" w:hAnsi="Times New Roman" w:cs="Times New Roman"/>
          <w:b/>
          <w:sz w:val="20"/>
        </w:rPr>
        <w:t>Commencement.</w:t>
      </w:r>
    </w:p>
    <w:p w:rsidR="00502915" w:rsidRPr="000655AE" w:rsidRDefault="000655AE" w:rsidP="00312B85">
      <w:pPr>
        <w:tabs>
          <w:tab w:val="left" w:pos="547"/>
          <w:tab w:val="left" w:pos="994"/>
        </w:tabs>
        <w:spacing w:after="0" w:line="240" w:lineRule="auto"/>
        <w:ind w:firstLine="432"/>
        <w:jc w:val="both"/>
        <w:rPr>
          <w:rFonts w:ascii="Times New Roman" w:hAnsi="Times New Roman"/>
        </w:rPr>
      </w:pPr>
      <w:r w:rsidRPr="000655AE">
        <w:rPr>
          <w:rFonts w:ascii="Times New Roman" w:hAnsi="Times New Roman"/>
          <w:b/>
        </w:rPr>
        <w:t>2.</w:t>
      </w:r>
      <w:r w:rsidR="00312B85">
        <w:rPr>
          <w:rFonts w:ascii="Times New Roman" w:hAnsi="Times New Roman"/>
        </w:rPr>
        <w:tab/>
      </w:r>
      <w:r w:rsidR="00502915" w:rsidRPr="000655AE">
        <w:rPr>
          <w:rFonts w:ascii="Times New Roman" w:hAnsi="Times New Roman"/>
        </w:rPr>
        <w:t>This Act shall come into operation on the day on which it receives the Royal Assent.</w:t>
      </w:r>
    </w:p>
    <w:p w:rsidR="00502915" w:rsidRPr="00312B85" w:rsidRDefault="000655AE" w:rsidP="00312B85">
      <w:pPr>
        <w:spacing w:before="120" w:after="60" w:line="240" w:lineRule="auto"/>
        <w:jc w:val="both"/>
        <w:rPr>
          <w:rFonts w:ascii="Times New Roman" w:hAnsi="Times New Roman" w:cs="Times New Roman"/>
          <w:b/>
          <w:sz w:val="20"/>
        </w:rPr>
      </w:pPr>
      <w:r w:rsidRPr="00312B85">
        <w:rPr>
          <w:rFonts w:ascii="Times New Roman" w:hAnsi="Times New Roman" w:cs="Times New Roman"/>
          <w:b/>
          <w:sz w:val="20"/>
        </w:rPr>
        <w:t>Repeal of section 4.</w:t>
      </w:r>
    </w:p>
    <w:p w:rsidR="00502915" w:rsidRPr="000655AE" w:rsidRDefault="000655AE" w:rsidP="00312B85">
      <w:pPr>
        <w:tabs>
          <w:tab w:val="left" w:pos="547"/>
          <w:tab w:val="left" w:pos="994"/>
        </w:tabs>
        <w:spacing w:after="0" w:line="240" w:lineRule="auto"/>
        <w:ind w:firstLine="432"/>
        <w:jc w:val="both"/>
        <w:rPr>
          <w:rFonts w:ascii="Times New Roman" w:hAnsi="Times New Roman"/>
        </w:rPr>
      </w:pPr>
      <w:r w:rsidRPr="000655AE">
        <w:rPr>
          <w:rFonts w:ascii="Times New Roman" w:hAnsi="Times New Roman"/>
          <w:b/>
        </w:rPr>
        <w:t>3.</w:t>
      </w:r>
      <w:r w:rsidR="00312B85">
        <w:rPr>
          <w:rFonts w:ascii="Times New Roman" w:hAnsi="Times New Roman"/>
        </w:rPr>
        <w:tab/>
      </w:r>
      <w:r w:rsidR="00502915" w:rsidRPr="000655AE">
        <w:rPr>
          <w:rFonts w:ascii="Times New Roman" w:hAnsi="Times New Roman"/>
        </w:rPr>
        <w:t>Section 4 of the Principal Act is repealed.</w:t>
      </w:r>
    </w:p>
    <w:p w:rsidR="00502915" w:rsidRPr="00312B85" w:rsidRDefault="000655AE" w:rsidP="00312B85">
      <w:pPr>
        <w:spacing w:before="120" w:after="60" w:line="240" w:lineRule="auto"/>
        <w:jc w:val="both"/>
        <w:rPr>
          <w:rFonts w:ascii="Times New Roman" w:hAnsi="Times New Roman" w:cs="Times New Roman"/>
          <w:b/>
          <w:sz w:val="20"/>
        </w:rPr>
      </w:pPr>
      <w:r w:rsidRPr="00312B85">
        <w:rPr>
          <w:rFonts w:ascii="Times New Roman" w:hAnsi="Times New Roman" w:cs="Times New Roman"/>
          <w:b/>
          <w:sz w:val="20"/>
        </w:rPr>
        <w:t>Acquisition by agreement.</w:t>
      </w:r>
    </w:p>
    <w:p w:rsidR="00502915" w:rsidRPr="000655AE" w:rsidRDefault="000655AE" w:rsidP="00312B85">
      <w:pPr>
        <w:tabs>
          <w:tab w:val="left" w:pos="720"/>
        </w:tabs>
        <w:spacing w:after="0" w:line="240" w:lineRule="auto"/>
        <w:ind w:firstLine="432"/>
        <w:jc w:val="both"/>
        <w:rPr>
          <w:rFonts w:ascii="Times New Roman" w:hAnsi="Times New Roman"/>
        </w:rPr>
      </w:pPr>
      <w:r w:rsidRPr="000655AE">
        <w:rPr>
          <w:rFonts w:ascii="Times New Roman" w:hAnsi="Times New Roman"/>
          <w:b/>
        </w:rPr>
        <w:t>4.</w:t>
      </w:r>
      <w:r w:rsidR="00312B85">
        <w:rPr>
          <w:rFonts w:ascii="Times New Roman" w:hAnsi="Times New Roman"/>
          <w:b/>
        </w:rPr>
        <w:t xml:space="preserve"> </w:t>
      </w:r>
      <w:r w:rsidR="00502915" w:rsidRPr="000655AE">
        <w:rPr>
          <w:rFonts w:ascii="Times New Roman" w:hAnsi="Times New Roman"/>
        </w:rPr>
        <w:t>(1)</w:t>
      </w:r>
      <w:r w:rsidR="00312B85">
        <w:rPr>
          <w:rFonts w:ascii="Times New Roman" w:hAnsi="Times New Roman"/>
        </w:rPr>
        <w:tab/>
      </w:r>
      <w:r w:rsidR="00502915" w:rsidRPr="000655AE">
        <w:rPr>
          <w:rFonts w:ascii="Times New Roman" w:hAnsi="Times New Roman"/>
        </w:rPr>
        <w:t>Section 7 of the Principal Act is amended—</w:t>
      </w:r>
    </w:p>
    <w:p w:rsidR="00502915" w:rsidRPr="000655AE" w:rsidRDefault="00502915" w:rsidP="00E21CD0">
      <w:pPr>
        <w:spacing w:after="120" w:line="240" w:lineRule="auto"/>
        <w:ind w:left="1008" w:hanging="432"/>
        <w:jc w:val="both"/>
        <w:rPr>
          <w:rFonts w:ascii="Times New Roman" w:hAnsi="Times New Roman"/>
        </w:rPr>
      </w:pPr>
      <w:r w:rsidRPr="000655AE">
        <w:rPr>
          <w:rFonts w:ascii="Times New Roman" w:hAnsi="Times New Roman"/>
        </w:rPr>
        <w:t xml:space="preserve">(a) by omitting from sub-section (1) the words </w:t>
      </w:r>
      <w:r w:rsidR="00250BC2">
        <w:rPr>
          <w:rFonts w:ascii="Times New Roman" w:hAnsi="Times New Roman"/>
        </w:rPr>
        <w:t>“</w:t>
      </w:r>
      <w:r w:rsidRPr="000655AE">
        <w:rPr>
          <w:rFonts w:ascii="Times New Roman" w:hAnsi="Times New Roman"/>
        </w:rPr>
        <w:t>The Governor-General</w:t>
      </w:r>
      <w:r w:rsidR="00250BC2">
        <w:rPr>
          <w:rFonts w:ascii="Times New Roman" w:hAnsi="Times New Roman"/>
        </w:rPr>
        <w:t>”</w:t>
      </w:r>
      <w:r w:rsidRPr="000655AE">
        <w:rPr>
          <w:rFonts w:ascii="Times New Roman" w:hAnsi="Times New Roman"/>
        </w:rPr>
        <w:t xml:space="preserve"> and substituting the words </w:t>
      </w:r>
      <w:r w:rsidR="00250BC2">
        <w:rPr>
          <w:rFonts w:ascii="Times New Roman" w:hAnsi="Times New Roman"/>
        </w:rPr>
        <w:t>“</w:t>
      </w:r>
      <w:r w:rsidRPr="000655AE">
        <w:rPr>
          <w:rFonts w:ascii="Times New Roman" w:hAnsi="Times New Roman"/>
        </w:rPr>
        <w:t>The Minister</w:t>
      </w:r>
      <w:r w:rsidR="00250BC2">
        <w:rPr>
          <w:rFonts w:ascii="Times New Roman" w:hAnsi="Times New Roman"/>
        </w:rPr>
        <w:t>”</w:t>
      </w:r>
      <w:r w:rsidRPr="000655AE">
        <w:rPr>
          <w:rFonts w:ascii="Times New Roman" w:hAnsi="Times New Roman"/>
        </w:rPr>
        <w:t>; and</w:t>
      </w:r>
    </w:p>
    <w:p w:rsidR="00502915" w:rsidRPr="000655AE" w:rsidRDefault="00B17443" w:rsidP="000655AE">
      <w:pPr>
        <w:spacing w:after="0" w:line="240" w:lineRule="auto"/>
        <w:jc w:val="both"/>
        <w:rPr>
          <w:rFonts w:ascii="Times New Roman" w:hAnsi="Times New Roman"/>
        </w:rPr>
      </w:pPr>
      <w:r>
        <w:rPr>
          <w:rFonts w:ascii="Times New Roman" w:hAnsi="Times New Roman"/>
        </w:rPr>
        <w:br w:type="page"/>
      </w:r>
    </w:p>
    <w:p w:rsidR="00502915" w:rsidRPr="000655AE" w:rsidRDefault="00502915" w:rsidP="00CA3318">
      <w:pPr>
        <w:spacing w:after="0" w:line="240" w:lineRule="auto"/>
        <w:ind w:left="1008" w:hanging="432"/>
        <w:jc w:val="both"/>
        <w:rPr>
          <w:rFonts w:ascii="Times New Roman" w:hAnsi="Times New Roman"/>
        </w:rPr>
      </w:pPr>
      <w:r w:rsidRPr="000655AE">
        <w:rPr>
          <w:rFonts w:ascii="Times New Roman" w:hAnsi="Times New Roman"/>
        </w:rPr>
        <w:lastRenderedPageBreak/>
        <w:t>(b) by omitting sub-sections (2), (3) and (4) and substituting the following sub-sections:—</w:t>
      </w:r>
    </w:p>
    <w:p w:rsidR="00502915" w:rsidRPr="000655AE" w:rsidRDefault="00250BC2" w:rsidP="00CA3318">
      <w:pPr>
        <w:spacing w:after="0" w:line="240" w:lineRule="auto"/>
        <w:ind w:left="1008" w:firstLine="432"/>
        <w:jc w:val="both"/>
        <w:rPr>
          <w:rFonts w:ascii="Times New Roman" w:hAnsi="Times New Roman"/>
        </w:rPr>
      </w:pPr>
      <w:r>
        <w:rPr>
          <w:rFonts w:ascii="Times New Roman" w:hAnsi="Times New Roman"/>
        </w:rPr>
        <w:t>“</w:t>
      </w:r>
      <w:r w:rsidR="00502915" w:rsidRPr="000655AE">
        <w:rPr>
          <w:rFonts w:ascii="Times New Roman" w:hAnsi="Times New Roman"/>
        </w:rPr>
        <w:t>(2) The land acquired under this section may be an easement, right, power, privilege or other interest that did not previously exist as such, in, over or in connexion with land.</w:t>
      </w:r>
    </w:p>
    <w:p w:rsidR="00502915" w:rsidRPr="000655AE" w:rsidRDefault="00250BC2" w:rsidP="00CA3318">
      <w:pPr>
        <w:spacing w:after="0" w:line="240" w:lineRule="auto"/>
        <w:ind w:left="1008" w:firstLine="432"/>
        <w:jc w:val="both"/>
        <w:rPr>
          <w:rFonts w:ascii="Times New Roman" w:hAnsi="Times New Roman"/>
        </w:rPr>
      </w:pPr>
      <w:r>
        <w:rPr>
          <w:rFonts w:ascii="Times New Roman" w:hAnsi="Times New Roman"/>
        </w:rPr>
        <w:t>“</w:t>
      </w:r>
      <w:r w:rsidR="00502915" w:rsidRPr="000655AE">
        <w:rPr>
          <w:rFonts w:ascii="Times New Roman" w:hAnsi="Times New Roman"/>
        </w:rPr>
        <w:t>(3) Where the acquisition of land is authorized by the Minister under sub-section (1), the Minister shall cause to be laid before each House of the Parliament, within 30 sitting days of that House after the giving of the authorization, a statement describing the land and stating that the acquisition of the land has been authorized under that sub-section for the public purpose specified in the statement.</w:t>
      </w:r>
      <w:r>
        <w:rPr>
          <w:rFonts w:ascii="Times New Roman" w:hAnsi="Times New Roman"/>
        </w:rPr>
        <w:t>’’</w:t>
      </w:r>
      <w:r w:rsidR="00502915" w:rsidRPr="000655AE">
        <w:rPr>
          <w:rFonts w:ascii="Times New Roman" w:hAnsi="Times New Roman"/>
        </w:rPr>
        <w:t>.</w:t>
      </w:r>
    </w:p>
    <w:p w:rsidR="00502915" w:rsidRPr="000655AE" w:rsidRDefault="00502915" w:rsidP="00CA3318">
      <w:pPr>
        <w:tabs>
          <w:tab w:val="left" w:pos="547"/>
          <w:tab w:val="left" w:pos="994"/>
        </w:tabs>
        <w:spacing w:after="0" w:line="240" w:lineRule="auto"/>
        <w:ind w:firstLine="432"/>
        <w:jc w:val="both"/>
        <w:rPr>
          <w:rFonts w:ascii="Times New Roman" w:hAnsi="Times New Roman"/>
        </w:rPr>
      </w:pPr>
      <w:r w:rsidRPr="000655AE">
        <w:rPr>
          <w:rFonts w:ascii="Times New Roman" w:hAnsi="Times New Roman"/>
        </w:rPr>
        <w:t>(2)</w:t>
      </w:r>
      <w:r w:rsidR="00CA3318">
        <w:rPr>
          <w:rFonts w:ascii="Times New Roman" w:hAnsi="Times New Roman"/>
        </w:rPr>
        <w:tab/>
      </w:r>
      <w:r w:rsidRPr="000655AE">
        <w:rPr>
          <w:rFonts w:ascii="Times New Roman" w:hAnsi="Times New Roman"/>
        </w:rPr>
        <w:t>Where the acquisition of any land was authorized under section 7 of the Principal Act and was not completed before the date of commencement of this Act, that acquisition may be completed as if the amendments made by this section had not been made.</w:t>
      </w:r>
    </w:p>
    <w:p w:rsidR="00502915" w:rsidRPr="00CA3318" w:rsidRDefault="000655AE" w:rsidP="00CA3318">
      <w:pPr>
        <w:spacing w:before="120" w:after="60" w:line="240" w:lineRule="auto"/>
        <w:jc w:val="both"/>
        <w:rPr>
          <w:rFonts w:ascii="Times New Roman" w:hAnsi="Times New Roman" w:cs="Times New Roman"/>
          <w:b/>
          <w:sz w:val="20"/>
        </w:rPr>
      </w:pPr>
      <w:r w:rsidRPr="00CA3318">
        <w:rPr>
          <w:rFonts w:ascii="Times New Roman" w:hAnsi="Times New Roman" w:cs="Times New Roman"/>
          <w:b/>
          <w:sz w:val="20"/>
        </w:rPr>
        <w:t>Notice to treat.</w:t>
      </w:r>
    </w:p>
    <w:p w:rsidR="00502915" w:rsidRPr="000655AE" w:rsidRDefault="000655AE" w:rsidP="00CA3318">
      <w:pPr>
        <w:tabs>
          <w:tab w:val="left" w:pos="547"/>
          <w:tab w:val="left" w:pos="994"/>
        </w:tabs>
        <w:spacing w:after="0" w:line="240" w:lineRule="auto"/>
        <w:ind w:firstLine="432"/>
        <w:jc w:val="both"/>
        <w:rPr>
          <w:rFonts w:ascii="Times New Roman" w:hAnsi="Times New Roman"/>
        </w:rPr>
      </w:pPr>
      <w:r w:rsidRPr="000655AE">
        <w:rPr>
          <w:rFonts w:ascii="Times New Roman" w:hAnsi="Times New Roman"/>
          <w:b/>
        </w:rPr>
        <w:t>5.</w:t>
      </w:r>
      <w:r w:rsidR="00CA3318">
        <w:rPr>
          <w:rFonts w:ascii="Times New Roman" w:hAnsi="Times New Roman"/>
        </w:rPr>
        <w:tab/>
      </w:r>
      <w:r w:rsidR="00502915" w:rsidRPr="000655AE">
        <w:rPr>
          <w:rFonts w:ascii="Times New Roman" w:hAnsi="Times New Roman"/>
        </w:rPr>
        <w:t xml:space="preserve">Section 9 of the Principal Act is amended by omitting from subsection (4) all the words from and including the word </w:t>
      </w:r>
      <w:r w:rsidR="00250BC2">
        <w:rPr>
          <w:rFonts w:ascii="Times New Roman" w:hAnsi="Times New Roman"/>
        </w:rPr>
        <w:t>“</w:t>
      </w:r>
      <w:r w:rsidR="00502915" w:rsidRPr="000655AE">
        <w:rPr>
          <w:rFonts w:ascii="Times New Roman" w:hAnsi="Times New Roman"/>
        </w:rPr>
        <w:t>subject</w:t>
      </w:r>
      <w:r w:rsidR="00250BC2">
        <w:rPr>
          <w:rFonts w:ascii="Times New Roman" w:hAnsi="Times New Roman"/>
        </w:rPr>
        <w:t>”</w:t>
      </w:r>
      <w:r w:rsidR="00502915" w:rsidRPr="000655AE">
        <w:rPr>
          <w:rFonts w:ascii="Times New Roman" w:hAnsi="Times New Roman"/>
        </w:rPr>
        <w:t>.</w:t>
      </w:r>
    </w:p>
    <w:p w:rsidR="00502915" w:rsidRPr="00CA3318" w:rsidRDefault="000655AE" w:rsidP="00CA3318">
      <w:pPr>
        <w:spacing w:before="120" w:after="60" w:line="240" w:lineRule="auto"/>
        <w:jc w:val="both"/>
        <w:rPr>
          <w:rFonts w:ascii="Times New Roman" w:hAnsi="Times New Roman" w:cs="Times New Roman"/>
          <w:b/>
          <w:sz w:val="20"/>
        </w:rPr>
      </w:pPr>
      <w:r w:rsidRPr="00CA3318">
        <w:rPr>
          <w:rFonts w:ascii="Times New Roman" w:hAnsi="Times New Roman" w:cs="Times New Roman"/>
          <w:b/>
          <w:sz w:val="20"/>
        </w:rPr>
        <w:t>Power to occupy lands temporarily.</w:t>
      </w:r>
    </w:p>
    <w:p w:rsidR="00502915" w:rsidRPr="000655AE" w:rsidRDefault="000655AE" w:rsidP="00CA3318">
      <w:pPr>
        <w:tabs>
          <w:tab w:val="left" w:pos="547"/>
          <w:tab w:val="left" w:pos="1170"/>
        </w:tabs>
        <w:spacing w:after="0" w:line="240" w:lineRule="auto"/>
        <w:ind w:firstLine="432"/>
        <w:jc w:val="both"/>
        <w:rPr>
          <w:rFonts w:ascii="Times New Roman" w:hAnsi="Times New Roman"/>
        </w:rPr>
      </w:pPr>
      <w:r w:rsidRPr="000655AE">
        <w:rPr>
          <w:rFonts w:ascii="Times New Roman" w:hAnsi="Times New Roman"/>
          <w:b/>
        </w:rPr>
        <w:t>6.</w:t>
      </w:r>
      <w:r w:rsidR="00CA3318">
        <w:rPr>
          <w:rFonts w:ascii="Times New Roman" w:hAnsi="Times New Roman"/>
          <w:b/>
        </w:rPr>
        <w:t xml:space="preserve"> </w:t>
      </w:r>
      <w:r w:rsidR="00502915" w:rsidRPr="000655AE">
        <w:rPr>
          <w:rFonts w:ascii="Times New Roman" w:hAnsi="Times New Roman"/>
        </w:rPr>
        <w:t>(1)</w:t>
      </w:r>
      <w:r w:rsidR="00CA3318">
        <w:rPr>
          <w:rFonts w:ascii="Times New Roman" w:hAnsi="Times New Roman"/>
        </w:rPr>
        <w:tab/>
      </w:r>
      <w:r w:rsidR="00502915" w:rsidRPr="000655AE">
        <w:rPr>
          <w:rFonts w:ascii="Times New Roman" w:hAnsi="Times New Roman"/>
        </w:rPr>
        <w:t xml:space="preserve">Section 17 of the Principal Act is amended by omitting from paragraphs (a) and (c) the word </w:t>
      </w:r>
      <w:r w:rsidR="00250BC2">
        <w:rPr>
          <w:rFonts w:ascii="Times New Roman" w:hAnsi="Times New Roman"/>
        </w:rPr>
        <w:t>“</w:t>
      </w:r>
      <w:r w:rsidR="00502915" w:rsidRPr="000655AE">
        <w:rPr>
          <w:rFonts w:ascii="Times New Roman" w:hAnsi="Times New Roman"/>
        </w:rPr>
        <w:t>yards</w:t>
      </w:r>
      <w:r w:rsidR="00250BC2">
        <w:rPr>
          <w:rFonts w:ascii="Times New Roman" w:hAnsi="Times New Roman"/>
        </w:rPr>
        <w:t>”</w:t>
      </w:r>
      <w:r w:rsidR="00502915" w:rsidRPr="000655AE">
        <w:rPr>
          <w:rFonts w:ascii="Times New Roman" w:hAnsi="Times New Roman"/>
        </w:rPr>
        <w:t xml:space="preserve"> and substituting the word </w:t>
      </w:r>
      <w:r w:rsidR="00250BC2">
        <w:rPr>
          <w:rFonts w:ascii="Times New Roman" w:hAnsi="Times New Roman"/>
        </w:rPr>
        <w:t>“</w:t>
      </w:r>
      <w:r w:rsidR="00502915" w:rsidRPr="000655AE">
        <w:rPr>
          <w:rFonts w:ascii="Times New Roman" w:hAnsi="Times New Roman"/>
        </w:rPr>
        <w:t>metres</w:t>
      </w:r>
      <w:r w:rsidR="00250BC2">
        <w:rPr>
          <w:rFonts w:ascii="Times New Roman" w:hAnsi="Times New Roman"/>
        </w:rPr>
        <w:t>”</w:t>
      </w:r>
      <w:r w:rsidR="00502915" w:rsidRPr="000655AE">
        <w:rPr>
          <w:rFonts w:ascii="Times New Roman" w:hAnsi="Times New Roman"/>
        </w:rPr>
        <w:t>.</w:t>
      </w:r>
    </w:p>
    <w:p w:rsidR="00502915" w:rsidRPr="000655AE" w:rsidRDefault="000655AE" w:rsidP="00490630">
      <w:pPr>
        <w:tabs>
          <w:tab w:val="left" w:pos="547"/>
          <w:tab w:val="left" w:pos="994"/>
        </w:tabs>
        <w:spacing w:after="0" w:line="240" w:lineRule="auto"/>
        <w:ind w:firstLine="432"/>
        <w:jc w:val="both"/>
        <w:rPr>
          <w:rFonts w:ascii="Times New Roman" w:hAnsi="Times New Roman"/>
        </w:rPr>
      </w:pPr>
      <w:r w:rsidRPr="000655AE">
        <w:rPr>
          <w:rFonts w:ascii="Times New Roman" w:hAnsi="Times New Roman"/>
          <w:smallCaps/>
        </w:rPr>
        <w:t>(2)</w:t>
      </w:r>
      <w:r w:rsidR="00490630">
        <w:rPr>
          <w:rFonts w:ascii="Times New Roman" w:hAnsi="Times New Roman"/>
          <w:smallCaps/>
        </w:rPr>
        <w:tab/>
      </w:r>
      <w:r w:rsidR="00502915" w:rsidRPr="000655AE">
        <w:rPr>
          <w:rFonts w:ascii="Times New Roman" w:hAnsi="Times New Roman"/>
        </w:rPr>
        <w:t>Where, at the date of commencement of this Act, a person was in occupation of land under section 17 of the Principal Act, sections 17, 18 and 19 of the Principal Act continue to apply in relation to the occupation of that land by that person as if the amendment made by this section had not been made.</w:t>
      </w:r>
    </w:p>
    <w:p w:rsidR="00502915" w:rsidRPr="00490630" w:rsidRDefault="000655AE" w:rsidP="00490630">
      <w:pPr>
        <w:spacing w:before="120" w:after="60" w:line="240" w:lineRule="auto"/>
        <w:jc w:val="both"/>
        <w:rPr>
          <w:rFonts w:ascii="Times New Roman" w:hAnsi="Times New Roman" w:cs="Times New Roman"/>
          <w:b/>
          <w:sz w:val="20"/>
        </w:rPr>
      </w:pPr>
      <w:r w:rsidRPr="00490630">
        <w:rPr>
          <w:rFonts w:ascii="Times New Roman" w:hAnsi="Times New Roman" w:cs="Times New Roman"/>
          <w:b/>
          <w:sz w:val="20"/>
        </w:rPr>
        <w:t>Interest on compensation.</w:t>
      </w:r>
    </w:p>
    <w:p w:rsidR="00502915" w:rsidRPr="000655AE" w:rsidRDefault="000655AE" w:rsidP="00E872EF">
      <w:pPr>
        <w:tabs>
          <w:tab w:val="left" w:pos="720"/>
          <w:tab w:val="left" w:pos="1080"/>
        </w:tabs>
        <w:spacing w:after="0" w:line="240" w:lineRule="auto"/>
        <w:ind w:firstLine="432"/>
        <w:jc w:val="both"/>
        <w:rPr>
          <w:rFonts w:ascii="Times New Roman" w:hAnsi="Times New Roman"/>
        </w:rPr>
      </w:pPr>
      <w:r w:rsidRPr="000655AE">
        <w:rPr>
          <w:rFonts w:ascii="Times New Roman" w:hAnsi="Times New Roman"/>
          <w:b/>
          <w:smallCaps/>
        </w:rPr>
        <w:t>7.</w:t>
      </w:r>
      <w:r w:rsidR="00510489">
        <w:rPr>
          <w:rFonts w:ascii="Times New Roman" w:hAnsi="Times New Roman"/>
          <w:b/>
          <w:smallCaps/>
        </w:rPr>
        <w:t xml:space="preserve"> </w:t>
      </w:r>
      <w:r w:rsidR="00502915" w:rsidRPr="000655AE">
        <w:rPr>
          <w:rFonts w:ascii="Times New Roman" w:hAnsi="Times New Roman"/>
        </w:rPr>
        <w:t>(1)</w:t>
      </w:r>
      <w:r w:rsidR="00510489">
        <w:rPr>
          <w:rFonts w:ascii="Times New Roman" w:hAnsi="Times New Roman"/>
        </w:rPr>
        <w:tab/>
      </w:r>
      <w:r w:rsidR="00502915" w:rsidRPr="000655AE">
        <w:rPr>
          <w:rFonts w:ascii="Times New Roman" w:hAnsi="Times New Roman"/>
        </w:rPr>
        <w:t>Section 36 of the Principal Act is amended—</w:t>
      </w:r>
    </w:p>
    <w:p w:rsidR="00502915" w:rsidRPr="000655AE" w:rsidRDefault="00502915" w:rsidP="00E872EF">
      <w:pPr>
        <w:spacing w:after="0" w:line="240" w:lineRule="auto"/>
        <w:ind w:left="1008" w:hanging="432"/>
        <w:jc w:val="both"/>
        <w:rPr>
          <w:rFonts w:ascii="Times New Roman" w:hAnsi="Times New Roman"/>
        </w:rPr>
      </w:pPr>
      <w:r w:rsidRPr="000655AE">
        <w:rPr>
          <w:rFonts w:ascii="Times New Roman" w:hAnsi="Times New Roman"/>
        </w:rPr>
        <w:t xml:space="preserve">(a) by omitting paragraphs (a) and (b) of sub-section </w:t>
      </w:r>
      <w:r w:rsidR="000655AE" w:rsidRPr="000655AE">
        <w:rPr>
          <w:rFonts w:ascii="Times New Roman" w:hAnsi="Times New Roman"/>
          <w:smallCaps/>
        </w:rPr>
        <w:t xml:space="preserve">(2) </w:t>
      </w:r>
      <w:r w:rsidRPr="000655AE">
        <w:rPr>
          <w:rFonts w:ascii="Times New Roman" w:hAnsi="Times New Roman"/>
        </w:rPr>
        <w:t>and substituting the following paragraphs:—</w:t>
      </w:r>
    </w:p>
    <w:p w:rsidR="00502915" w:rsidRPr="000655AE" w:rsidRDefault="00250BC2" w:rsidP="00F273E4">
      <w:pPr>
        <w:spacing w:after="0" w:line="240" w:lineRule="auto"/>
        <w:ind w:left="1728" w:hanging="432"/>
        <w:jc w:val="both"/>
        <w:rPr>
          <w:rFonts w:ascii="Times New Roman" w:hAnsi="Times New Roman"/>
        </w:rPr>
      </w:pPr>
      <w:r>
        <w:rPr>
          <w:rFonts w:ascii="Times New Roman" w:hAnsi="Times New Roman"/>
        </w:rPr>
        <w:t>“</w:t>
      </w:r>
      <w:r w:rsidR="00502915" w:rsidRPr="000655AE">
        <w:rPr>
          <w:rFonts w:ascii="Times New Roman" w:hAnsi="Times New Roman"/>
        </w:rPr>
        <w:t>(a) if the period for which the interest is payable is less than 3 years—the short term interest rate; and</w:t>
      </w:r>
    </w:p>
    <w:p w:rsidR="00502915" w:rsidRPr="000655AE" w:rsidRDefault="00250BC2" w:rsidP="00F273E4">
      <w:pPr>
        <w:spacing w:after="0" w:line="240" w:lineRule="auto"/>
        <w:ind w:left="1728" w:hanging="432"/>
        <w:jc w:val="both"/>
        <w:rPr>
          <w:rFonts w:ascii="Times New Roman" w:hAnsi="Times New Roman"/>
        </w:rPr>
      </w:pPr>
      <w:r>
        <w:rPr>
          <w:rFonts w:ascii="Times New Roman" w:hAnsi="Times New Roman"/>
        </w:rPr>
        <w:t>“</w:t>
      </w:r>
      <w:r w:rsidR="00502915" w:rsidRPr="000655AE">
        <w:rPr>
          <w:rFonts w:ascii="Times New Roman" w:hAnsi="Times New Roman"/>
        </w:rPr>
        <w:t>(b) in any other case—the long term interest rate,</w:t>
      </w:r>
      <w:r>
        <w:rPr>
          <w:rFonts w:ascii="Times New Roman" w:hAnsi="Times New Roman"/>
        </w:rPr>
        <w:t>”</w:t>
      </w:r>
      <w:r w:rsidR="00502915" w:rsidRPr="000655AE">
        <w:rPr>
          <w:rFonts w:ascii="Times New Roman" w:hAnsi="Times New Roman"/>
        </w:rPr>
        <w:t>;</w:t>
      </w:r>
    </w:p>
    <w:p w:rsidR="00502915" w:rsidRPr="000655AE" w:rsidRDefault="00502915" w:rsidP="00F273E4">
      <w:pPr>
        <w:spacing w:after="0" w:line="240" w:lineRule="auto"/>
        <w:ind w:left="1008" w:hanging="432"/>
        <w:jc w:val="both"/>
        <w:rPr>
          <w:rFonts w:ascii="Times New Roman" w:hAnsi="Times New Roman"/>
        </w:rPr>
      </w:pPr>
      <w:r w:rsidRPr="000655AE">
        <w:rPr>
          <w:rFonts w:ascii="Times New Roman" w:hAnsi="Times New Roman"/>
        </w:rPr>
        <w:t>(b) by adding at the end thereof the following sub-sections:—</w:t>
      </w:r>
    </w:p>
    <w:p w:rsidR="00502915" w:rsidRPr="000655AE" w:rsidRDefault="00250BC2" w:rsidP="00C91A02">
      <w:pPr>
        <w:spacing w:after="0" w:line="240" w:lineRule="auto"/>
        <w:ind w:left="1728" w:hanging="432"/>
        <w:jc w:val="both"/>
        <w:rPr>
          <w:rFonts w:ascii="Times New Roman" w:hAnsi="Times New Roman"/>
        </w:rPr>
      </w:pPr>
      <w:r>
        <w:rPr>
          <w:rFonts w:ascii="Times New Roman" w:hAnsi="Times New Roman"/>
        </w:rPr>
        <w:t>“</w:t>
      </w:r>
      <w:r w:rsidR="00502915" w:rsidRPr="000655AE">
        <w:rPr>
          <w:rFonts w:ascii="Times New Roman" w:hAnsi="Times New Roman"/>
        </w:rPr>
        <w:t>(5) In this section—</w:t>
      </w:r>
    </w:p>
    <w:p w:rsidR="00502915" w:rsidRPr="000655AE" w:rsidRDefault="00250BC2" w:rsidP="00C91A02">
      <w:pPr>
        <w:spacing w:after="0" w:line="240" w:lineRule="auto"/>
        <w:ind w:left="2016" w:hanging="432"/>
        <w:jc w:val="both"/>
        <w:rPr>
          <w:rFonts w:ascii="Times New Roman" w:hAnsi="Times New Roman"/>
        </w:rPr>
      </w:pPr>
      <w:r>
        <w:rPr>
          <w:rFonts w:ascii="Times New Roman" w:hAnsi="Times New Roman"/>
        </w:rPr>
        <w:t>‘</w:t>
      </w:r>
      <w:r w:rsidR="00502915" w:rsidRPr="000655AE">
        <w:rPr>
          <w:rFonts w:ascii="Times New Roman" w:hAnsi="Times New Roman"/>
        </w:rPr>
        <w:t>loan</w:t>
      </w:r>
      <w:r>
        <w:rPr>
          <w:rFonts w:ascii="Times New Roman" w:hAnsi="Times New Roman"/>
        </w:rPr>
        <w:t>’</w:t>
      </w:r>
      <w:r w:rsidR="00502915" w:rsidRPr="000655AE">
        <w:rPr>
          <w:rFonts w:ascii="Times New Roman" w:hAnsi="Times New Roman"/>
        </w:rPr>
        <w:t xml:space="preserve"> means a borrowing of moneys by Australia by public subscription in Australia under the authority of an Act and in accordance with a prospectus;</w:t>
      </w:r>
    </w:p>
    <w:p w:rsidR="00502915" w:rsidRPr="000655AE" w:rsidRDefault="00250BC2" w:rsidP="00C91A02">
      <w:pPr>
        <w:spacing w:after="0" w:line="240" w:lineRule="auto"/>
        <w:ind w:left="2016" w:hanging="432"/>
        <w:jc w:val="both"/>
        <w:rPr>
          <w:rFonts w:ascii="Times New Roman" w:hAnsi="Times New Roman"/>
        </w:rPr>
      </w:pPr>
      <w:r>
        <w:rPr>
          <w:rFonts w:ascii="Times New Roman" w:hAnsi="Times New Roman"/>
        </w:rPr>
        <w:t>‘</w:t>
      </w:r>
      <w:r w:rsidR="00502915" w:rsidRPr="000655AE">
        <w:rPr>
          <w:rFonts w:ascii="Times New Roman" w:hAnsi="Times New Roman"/>
        </w:rPr>
        <w:t>long term interest rate</w:t>
      </w:r>
      <w:r>
        <w:rPr>
          <w:rFonts w:ascii="Times New Roman" w:hAnsi="Times New Roman"/>
        </w:rPr>
        <w:t>’</w:t>
      </w:r>
      <w:r w:rsidR="00502915" w:rsidRPr="000655AE">
        <w:rPr>
          <w:rFonts w:ascii="Times New Roman" w:hAnsi="Times New Roman"/>
        </w:rPr>
        <w:t>, in relation to an amount of compensation, means the rate of interest payable on the long term securities having a term nearest to 10 years offered in connexion with the last loan for which a prospectus relating to long term securities was issued before the date on which the acquisition concerned was effected;</w:t>
      </w:r>
    </w:p>
    <w:p w:rsidR="00502915" w:rsidRPr="000655AE" w:rsidRDefault="00B17443" w:rsidP="000655AE">
      <w:pPr>
        <w:spacing w:after="0" w:line="240" w:lineRule="auto"/>
        <w:jc w:val="both"/>
        <w:rPr>
          <w:rFonts w:ascii="Times New Roman" w:hAnsi="Times New Roman"/>
        </w:rPr>
      </w:pPr>
      <w:r>
        <w:rPr>
          <w:rFonts w:ascii="Times New Roman" w:hAnsi="Times New Roman"/>
        </w:rPr>
        <w:br w:type="page"/>
      </w:r>
    </w:p>
    <w:p w:rsidR="00502915" w:rsidRPr="000655AE" w:rsidRDefault="00250BC2" w:rsidP="00C12115">
      <w:pPr>
        <w:spacing w:after="0" w:line="240" w:lineRule="auto"/>
        <w:ind w:left="2016" w:hanging="432"/>
        <w:jc w:val="both"/>
        <w:rPr>
          <w:rFonts w:ascii="Times New Roman" w:hAnsi="Times New Roman"/>
        </w:rPr>
      </w:pPr>
      <w:r>
        <w:rPr>
          <w:rFonts w:ascii="Times New Roman" w:hAnsi="Times New Roman"/>
        </w:rPr>
        <w:lastRenderedPageBreak/>
        <w:t>‘</w:t>
      </w:r>
      <w:r w:rsidR="00502915" w:rsidRPr="000655AE">
        <w:rPr>
          <w:rFonts w:ascii="Times New Roman" w:hAnsi="Times New Roman"/>
        </w:rPr>
        <w:t>long term securities</w:t>
      </w:r>
      <w:r>
        <w:rPr>
          <w:rFonts w:ascii="Times New Roman" w:hAnsi="Times New Roman"/>
        </w:rPr>
        <w:t>’</w:t>
      </w:r>
      <w:r w:rsidR="00502915" w:rsidRPr="000655AE">
        <w:rPr>
          <w:rFonts w:ascii="Times New Roman" w:hAnsi="Times New Roman"/>
        </w:rPr>
        <w:t xml:space="preserve"> means securities the term of which exceeds 6 years but does not exceed 15 years;</w:t>
      </w:r>
    </w:p>
    <w:p w:rsidR="00502915" w:rsidRPr="000655AE" w:rsidRDefault="00250BC2" w:rsidP="00C12115">
      <w:pPr>
        <w:spacing w:after="0" w:line="240" w:lineRule="auto"/>
        <w:ind w:left="2016" w:hanging="432"/>
        <w:jc w:val="both"/>
        <w:rPr>
          <w:rFonts w:ascii="Times New Roman" w:hAnsi="Times New Roman"/>
        </w:rPr>
      </w:pPr>
      <w:r>
        <w:rPr>
          <w:rFonts w:ascii="Times New Roman" w:hAnsi="Times New Roman"/>
        </w:rPr>
        <w:t>‘</w:t>
      </w:r>
      <w:r w:rsidR="00502915" w:rsidRPr="000655AE">
        <w:rPr>
          <w:rFonts w:ascii="Times New Roman" w:hAnsi="Times New Roman"/>
        </w:rPr>
        <w:t>public subscription</w:t>
      </w:r>
      <w:r>
        <w:rPr>
          <w:rFonts w:ascii="Times New Roman" w:hAnsi="Times New Roman"/>
        </w:rPr>
        <w:t>’</w:t>
      </w:r>
      <w:r w:rsidR="00502915" w:rsidRPr="000655AE">
        <w:rPr>
          <w:rFonts w:ascii="Times New Roman" w:hAnsi="Times New Roman"/>
        </w:rPr>
        <w:t xml:space="preserve"> includes the conversion of securities into other securities;</w:t>
      </w:r>
    </w:p>
    <w:p w:rsidR="00502915" w:rsidRPr="000655AE" w:rsidRDefault="00250BC2" w:rsidP="00C12115">
      <w:pPr>
        <w:spacing w:after="0" w:line="240" w:lineRule="auto"/>
        <w:ind w:left="2016" w:hanging="432"/>
        <w:jc w:val="both"/>
        <w:rPr>
          <w:rFonts w:ascii="Times New Roman" w:hAnsi="Times New Roman"/>
        </w:rPr>
      </w:pPr>
      <w:r>
        <w:rPr>
          <w:rFonts w:ascii="Times New Roman" w:hAnsi="Times New Roman"/>
        </w:rPr>
        <w:t>‘</w:t>
      </w:r>
      <w:r w:rsidR="00502915" w:rsidRPr="000655AE">
        <w:rPr>
          <w:rFonts w:ascii="Times New Roman" w:hAnsi="Times New Roman"/>
        </w:rPr>
        <w:t>securities</w:t>
      </w:r>
      <w:r>
        <w:rPr>
          <w:rFonts w:ascii="Times New Roman" w:hAnsi="Times New Roman"/>
        </w:rPr>
        <w:t>’</w:t>
      </w:r>
      <w:r w:rsidR="00502915" w:rsidRPr="000655AE">
        <w:rPr>
          <w:rFonts w:ascii="Times New Roman" w:hAnsi="Times New Roman"/>
        </w:rPr>
        <w:t xml:space="preserve"> means stock, bonds or other securities under the </w:t>
      </w:r>
      <w:r w:rsidR="000655AE" w:rsidRPr="000655AE">
        <w:rPr>
          <w:rFonts w:ascii="Times New Roman" w:hAnsi="Times New Roman"/>
          <w:i/>
        </w:rPr>
        <w:t xml:space="preserve">Commonwealth Inscribed Stock Act </w:t>
      </w:r>
      <w:r w:rsidR="00502915" w:rsidRPr="000655AE">
        <w:rPr>
          <w:rFonts w:ascii="Times New Roman" w:hAnsi="Times New Roman"/>
        </w:rPr>
        <w:t>1911–1966;</w:t>
      </w:r>
    </w:p>
    <w:p w:rsidR="00502915" w:rsidRPr="000655AE" w:rsidRDefault="00250BC2" w:rsidP="00C12115">
      <w:pPr>
        <w:spacing w:after="0" w:line="240" w:lineRule="auto"/>
        <w:ind w:left="2016" w:hanging="432"/>
        <w:jc w:val="both"/>
        <w:rPr>
          <w:rFonts w:ascii="Times New Roman" w:hAnsi="Times New Roman"/>
        </w:rPr>
      </w:pPr>
      <w:r>
        <w:rPr>
          <w:rFonts w:ascii="Times New Roman" w:hAnsi="Times New Roman"/>
        </w:rPr>
        <w:t>‘</w:t>
      </w:r>
      <w:r w:rsidR="00502915" w:rsidRPr="000655AE">
        <w:rPr>
          <w:rFonts w:ascii="Times New Roman" w:hAnsi="Times New Roman"/>
        </w:rPr>
        <w:t>short term interest ra</w:t>
      </w:r>
      <w:r w:rsidR="005A2DFB">
        <w:rPr>
          <w:rFonts w:ascii="Times New Roman" w:hAnsi="Times New Roman"/>
        </w:rPr>
        <w:t>t</w:t>
      </w:r>
      <w:r w:rsidR="00502915" w:rsidRPr="000655AE">
        <w:rPr>
          <w:rFonts w:ascii="Times New Roman" w:hAnsi="Times New Roman"/>
        </w:rPr>
        <w:t>e in relation to an amount of compensation, means the rate of interest payable on the short term securities having a term nearest to 3 years offered in connexion with the last loan for which a prospectus relating to short term securities was issued before the date on which the acquisition concerned was effected;</w:t>
      </w:r>
    </w:p>
    <w:p w:rsidR="00502915" w:rsidRPr="000655AE" w:rsidRDefault="00250BC2" w:rsidP="00C12115">
      <w:pPr>
        <w:spacing w:after="0" w:line="240" w:lineRule="auto"/>
        <w:ind w:left="2016" w:hanging="432"/>
        <w:jc w:val="both"/>
        <w:rPr>
          <w:rFonts w:ascii="Times New Roman" w:hAnsi="Times New Roman"/>
        </w:rPr>
      </w:pPr>
      <w:r>
        <w:rPr>
          <w:rFonts w:ascii="Times New Roman" w:hAnsi="Times New Roman"/>
        </w:rPr>
        <w:t>‘</w:t>
      </w:r>
      <w:r w:rsidR="00502915" w:rsidRPr="000655AE">
        <w:rPr>
          <w:rFonts w:ascii="Times New Roman" w:hAnsi="Times New Roman"/>
        </w:rPr>
        <w:t>short term securities</w:t>
      </w:r>
      <w:r>
        <w:rPr>
          <w:rFonts w:ascii="Times New Roman" w:hAnsi="Times New Roman"/>
        </w:rPr>
        <w:t>’</w:t>
      </w:r>
      <w:r w:rsidR="00502915" w:rsidRPr="000655AE">
        <w:rPr>
          <w:rFonts w:ascii="Times New Roman" w:hAnsi="Times New Roman"/>
        </w:rPr>
        <w:t xml:space="preserve"> means securities the term of which does not exceed 6 years;</w:t>
      </w:r>
    </w:p>
    <w:p w:rsidR="00502915" w:rsidRPr="000655AE" w:rsidRDefault="00250BC2" w:rsidP="00C12115">
      <w:pPr>
        <w:spacing w:after="0" w:line="240" w:lineRule="auto"/>
        <w:ind w:left="2016" w:hanging="432"/>
        <w:jc w:val="both"/>
        <w:rPr>
          <w:rFonts w:ascii="Times New Roman" w:hAnsi="Times New Roman"/>
        </w:rPr>
      </w:pPr>
      <w:r>
        <w:rPr>
          <w:rFonts w:ascii="Times New Roman" w:hAnsi="Times New Roman"/>
        </w:rPr>
        <w:t>‘</w:t>
      </w:r>
      <w:r w:rsidR="00502915" w:rsidRPr="000655AE">
        <w:rPr>
          <w:rFonts w:ascii="Times New Roman" w:hAnsi="Times New Roman"/>
        </w:rPr>
        <w:t>term</w:t>
      </w:r>
      <w:r>
        <w:rPr>
          <w:rFonts w:ascii="Times New Roman" w:hAnsi="Times New Roman"/>
        </w:rPr>
        <w:t>’</w:t>
      </w:r>
      <w:r w:rsidR="00502915" w:rsidRPr="000655AE">
        <w:rPr>
          <w:rFonts w:ascii="Times New Roman" w:hAnsi="Times New Roman"/>
        </w:rPr>
        <w:t>, in relation to securities included in a particular class of securities offered in connexion with a loan, means the period between—</w:t>
      </w:r>
    </w:p>
    <w:p w:rsidR="00502915" w:rsidRPr="000655AE" w:rsidRDefault="00502915" w:rsidP="00A3021D">
      <w:pPr>
        <w:spacing w:after="0" w:line="240" w:lineRule="auto"/>
        <w:ind w:left="2448" w:hanging="288"/>
        <w:jc w:val="both"/>
        <w:rPr>
          <w:rFonts w:ascii="Times New Roman" w:hAnsi="Times New Roman"/>
        </w:rPr>
      </w:pPr>
      <w:r w:rsidRPr="000655AE">
        <w:rPr>
          <w:rFonts w:ascii="Times New Roman" w:hAnsi="Times New Roman"/>
        </w:rPr>
        <w:t>(a) the date specified in the prospectus relating to the loan as—</w:t>
      </w:r>
    </w:p>
    <w:p w:rsidR="00502915" w:rsidRPr="000655AE" w:rsidRDefault="00502915" w:rsidP="00A3021D">
      <w:pPr>
        <w:spacing w:after="0" w:line="240" w:lineRule="auto"/>
        <w:ind w:left="2880" w:hanging="432"/>
        <w:jc w:val="both"/>
        <w:rPr>
          <w:rFonts w:ascii="Times New Roman" w:hAnsi="Times New Roman"/>
        </w:rPr>
      </w:pPr>
      <w:r w:rsidRPr="000655AE">
        <w:rPr>
          <w:rFonts w:ascii="Times New Roman" w:hAnsi="Times New Roman"/>
        </w:rPr>
        <w:t>(i) the date on and after which applications for securities included in that class will be received; or</w:t>
      </w:r>
    </w:p>
    <w:p w:rsidR="00502915" w:rsidRPr="000655AE" w:rsidRDefault="00502915" w:rsidP="00A3021D">
      <w:pPr>
        <w:spacing w:after="0" w:line="240" w:lineRule="auto"/>
        <w:ind w:left="2880" w:hanging="432"/>
        <w:jc w:val="both"/>
        <w:rPr>
          <w:rFonts w:ascii="Times New Roman" w:hAnsi="Times New Roman"/>
        </w:rPr>
      </w:pPr>
      <w:r w:rsidRPr="000655AE">
        <w:rPr>
          <w:rFonts w:ascii="Times New Roman" w:hAnsi="Times New Roman"/>
        </w:rPr>
        <w:t>(ii) if such a date is not so specified, the date on which conversion of other securities into securities included in that class will be effected; and</w:t>
      </w:r>
    </w:p>
    <w:p w:rsidR="00502915" w:rsidRPr="000655AE" w:rsidRDefault="00502915" w:rsidP="00F771DF">
      <w:pPr>
        <w:spacing w:after="0" w:line="240" w:lineRule="auto"/>
        <w:ind w:left="2448" w:hanging="288"/>
        <w:jc w:val="both"/>
        <w:rPr>
          <w:rFonts w:ascii="Times New Roman" w:hAnsi="Times New Roman"/>
        </w:rPr>
      </w:pPr>
      <w:r w:rsidRPr="000655AE">
        <w:rPr>
          <w:rFonts w:ascii="Times New Roman" w:hAnsi="Times New Roman"/>
        </w:rPr>
        <w:t>(b) the date specified in that prospectus as the date of maturity of securities included in that class.</w:t>
      </w:r>
    </w:p>
    <w:p w:rsidR="00502915" w:rsidRPr="000655AE" w:rsidRDefault="00250BC2" w:rsidP="00F771DF">
      <w:pPr>
        <w:spacing w:after="0" w:line="240" w:lineRule="auto"/>
        <w:ind w:left="1728" w:hanging="432"/>
        <w:jc w:val="both"/>
        <w:rPr>
          <w:rFonts w:ascii="Times New Roman" w:hAnsi="Times New Roman"/>
        </w:rPr>
      </w:pPr>
      <w:r>
        <w:rPr>
          <w:rFonts w:ascii="Times New Roman" w:hAnsi="Times New Roman"/>
        </w:rPr>
        <w:t>“</w:t>
      </w:r>
      <w:r w:rsidR="00502915" w:rsidRPr="000655AE">
        <w:rPr>
          <w:rFonts w:ascii="Times New Roman" w:hAnsi="Times New Roman"/>
        </w:rPr>
        <w:t>(6) Where prospectuses were issued on the one day for two or more loans, those loans shall, for the purposes of subsection (5), be deemed to be one loan.</w:t>
      </w:r>
      <w:r>
        <w:rPr>
          <w:rFonts w:ascii="Times New Roman" w:hAnsi="Times New Roman"/>
        </w:rPr>
        <w:t>”</w:t>
      </w:r>
      <w:r w:rsidR="00502915" w:rsidRPr="000655AE">
        <w:rPr>
          <w:rFonts w:ascii="Times New Roman" w:hAnsi="Times New Roman"/>
        </w:rPr>
        <w:t>.</w:t>
      </w:r>
    </w:p>
    <w:p w:rsidR="00502915" w:rsidRPr="000655AE" w:rsidRDefault="00502915" w:rsidP="00F771DF">
      <w:pPr>
        <w:tabs>
          <w:tab w:val="left" w:pos="547"/>
          <w:tab w:val="left" w:pos="994"/>
        </w:tabs>
        <w:spacing w:after="0" w:line="240" w:lineRule="auto"/>
        <w:ind w:firstLine="432"/>
        <w:jc w:val="both"/>
        <w:rPr>
          <w:rFonts w:ascii="Times New Roman" w:hAnsi="Times New Roman"/>
        </w:rPr>
      </w:pPr>
      <w:r w:rsidRPr="000655AE">
        <w:rPr>
          <w:rFonts w:ascii="Times New Roman" w:hAnsi="Times New Roman"/>
        </w:rPr>
        <w:t>(2)</w:t>
      </w:r>
      <w:r w:rsidR="00F771DF">
        <w:rPr>
          <w:rFonts w:ascii="Times New Roman" w:hAnsi="Times New Roman"/>
        </w:rPr>
        <w:tab/>
      </w:r>
      <w:r w:rsidRPr="000655AE">
        <w:rPr>
          <w:rFonts w:ascii="Times New Roman" w:hAnsi="Times New Roman"/>
        </w:rPr>
        <w:t>Where an amount of compensation in respect of an acquisition by compulsory process under the Principal Act is paid to the claimant, or deposited in the Treasury, on or after the date of commencement of this Act, interest is payable in accordance with section 36 of the Principal Act as amended by this Act, but as if the rate of interest provided by sub-section (2) of that section were—</w:t>
      </w:r>
    </w:p>
    <w:p w:rsidR="00502915" w:rsidRPr="000655AE" w:rsidRDefault="00502915" w:rsidP="00F771DF">
      <w:pPr>
        <w:spacing w:after="0" w:line="240" w:lineRule="auto"/>
        <w:ind w:left="1008" w:hanging="432"/>
        <w:jc w:val="both"/>
        <w:rPr>
          <w:rFonts w:ascii="Times New Roman" w:hAnsi="Times New Roman"/>
        </w:rPr>
      </w:pPr>
      <w:r w:rsidRPr="000655AE">
        <w:rPr>
          <w:rFonts w:ascii="Times New Roman" w:hAnsi="Times New Roman"/>
        </w:rPr>
        <w:t>(a) in respect of any portion of the period for which interest is payable that preceded the date of commencement of this Act—the rate that would have been applicable to that portion of that period if this section had not been enacted; and</w:t>
      </w:r>
    </w:p>
    <w:p w:rsidR="00502915" w:rsidRPr="000655AE" w:rsidRDefault="00502915" w:rsidP="00F771DF">
      <w:pPr>
        <w:spacing w:after="0" w:line="240" w:lineRule="auto"/>
        <w:ind w:left="1008" w:hanging="432"/>
        <w:jc w:val="both"/>
        <w:rPr>
          <w:rFonts w:ascii="Times New Roman" w:hAnsi="Times New Roman"/>
        </w:rPr>
      </w:pPr>
      <w:r w:rsidRPr="000655AE">
        <w:rPr>
          <w:rFonts w:ascii="Times New Roman" w:hAnsi="Times New Roman"/>
        </w:rPr>
        <w:t>(b) in respect of the portion of that period that commenced on the date of commencement of this Act—the rate that would have been applicable to the whole of that period if the amendments made by this section bad come into force before the commencement of that period.</w:t>
      </w:r>
    </w:p>
    <w:p w:rsidR="00502915" w:rsidRPr="00AE2953" w:rsidRDefault="00B17443" w:rsidP="00AE2953">
      <w:pPr>
        <w:spacing w:before="120" w:after="60" w:line="240" w:lineRule="auto"/>
        <w:jc w:val="both"/>
        <w:rPr>
          <w:rFonts w:ascii="Times New Roman" w:hAnsi="Times New Roman" w:cs="Times New Roman"/>
          <w:b/>
          <w:sz w:val="20"/>
        </w:rPr>
      </w:pPr>
      <w:r>
        <w:rPr>
          <w:rFonts w:ascii="Times New Roman" w:hAnsi="Times New Roman"/>
        </w:rPr>
        <w:br w:type="page"/>
      </w:r>
      <w:r w:rsidR="000655AE" w:rsidRPr="00AE2953">
        <w:rPr>
          <w:rFonts w:ascii="Times New Roman" w:hAnsi="Times New Roman" w:cs="Times New Roman"/>
          <w:b/>
          <w:sz w:val="20"/>
        </w:rPr>
        <w:lastRenderedPageBreak/>
        <w:t>Disposal of land.</w:t>
      </w:r>
    </w:p>
    <w:p w:rsidR="00502915" w:rsidRPr="000655AE" w:rsidRDefault="000655AE" w:rsidP="00AE2953">
      <w:pPr>
        <w:tabs>
          <w:tab w:val="left" w:pos="720"/>
        </w:tabs>
        <w:spacing w:after="0" w:line="240" w:lineRule="auto"/>
        <w:ind w:firstLine="432"/>
        <w:jc w:val="both"/>
        <w:rPr>
          <w:rFonts w:ascii="Times New Roman" w:hAnsi="Times New Roman"/>
        </w:rPr>
      </w:pPr>
      <w:r w:rsidRPr="000655AE">
        <w:rPr>
          <w:rFonts w:ascii="Times New Roman" w:hAnsi="Times New Roman"/>
          <w:b/>
        </w:rPr>
        <w:t>8.</w:t>
      </w:r>
      <w:r w:rsidR="00AE2953">
        <w:rPr>
          <w:rFonts w:ascii="Times New Roman" w:hAnsi="Times New Roman"/>
          <w:b/>
        </w:rPr>
        <w:t xml:space="preserve"> </w:t>
      </w:r>
      <w:r w:rsidR="00502915" w:rsidRPr="000655AE">
        <w:rPr>
          <w:rFonts w:ascii="Times New Roman" w:hAnsi="Times New Roman"/>
        </w:rPr>
        <w:t>(1)</w:t>
      </w:r>
      <w:r w:rsidR="00AE2953">
        <w:rPr>
          <w:rFonts w:ascii="Times New Roman" w:hAnsi="Times New Roman"/>
        </w:rPr>
        <w:tab/>
      </w:r>
      <w:r w:rsidR="00502915" w:rsidRPr="000655AE">
        <w:rPr>
          <w:rFonts w:ascii="Times New Roman" w:hAnsi="Times New Roman"/>
        </w:rPr>
        <w:t>Section 53 of the Principal Act is amended by omitting paragraphs (a) and (b) of sub-section (1) and substituting the following paragraphs and words:—</w:t>
      </w:r>
    </w:p>
    <w:p w:rsidR="00502915" w:rsidRPr="000655AE" w:rsidRDefault="00250BC2" w:rsidP="00C916AD">
      <w:pPr>
        <w:spacing w:after="0" w:line="240" w:lineRule="auto"/>
        <w:ind w:left="900" w:hanging="432"/>
        <w:jc w:val="both"/>
        <w:rPr>
          <w:rFonts w:ascii="Times New Roman" w:hAnsi="Times New Roman"/>
        </w:rPr>
      </w:pPr>
      <w:r>
        <w:rPr>
          <w:rFonts w:ascii="Times New Roman" w:hAnsi="Times New Roman"/>
        </w:rPr>
        <w:t>“</w:t>
      </w:r>
      <w:r w:rsidR="00502915" w:rsidRPr="000655AE">
        <w:rPr>
          <w:rFonts w:ascii="Times New Roman" w:hAnsi="Times New Roman"/>
        </w:rPr>
        <w:t>(a) the land may be disposed of; or</w:t>
      </w:r>
    </w:p>
    <w:p w:rsidR="00C916AD" w:rsidRDefault="00502915" w:rsidP="000A4241">
      <w:pPr>
        <w:spacing w:after="0" w:line="240" w:lineRule="auto"/>
        <w:ind w:left="1008" w:hanging="432"/>
        <w:jc w:val="both"/>
        <w:rPr>
          <w:rFonts w:ascii="Times New Roman" w:hAnsi="Times New Roman"/>
        </w:rPr>
      </w:pPr>
      <w:r w:rsidRPr="000655AE">
        <w:rPr>
          <w:rFonts w:ascii="Times New Roman" w:hAnsi="Times New Roman"/>
        </w:rPr>
        <w:t xml:space="preserve">(b) a lease of or a licence to </w:t>
      </w:r>
      <w:r w:rsidR="00C916AD">
        <w:rPr>
          <w:rFonts w:ascii="Times New Roman" w:hAnsi="Times New Roman"/>
        </w:rPr>
        <w:t>occupy the land may be granted,</w:t>
      </w:r>
    </w:p>
    <w:p w:rsidR="00502915" w:rsidRPr="000655AE" w:rsidRDefault="00502915" w:rsidP="00C916AD">
      <w:pPr>
        <w:spacing w:after="0" w:line="240" w:lineRule="auto"/>
        <w:jc w:val="both"/>
        <w:rPr>
          <w:rFonts w:ascii="Times New Roman" w:hAnsi="Times New Roman"/>
        </w:rPr>
      </w:pPr>
      <w:r w:rsidRPr="000655AE">
        <w:rPr>
          <w:rFonts w:ascii="Times New Roman" w:hAnsi="Times New Roman"/>
        </w:rPr>
        <w:t>under the authority of the Minister.</w:t>
      </w:r>
      <w:r w:rsidR="00250BC2">
        <w:rPr>
          <w:rFonts w:ascii="Times New Roman" w:hAnsi="Times New Roman"/>
        </w:rPr>
        <w:t>”</w:t>
      </w:r>
      <w:r w:rsidRPr="000655AE">
        <w:rPr>
          <w:rFonts w:ascii="Times New Roman" w:hAnsi="Times New Roman"/>
        </w:rPr>
        <w:t>.</w:t>
      </w:r>
    </w:p>
    <w:p w:rsidR="00502915" w:rsidRPr="000655AE" w:rsidRDefault="00502915" w:rsidP="009C079F">
      <w:pPr>
        <w:tabs>
          <w:tab w:val="left" w:pos="547"/>
          <w:tab w:val="left" w:pos="994"/>
        </w:tabs>
        <w:spacing w:after="0" w:line="240" w:lineRule="auto"/>
        <w:ind w:firstLine="432"/>
        <w:jc w:val="both"/>
        <w:rPr>
          <w:rFonts w:ascii="Times New Roman" w:hAnsi="Times New Roman"/>
        </w:rPr>
      </w:pPr>
      <w:r w:rsidRPr="000655AE">
        <w:rPr>
          <w:rFonts w:ascii="Times New Roman" w:hAnsi="Times New Roman"/>
        </w:rPr>
        <w:t>(2)</w:t>
      </w:r>
      <w:r w:rsidR="009C079F">
        <w:rPr>
          <w:rFonts w:ascii="Times New Roman" w:hAnsi="Times New Roman"/>
        </w:rPr>
        <w:tab/>
      </w:r>
      <w:r w:rsidRPr="000655AE">
        <w:rPr>
          <w:rFonts w:ascii="Times New Roman" w:hAnsi="Times New Roman"/>
        </w:rPr>
        <w:t>Where the disposal of any land, or the grant of a lease of or a licence to occupy any land, was authorized under section 53 of the Principal Act and was not completed before the date of commencement of this Act, that disposal or grant, as the case may be, may be completed as if the amendment made by this section had not been made.</w:t>
      </w:r>
    </w:p>
    <w:p w:rsidR="00502915" w:rsidRPr="009C079F" w:rsidRDefault="000655AE" w:rsidP="009C079F">
      <w:pPr>
        <w:spacing w:before="120" w:after="60" w:line="240" w:lineRule="auto"/>
        <w:jc w:val="both"/>
        <w:rPr>
          <w:rFonts w:ascii="Times New Roman" w:hAnsi="Times New Roman" w:cs="Times New Roman"/>
          <w:b/>
          <w:sz w:val="20"/>
        </w:rPr>
      </w:pPr>
      <w:r w:rsidRPr="009C079F">
        <w:rPr>
          <w:rFonts w:ascii="Times New Roman" w:hAnsi="Times New Roman" w:cs="Times New Roman"/>
          <w:b/>
          <w:sz w:val="20"/>
        </w:rPr>
        <w:t>Delegation.</w:t>
      </w:r>
    </w:p>
    <w:p w:rsidR="00502915" w:rsidRPr="000655AE" w:rsidRDefault="000655AE" w:rsidP="009C079F">
      <w:pPr>
        <w:tabs>
          <w:tab w:val="left" w:pos="547"/>
          <w:tab w:val="left" w:pos="994"/>
        </w:tabs>
        <w:spacing w:after="0" w:line="240" w:lineRule="auto"/>
        <w:ind w:firstLine="432"/>
        <w:jc w:val="both"/>
        <w:rPr>
          <w:rFonts w:ascii="Times New Roman" w:hAnsi="Times New Roman"/>
        </w:rPr>
      </w:pPr>
      <w:r w:rsidRPr="000655AE">
        <w:rPr>
          <w:rFonts w:ascii="Times New Roman" w:hAnsi="Times New Roman"/>
          <w:b/>
        </w:rPr>
        <w:t>9.</w:t>
      </w:r>
      <w:r w:rsidR="009C079F">
        <w:rPr>
          <w:rFonts w:ascii="Times New Roman" w:hAnsi="Times New Roman"/>
        </w:rPr>
        <w:tab/>
      </w:r>
      <w:r w:rsidR="00502915" w:rsidRPr="000655AE">
        <w:rPr>
          <w:rFonts w:ascii="Times New Roman" w:hAnsi="Times New Roman"/>
        </w:rPr>
        <w:t>Section 64 of the Principal Act is amended by omitting subsection (2).</w:t>
      </w:r>
    </w:p>
    <w:p w:rsidR="00502915" w:rsidRPr="000655AE" w:rsidRDefault="000655AE" w:rsidP="00C916AD">
      <w:pPr>
        <w:tabs>
          <w:tab w:val="left" w:pos="547"/>
          <w:tab w:val="left" w:pos="994"/>
        </w:tabs>
        <w:spacing w:before="120" w:after="0" w:line="240" w:lineRule="auto"/>
        <w:ind w:firstLine="432"/>
        <w:jc w:val="both"/>
        <w:rPr>
          <w:rFonts w:ascii="Times New Roman" w:hAnsi="Times New Roman"/>
        </w:rPr>
      </w:pPr>
      <w:r w:rsidRPr="000655AE">
        <w:rPr>
          <w:rFonts w:ascii="Times New Roman" w:hAnsi="Times New Roman"/>
          <w:b/>
        </w:rPr>
        <w:t>10.</w:t>
      </w:r>
      <w:r w:rsidR="009C079F">
        <w:rPr>
          <w:rFonts w:ascii="Times New Roman" w:hAnsi="Times New Roman"/>
        </w:rPr>
        <w:tab/>
      </w:r>
      <w:r w:rsidR="00502915" w:rsidRPr="000655AE">
        <w:rPr>
          <w:rFonts w:ascii="Times New Roman" w:hAnsi="Times New Roman"/>
        </w:rPr>
        <w:t>After section 66 of the Principal Act the following section is inserted:—</w:t>
      </w:r>
    </w:p>
    <w:p w:rsidR="00502915" w:rsidRPr="009C079F" w:rsidRDefault="000655AE" w:rsidP="009C079F">
      <w:pPr>
        <w:spacing w:before="120" w:after="60" w:line="240" w:lineRule="auto"/>
        <w:jc w:val="both"/>
        <w:rPr>
          <w:rFonts w:ascii="Times New Roman" w:hAnsi="Times New Roman" w:cs="Times New Roman"/>
          <w:b/>
          <w:sz w:val="20"/>
        </w:rPr>
      </w:pPr>
      <w:r w:rsidRPr="009C079F">
        <w:rPr>
          <w:rFonts w:ascii="Times New Roman" w:hAnsi="Times New Roman" w:cs="Times New Roman"/>
          <w:b/>
          <w:sz w:val="20"/>
        </w:rPr>
        <w:t>Statutory authorities.</w:t>
      </w:r>
    </w:p>
    <w:p w:rsidR="00502915" w:rsidRPr="000655AE" w:rsidRDefault="00250BC2" w:rsidP="00C916AD">
      <w:pPr>
        <w:tabs>
          <w:tab w:val="left" w:pos="720"/>
          <w:tab w:val="left" w:pos="1440"/>
        </w:tabs>
        <w:spacing w:after="0" w:line="240" w:lineRule="auto"/>
        <w:ind w:firstLine="432"/>
        <w:jc w:val="both"/>
        <w:rPr>
          <w:rFonts w:ascii="Times New Roman" w:hAnsi="Times New Roman"/>
        </w:rPr>
      </w:pPr>
      <w:r>
        <w:rPr>
          <w:rFonts w:ascii="Times New Roman" w:hAnsi="Times New Roman"/>
        </w:rPr>
        <w:t>“</w:t>
      </w:r>
      <w:r w:rsidR="00502915" w:rsidRPr="000655AE">
        <w:rPr>
          <w:rFonts w:ascii="Times New Roman" w:hAnsi="Times New Roman"/>
        </w:rPr>
        <w:t>66</w:t>
      </w:r>
      <w:r w:rsidR="000655AE" w:rsidRPr="000655AE">
        <w:rPr>
          <w:rFonts w:ascii="Times New Roman" w:hAnsi="Times New Roman"/>
          <w:smallCaps/>
        </w:rPr>
        <w:t>a.</w:t>
      </w:r>
      <w:r w:rsidR="001A4C7B">
        <w:rPr>
          <w:rFonts w:ascii="Times New Roman" w:hAnsi="Times New Roman"/>
          <w:smallCaps/>
        </w:rPr>
        <w:t xml:space="preserve"> </w:t>
      </w:r>
      <w:r w:rsidR="00502915" w:rsidRPr="000655AE">
        <w:rPr>
          <w:rFonts w:ascii="Times New Roman" w:hAnsi="Times New Roman"/>
        </w:rPr>
        <w:t>(1)</w:t>
      </w:r>
      <w:r w:rsidR="009C079F">
        <w:rPr>
          <w:rFonts w:ascii="Times New Roman" w:hAnsi="Times New Roman"/>
        </w:rPr>
        <w:tab/>
      </w:r>
      <w:r w:rsidR="00502915" w:rsidRPr="000655AE">
        <w:rPr>
          <w:rFonts w:ascii="Times New Roman" w:hAnsi="Times New Roman"/>
        </w:rPr>
        <w:t>Subject to sub-section (2) and except as otherwise approved by the Minister, the acquisition, including acquisition, by agreement, of land required for the purposes of a corporation incorporated by a law of Australia or of a Territory (whether made before or after the commencement of this section) shall be effected under this Act.</w:t>
      </w:r>
    </w:p>
    <w:p w:rsidR="00502915" w:rsidRPr="000655AE" w:rsidRDefault="00250BC2" w:rsidP="001A4C7B">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502915" w:rsidRPr="000655AE">
        <w:rPr>
          <w:rFonts w:ascii="Times New Roman" w:hAnsi="Times New Roman"/>
        </w:rPr>
        <w:t>(2)</w:t>
      </w:r>
      <w:r w:rsidR="001A4C7B">
        <w:rPr>
          <w:rFonts w:ascii="Times New Roman" w:hAnsi="Times New Roman"/>
        </w:rPr>
        <w:tab/>
      </w:r>
      <w:r w:rsidR="00502915" w:rsidRPr="000655AE">
        <w:rPr>
          <w:rFonts w:ascii="Times New Roman" w:hAnsi="Times New Roman"/>
        </w:rPr>
        <w:t>This section does not apply in relation to—</w:t>
      </w:r>
    </w:p>
    <w:p w:rsidR="00502915" w:rsidRPr="000655AE" w:rsidRDefault="00502915" w:rsidP="001A4C7B">
      <w:pPr>
        <w:spacing w:after="0" w:line="240" w:lineRule="auto"/>
        <w:ind w:left="1008" w:hanging="432"/>
        <w:jc w:val="both"/>
        <w:rPr>
          <w:rFonts w:ascii="Times New Roman" w:hAnsi="Times New Roman"/>
        </w:rPr>
      </w:pPr>
      <w:r w:rsidRPr="000655AE">
        <w:rPr>
          <w:rFonts w:ascii="Times New Roman" w:hAnsi="Times New Roman"/>
        </w:rPr>
        <w:t>(a) a corporation that is a company or an incorporated association, society or body of trustees; or</w:t>
      </w:r>
    </w:p>
    <w:p w:rsidR="00502915" w:rsidRPr="000655AE" w:rsidRDefault="00502915" w:rsidP="001A4C7B">
      <w:pPr>
        <w:spacing w:after="0" w:line="240" w:lineRule="auto"/>
        <w:ind w:left="1008" w:hanging="432"/>
        <w:jc w:val="both"/>
        <w:rPr>
          <w:rFonts w:ascii="Times New Roman" w:hAnsi="Times New Roman"/>
        </w:rPr>
      </w:pPr>
      <w:r w:rsidRPr="000655AE">
        <w:rPr>
          <w:rFonts w:ascii="Times New Roman" w:hAnsi="Times New Roman"/>
        </w:rPr>
        <w:t xml:space="preserve">(b) such other corporations as are specified by the Minister by notice in the </w:t>
      </w:r>
      <w:r w:rsidR="000655AE" w:rsidRPr="000655AE">
        <w:rPr>
          <w:rFonts w:ascii="Times New Roman" w:hAnsi="Times New Roman"/>
          <w:i/>
        </w:rPr>
        <w:t xml:space="preserve">Gazette </w:t>
      </w:r>
      <w:r w:rsidRPr="000655AE">
        <w:rPr>
          <w:rFonts w:ascii="Times New Roman" w:hAnsi="Times New Roman"/>
        </w:rPr>
        <w:t>to be corporations in relation to which this section does not apply.</w:t>
      </w:r>
    </w:p>
    <w:p w:rsidR="00502915" w:rsidRPr="000655AE" w:rsidRDefault="00250BC2" w:rsidP="00C916AD">
      <w:pPr>
        <w:tabs>
          <w:tab w:val="left" w:pos="547"/>
          <w:tab w:val="left" w:pos="994"/>
        </w:tabs>
        <w:spacing w:before="120" w:after="0" w:line="240" w:lineRule="auto"/>
        <w:ind w:firstLine="432"/>
        <w:jc w:val="both"/>
        <w:rPr>
          <w:rFonts w:ascii="Times New Roman" w:hAnsi="Times New Roman"/>
        </w:rPr>
      </w:pPr>
      <w:r>
        <w:rPr>
          <w:rFonts w:ascii="Times New Roman" w:hAnsi="Times New Roman"/>
        </w:rPr>
        <w:t>“</w:t>
      </w:r>
      <w:r w:rsidR="00502915" w:rsidRPr="000655AE">
        <w:rPr>
          <w:rFonts w:ascii="Times New Roman" w:hAnsi="Times New Roman"/>
        </w:rPr>
        <w:t>(3)</w:t>
      </w:r>
      <w:r w:rsidR="007F0F2B">
        <w:rPr>
          <w:rFonts w:ascii="Times New Roman" w:hAnsi="Times New Roman"/>
        </w:rPr>
        <w:tab/>
      </w:r>
      <w:r w:rsidR="00502915" w:rsidRPr="000655AE">
        <w:rPr>
          <w:rFonts w:ascii="Times New Roman" w:hAnsi="Times New Roman"/>
        </w:rPr>
        <w:t>Without prejudice to the obligation of corporations in relation to which this section applies not to acquire land otherwise than in accordance with this section, this section shall not be taken to invalidate, an acquisition of land otherwise than in accordance with this section,</w:t>
      </w:r>
      <w:r>
        <w:rPr>
          <w:rFonts w:ascii="Times New Roman" w:hAnsi="Times New Roman"/>
        </w:rPr>
        <w:t>”</w:t>
      </w:r>
      <w:r w:rsidR="00502915" w:rsidRPr="000655AE">
        <w:rPr>
          <w:rFonts w:ascii="Times New Roman" w:hAnsi="Times New Roman"/>
        </w:rPr>
        <w:t>.</w:t>
      </w:r>
    </w:p>
    <w:p w:rsidR="00502915" w:rsidRPr="007F0F2B" w:rsidRDefault="00502915" w:rsidP="007F0F2B">
      <w:pPr>
        <w:spacing w:before="120" w:after="60" w:line="240" w:lineRule="auto"/>
        <w:jc w:val="both"/>
        <w:rPr>
          <w:rFonts w:ascii="Times New Roman" w:hAnsi="Times New Roman" w:cs="Times New Roman"/>
          <w:b/>
          <w:sz w:val="20"/>
        </w:rPr>
      </w:pPr>
      <w:r w:rsidRPr="007F0F2B">
        <w:rPr>
          <w:rFonts w:ascii="Times New Roman" w:hAnsi="Times New Roman" w:cs="Times New Roman"/>
          <w:b/>
          <w:sz w:val="20"/>
        </w:rPr>
        <w:t>Additional amendments.</w:t>
      </w:r>
    </w:p>
    <w:p w:rsidR="00502915" w:rsidRPr="000655AE" w:rsidRDefault="000655AE" w:rsidP="00B527E6">
      <w:pPr>
        <w:tabs>
          <w:tab w:val="left" w:pos="900"/>
        </w:tabs>
        <w:spacing w:after="0" w:line="240" w:lineRule="auto"/>
        <w:ind w:firstLine="432"/>
        <w:jc w:val="both"/>
        <w:rPr>
          <w:rFonts w:ascii="Times New Roman" w:hAnsi="Times New Roman"/>
        </w:rPr>
      </w:pPr>
      <w:r w:rsidRPr="000655AE">
        <w:rPr>
          <w:rFonts w:ascii="Times New Roman" w:hAnsi="Times New Roman"/>
          <w:b/>
        </w:rPr>
        <w:t>11.</w:t>
      </w:r>
      <w:r w:rsidR="00B527E6">
        <w:rPr>
          <w:rFonts w:ascii="Times New Roman" w:hAnsi="Times New Roman"/>
        </w:rPr>
        <w:tab/>
      </w:r>
      <w:r w:rsidR="00502915" w:rsidRPr="000655AE">
        <w:rPr>
          <w:rFonts w:ascii="Times New Roman" w:hAnsi="Times New Roman"/>
        </w:rPr>
        <w:t>The Principal Act is amended as set out in the Schedule.</w:t>
      </w:r>
    </w:p>
    <w:p w:rsidR="00C916AD" w:rsidRDefault="00C916AD" w:rsidP="00C916AD">
      <w:pPr>
        <w:pBdr>
          <w:bottom w:val="single" w:sz="4" w:space="1" w:color="auto"/>
        </w:pBdr>
        <w:tabs>
          <w:tab w:val="left" w:pos="7830"/>
        </w:tabs>
        <w:spacing w:before="1000" w:after="0" w:line="240" w:lineRule="auto"/>
        <w:ind w:left="3744" w:right="3744"/>
        <w:jc w:val="center"/>
        <w:rPr>
          <w:rFonts w:ascii="Times New Roman" w:hAnsi="Times New Roman"/>
        </w:rPr>
      </w:pPr>
    </w:p>
    <w:p w:rsidR="00502915" w:rsidRPr="000655AE" w:rsidRDefault="00B17443" w:rsidP="00F658A7">
      <w:pPr>
        <w:tabs>
          <w:tab w:val="left" w:pos="7830"/>
        </w:tabs>
        <w:spacing w:after="0" w:line="240" w:lineRule="auto"/>
        <w:ind w:firstLine="3780"/>
        <w:jc w:val="both"/>
        <w:rPr>
          <w:rFonts w:ascii="Times New Roman" w:hAnsi="Times New Roman"/>
        </w:rPr>
      </w:pPr>
      <w:r>
        <w:rPr>
          <w:rFonts w:ascii="Times New Roman" w:hAnsi="Times New Roman"/>
        </w:rPr>
        <w:br w:type="page"/>
      </w:r>
      <w:r w:rsidR="00502915" w:rsidRPr="000655AE">
        <w:rPr>
          <w:rFonts w:ascii="Times New Roman" w:hAnsi="Times New Roman"/>
        </w:rPr>
        <w:lastRenderedPageBreak/>
        <w:t>SCHEDULE</w:t>
      </w:r>
      <w:r w:rsidR="00F658A7">
        <w:rPr>
          <w:rFonts w:ascii="Times New Roman" w:hAnsi="Times New Roman"/>
        </w:rPr>
        <w:tab/>
      </w:r>
      <w:r w:rsidR="00502915" w:rsidRPr="000655AE">
        <w:rPr>
          <w:rFonts w:ascii="Times New Roman" w:hAnsi="Times New Roman"/>
        </w:rPr>
        <w:t>Section 11</w:t>
      </w:r>
    </w:p>
    <w:p w:rsidR="00502915" w:rsidRPr="000655AE" w:rsidRDefault="00502915" w:rsidP="00F658A7">
      <w:pPr>
        <w:spacing w:before="120" w:after="120" w:line="240" w:lineRule="auto"/>
        <w:jc w:val="center"/>
        <w:rPr>
          <w:rFonts w:ascii="Times New Roman" w:hAnsi="Times New Roman"/>
        </w:rPr>
      </w:pPr>
      <w:r w:rsidRPr="000655AE">
        <w:rPr>
          <w:rFonts w:ascii="Times New Roman" w:hAnsi="Times New Roman"/>
        </w:rPr>
        <w:t>ADDITIONAL AMENDMENTS</w:t>
      </w:r>
    </w:p>
    <w:p w:rsidR="00502915" w:rsidRPr="000655AE" w:rsidRDefault="00502915" w:rsidP="00ED4099">
      <w:pPr>
        <w:tabs>
          <w:tab w:val="left" w:pos="720"/>
        </w:tabs>
        <w:spacing w:after="0" w:line="240" w:lineRule="auto"/>
        <w:ind w:firstLine="432"/>
        <w:jc w:val="both"/>
        <w:rPr>
          <w:rFonts w:ascii="Times New Roman" w:hAnsi="Times New Roman"/>
        </w:rPr>
      </w:pPr>
      <w:r w:rsidRPr="000655AE">
        <w:rPr>
          <w:rFonts w:ascii="Times New Roman" w:hAnsi="Times New Roman"/>
        </w:rPr>
        <w:t>1.</w:t>
      </w:r>
      <w:r w:rsidR="00ED4099">
        <w:rPr>
          <w:rFonts w:ascii="Times New Roman" w:hAnsi="Times New Roman"/>
        </w:rPr>
        <w:tab/>
      </w:r>
      <w:r w:rsidRPr="000655AE">
        <w:rPr>
          <w:rFonts w:ascii="Times New Roman" w:hAnsi="Times New Roman"/>
        </w:rPr>
        <w:t xml:space="preserve">The following provisions of the Principal Act are amended by omitting any number expressed in words that is used, whether with or without the addition of a </w:t>
      </w:r>
      <w:r w:rsidR="003C291A">
        <w:rPr>
          <w:rFonts w:ascii="Times New Roman" w:hAnsi="Times New Roman"/>
        </w:rPr>
        <w:t>l</w:t>
      </w:r>
      <w:r w:rsidRPr="000655AE">
        <w:rPr>
          <w:rFonts w:ascii="Times New Roman" w:hAnsi="Times New Roman"/>
        </w:rPr>
        <w:t>etter or letters, to identify a section of that Act or of another Act, and substituting that number expressed in figures:—</w:t>
      </w:r>
    </w:p>
    <w:p w:rsidR="00502915" w:rsidRPr="000655AE" w:rsidRDefault="00502915" w:rsidP="00ED4099">
      <w:pPr>
        <w:spacing w:after="0" w:line="240" w:lineRule="auto"/>
        <w:ind w:left="1008" w:hanging="432"/>
        <w:jc w:val="both"/>
        <w:rPr>
          <w:rFonts w:ascii="Times New Roman" w:hAnsi="Times New Roman"/>
        </w:rPr>
      </w:pPr>
      <w:r w:rsidRPr="000655AE">
        <w:rPr>
          <w:rFonts w:ascii="Times New Roman" w:hAnsi="Times New Roman"/>
        </w:rPr>
        <w:t xml:space="preserve">Sections 3(2), 5(1) (definitions of </w:t>
      </w:r>
      <w:r w:rsidR="00250BC2">
        <w:rPr>
          <w:rFonts w:ascii="Times New Roman" w:hAnsi="Times New Roman"/>
        </w:rPr>
        <w:t>“</w:t>
      </w:r>
      <w:r w:rsidRPr="000655AE">
        <w:rPr>
          <w:rFonts w:ascii="Times New Roman" w:hAnsi="Times New Roman"/>
        </w:rPr>
        <w:t>notice to treat</w:t>
      </w:r>
      <w:r w:rsidR="00250BC2">
        <w:rPr>
          <w:rFonts w:ascii="Times New Roman" w:hAnsi="Times New Roman"/>
        </w:rPr>
        <w:t>”</w:t>
      </w:r>
      <w:r w:rsidRPr="000655AE">
        <w:rPr>
          <w:rFonts w:ascii="Times New Roman" w:hAnsi="Times New Roman"/>
        </w:rPr>
        <w:t xml:space="preserve"> and </w:t>
      </w:r>
      <w:r w:rsidR="00250BC2">
        <w:rPr>
          <w:rFonts w:ascii="Times New Roman" w:hAnsi="Times New Roman"/>
        </w:rPr>
        <w:t>“</w:t>
      </w:r>
      <w:r w:rsidRPr="000655AE">
        <w:rPr>
          <w:rFonts w:ascii="Times New Roman" w:hAnsi="Times New Roman"/>
        </w:rPr>
        <w:t>the date of acquisition</w:t>
      </w:r>
      <w:r w:rsidR="00250BC2">
        <w:rPr>
          <w:rFonts w:ascii="Times New Roman" w:hAnsi="Times New Roman"/>
        </w:rPr>
        <w:t>”</w:t>
      </w:r>
      <w:r w:rsidRPr="000655AE">
        <w:rPr>
          <w:rFonts w:ascii="Times New Roman" w:hAnsi="Times New Roman"/>
        </w:rPr>
        <w:t>) and (2), 9(2), (4) and (7), 10(1)(b), 12(1) and (3), 14(2)(b), 20(1), 21(6) and (7), 25, 28(12), 32(1) and (2), 34, 36(1), 41(5), 43, 45, 47, 48, 56, 62(3) and 64(2).</w:t>
      </w:r>
    </w:p>
    <w:p w:rsidR="00502915" w:rsidRPr="000655AE" w:rsidRDefault="00502915" w:rsidP="00ED4099">
      <w:pPr>
        <w:tabs>
          <w:tab w:val="left" w:pos="720"/>
        </w:tabs>
        <w:spacing w:after="0" w:line="240" w:lineRule="auto"/>
        <w:ind w:firstLine="432"/>
        <w:jc w:val="both"/>
        <w:rPr>
          <w:rFonts w:ascii="Times New Roman" w:hAnsi="Times New Roman"/>
        </w:rPr>
      </w:pPr>
      <w:r w:rsidRPr="000655AE">
        <w:rPr>
          <w:rFonts w:ascii="Times New Roman" w:hAnsi="Times New Roman"/>
        </w:rPr>
        <w:t>2.</w:t>
      </w:r>
      <w:r w:rsidR="00ED4099">
        <w:rPr>
          <w:rFonts w:ascii="Times New Roman" w:hAnsi="Times New Roman"/>
        </w:rPr>
        <w:tab/>
      </w:r>
      <w:r w:rsidRPr="000655AE">
        <w:rPr>
          <w:rFonts w:ascii="Times New Roman" w:hAnsi="Times New Roman"/>
        </w:rPr>
        <w:t xml:space="preserve">The following provisions of the Principal Act are amended by omitting the words </w:t>
      </w:r>
      <w:r w:rsidR="00250BC2">
        <w:rPr>
          <w:rFonts w:ascii="Times New Roman" w:hAnsi="Times New Roman"/>
        </w:rPr>
        <w:t>“</w:t>
      </w:r>
      <w:r w:rsidRPr="000655AE">
        <w:rPr>
          <w:rFonts w:ascii="Times New Roman" w:hAnsi="Times New Roman"/>
        </w:rPr>
        <w:t>of this Act</w:t>
      </w:r>
      <w:r w:rsidR="00250BC2">
        <w:rPr>
          <w:rFonts w:ascii="Times New Roman" w:hAnsi="Times New Roman"/>
        </w:rPr>
        <w:t>”</w:t>
      </w:r>
      <w:r w:rsidRPr="000655AE">
        <w:rPr>
          <w:rFonts w:ascii="Times New Roman" w:hAnsi="Times New Roman"/>
        </w:rPr>
        <w:t xml:space="preserve">, </w:t>
      </w:r>
      <w:r w:rsidR="00250BC2">
        <w:rPr>
          <w:rFonts w:ascii="Times New Roman" w:hAnsi="Times New Roman"/>
        </w:rPr>
        <w:t>“</w:t>
      </w:r>
      <w:r w:rsidRPr="000655AE">
        <w:rPr>
          <w:rFonts w:ascii="Times New Roman" w:hAnsi="Times New Roman"/>
        </w:rPr>
        <w:t>to this Act</w:t>
      </w:r>
      <w:r w:rsidR="00250BC2">
        <w:rPr>
          <w:rFonts w:ascii="Times New Roman" w:hAnsi="Times New Roman"/>
        </w:rPr>
        <w:t>”</w:t>
      </w:r>
      <w:r w:rsidRPr="000655AE">
        <w:rPr>
          <w:rFonts w:ascii="Times New Roman" w:hAnsi="Times New Roman"/>
        </w:rPr>
        <w:t xml:space="preserve">, </w:t>
      </w:r>
      <w:r w:rsidR="00250BC2">
        <w:rPr>
          <w:rFonts w:ascii="Times New Roman" w:hAnsi="Times New Roman"/>
        </w:rPr>
        <w:t>“</w:t>
      </w:r>
      <w:r w:rsidRPr="000655AE">
        <w:rPr>
          <w:rFonts w:ascii="Times New Roman" w:hAnsi="Times New Roman"/>
        </w:rPr>
        <w:t>of this Part</w:t>
      </w:r>
      <w:r w:rsidR="00250BC2">
        <w:rPr>
          <w:rFonts w:ascii="Times New Roman" w:hAnsi="Times New Roman"/>
        </w:rPr>
        <w:t>”</w:t>
      </w:r>
      <w:r w:rsidRPr="000655AE">
        <w:rPr>
          <w:rFonts w:ascii="Times New Roman" w:hAnsi="Times New Roman"/>
        </w:rPr>
        <w:t xml:space="preserve"> and </w:t>
      </w:r>
      <w:r w:rsidR="00250BC2">
        <w:rPr>
          <w:rFonts w:ascii="Times New Roman" w:hAnsi="Times New Roman"/>
        </w:rPr>
        <w:t>“</w:t>
      </w:r>
      <w:r w:rsidRPr="000655AE">
        <w:rPr>
          <w:rFonts w:ascii="Times New Roman" w:hAnsi="Times New Roman"/>
        </w:rPr>
        <w:t>of this section</w:t>
      </w:r>
      <w:r w:rsidR="00250BC2">
        <w:rPr>
          <w:rFonts w:ascii="Times New Roman" w:hAnsi="Times New Roman"/>
        </w:rPr>
        <w:t>”</w:t>
      </w:r>
      <w:r w:rsidRPr="000655AE">
        <w:rPr>
          <w:rFonts w:ascii="Times New Roman" w:hAnsi="Times New Roman"/>
        </w:rPr>
        <w:t xml:space="preserve"> (wherever occurring):—</w:t>
      </w:r>
    </w:p>
    <w:p w:rsidR="00502915" w:rsidRPr="000655AE" w:rsidRDefault="00502915" w:rsidP="00ED4099">
      <w:pPr>
        <w:spacing w:after="0" w:line="240" w:lineRule="auto"/>
        <w:ind w:left="1008" w:hanging="432"/>
        <w:jc w:val="both"/>
        <w:rPr>
          <w:rFonts w:ascii="Times New Roman" w:hAnsi="Times New Roman"/>
        </w:rPr>
      </w:pPr>
      <w:r w:rsidRPr="000655AE">
        <w:rPr>
          <w:rFonts w:ascii="Times New Roman" w:hAnsi="Times New Roman"/>
        </w:rPr>
        <w:t xml:space="preserve">Sections 5(1) (definitions of </w:t>
      </w:r>
      <w:r w:rsidR="00250BC2">
        <w:rPr>
          <w:rFonts w:ascii="Times New Roman" w:hAnsi="Times New Roman"/>
        </w:rPr>
        <w:t>“</w:t>
      </w:r>
      <w:r w:rsidRPr="000655AE">
        <w:rPr>
          <w:rFonts w:ascii="Times New Roman" w:hAnsi="Times New Roman"/>
        </w:rPr>
        <w:t>notice to treat</w:t>
      </w:r>
      <w:r w:rsidR="00250BC2">
        <w:rPr>
          <w:rFonts w:ascii="Times New Roman" w:hAnsi="Times New Roman"/>
        </w:rPr>
        <w:t>”</w:t>
      </w:r>
      <w:r w:rsidRPr="000655AE">
        <w:rPr>
          <w:rFonts w:ascii="Times New Roman" w:hAnsi="Times New Roman"/>
        </w:rPr>
        <w:t xml:space="preserve"> and </w:t>
      </w:r>
      <w:r w:rsidR="00250BC2">
        <w:rPr>
          <w:rFonts w:ascii="Times New Roman" w:hAnsi="Times New Roman"/>
        </w:rPr>
        <w:t>“</w:t>
      </w:r>
      <w:r w:rsidRPr="000655AE">
        <w:rPr>
          <w:rFonts w:ascii="Times New Roman" w:hAnsi="Times New Roman"/>
        </w:rPr>
        <w:t>the date of acquisition</w:t>
      </w:r>
      <w:r w:rsidR="00250BC2">
        <w:rPr>
          <w:rFonts w:ascii="Times New Roman" w:hAnsi="Times New Roman"/>
        </w:rPr>
        <w:t>”</w:t>
      </w:r>
      <w:r w:rsidRPr="000655AE">
        <w:rPr>
          <w:rFonts w:ascii="Times New Roman" w:hAnsi="Times New Roman"/>
        </w:rPr>
        <w:t>) and (2), 9(2), (4), (6) and (7), 10(1)(b)</w:t>
      </w:r>
      <w:r w:rsidR="005A0043">
        <w:rPr>
          <w:rFonts w:ascii="Times New Roman" w:hAnsi="Times New Roman"/>
        </w:rPr>
        <w:t>,</w:t>
      </w:r>
      <w:r w:rsidRPr="000655AE">
        <w:rPr>
          <w:rFonts w:ascii="Times New Roman" w:hAnsi="Times New Roman"/>
        </w:rPr>
        <w:t xml:space="preserve"> 12(1) and (3), 14(2)(b), 20(1) and (5), 21</w:t>
      </w:r>
      <w:r w:rsidR="005A0043">
        <w:rPr>
          <w:rFonts w:ascii="Times New Roman" w:hAnsi="Times New Roman"/>
        </w:rPr>
        <w:t>(6) and (7), 25, 29</w:t>
      </w:r>
      <w:r w:rsidRPr="000655AE">
        <w:rPr>
          <w:rFonts w:ascii="Times New Roman" w:hAnsi="Times New Roman"/>
        </w:rPr>
        <w:t>(</w:t>
      </w:r>
      <w:r w:rsidR="005A0043">
        <w:rPr>
          <w:rFonts w:ascii="Times New Roman" w:hAnsi="Times New Roman"/>
        </w:rPr>
        <w:t>3</w:t>
      </w:r>
      <w:r w:rsidRPr="000655AE">
        <w:rPr>
          <w:rFonts w:ascii="Times New Roman" w:hAnsi="Times New Roman"/>
        </w:rPr>
        <w:t>) and (5)(a) and (b), 30</w:t>
      </w:r>
      <w:r w:rsidR="005A0043">
        <w:rPr>
          <w:rFonts w:ascii="Times New Roman" w:hAnsi="Times New Roman"/>
        </w:rPr>
        <w:t>,</w:t>
      </w:r>
      <w:r w:rsidRPr="000655AE">
        <w:rPr>
          <w:rFonts w:ascii="Times New Roman" w:hAnsi="Times New Roman"/>
        </w:rPr>
        <w:t xml:space="preserve"> 32(1) and (2)</w:t>
      </w:r>
      <w:r w:rsidR="005A0043">
        <w:rPr>
          <w:rFonts w:ascii="Times New Roman" w:hAnsi="Times New Roman"/>
        </w:rPr>
        <w:t>,</w:t>
      </w:r>
      <w:r w:rsidRPr="000655AE">
        <w:rPr>
          <w:rFonts w:ascii="Times New Roman" w:hAnsi="Times New Roman"/>
        </w:rPr>
        <w:t xml:space="preserve"> 34, 36(1), 41(1)(a) and (5), 43, 45, 46(3), 47, 48, 53(3) and (6)(b), 56, 63(2) and 64(2).</w:t>
      </w:r>
    </w:p>
    <w:p w:rsidR="00502915" w:rsidRPr="000655AE" w:rsidRDefault="00502915" w:rsidP="00847707">
      <w:pPr>
        <w:tabs>
          <w:tab w:val="left" w:pos="720"/>
        </w:tabs>
        <w:spacing w:after="120" w:line="240" w:lineRule="auto"/>
        <w:ind w:firstLine="432"/>
        <w:jc w:val="both"/>
        <w:rPr>
          <w:rFonts w:ascii="Times New Roman" w:hAnsi="Times New Roman"/>
        </w:rPr>
      </w:pPr>
      <w:r w:rsidRPr="000655AE">
        <w:rPr>
          <w:rFonts w:ascii="Times New Roman" w:hAnsi="Times New Roman"/>
        </w:rPr>
        <w:t>3.</w:t>
      </w:r>
      <w:r w:rsidR="00ED4099">
        <w:rPr>
          <w:rFonts w:ascii="Times New Roman" w:hAnsi="Times New Roman"/>
        </w:rPr>
        <w:tab/>
      </w:r>
      <w:r w:rsidRPr="000655AE">
        <w:rPr>
          <w:rFonts w:ascii="Times New Roman" w:hAnsi="Times New Roman"/>
        </w:rPr>
        <w:t>The Principal Act is further amended as set out in the following table:—</w:t>
      </w:r>
    </w:p>
    <w:tbl>
      <w:tblPr>
        <w:tblW w:w="5000" w:type="pct"/>
        <w:tblBorders>
          <w:insideV w:val="single" w:sz="4" w:space="0" w:color="auto"/>
        </w:tblBorders>
        <w:tblCellMar>
          <w:left w:w="40" w:type="dxa"/>
          <w:right w:w="40" w:type="dxa"/>
        </w:tblCellMar>
        <w:tblLook w:val="0000" w:firstRow="0" w:lastRow="0" w:firstColumn="0" w:lastColumn="0" w:noHBand="0" w:noVBand="0"/>
      </w:tblPr>
      <w:tblGrid>
        <w:gridCol w:w="3030"/>
        <w:gridCol w:w="6079"/>
      </w:tblGrid>
      <w:tr w:rsidR="00502915" w:rsidRPr="000655AE" w:rsidTr="00847707">
        <w:trPr>
          <w:trHeight w:val="20"/>
        </w:trPr>
        <w:tc>
          <w:tcPr>
            <w:tcW w:w="1663" w:type="pct"/>
            <w:tcBorders>
              <w:top w:val="single" w:sz="4" w:space="0" w:color="auto"/>
              <w:bottom w:val="single" w:sz="4" w:space="0" w:color="auto"/>
            </w:tcBorders>
          </w:tcPr>
          <w:p w:rsidR="00502915" w:rsidRPr="000655AE" w:rsidRDefault="00502915" w:rsidP="00847707">
            <w:pPr>
              <w:spacing w:before="60" w:after="60" w:line="240" w:lineRule="auto"/>
              <w:jc w:val="center"/>
              <w:rPr>
                <w:rFonts w:ascii="Times New Roman" w:hAnsi="Times New Roman"/>
              </w:rPr>
            </w:pPr>
            <w:r w:rsidRPr="000655AE">
              <w:rPr>
                <w:rFonts w:ascii="Times New Roman" w:hAnsi="Times New Roman"/>
              </w:rPr>
              <w:t>Provision</w:t>
            </w:r>
          </w:p>
        </w:tc>
        <w:tc>
          <w:tcPr>
            <w:tcW w:w="3337" w:type="pct"/>
            <w:tcBorders>
              <w:top w:val="single" w:sz="4" w:space="0" w:color="auto"/>
              <w:bottom w:val="single" w:sz="4" w:space="0" w:color="auto"/>
            </w:tcBorders>
          </w:tcPr>
          <w:p w:rsidR="00502915" w:rsidRPr="000655AE" w:rsidRDefault="00502915" w:rsidP="00847707">
            <w:pPr>
              <w:spacing w:before="60" w:after="60" w:line="240" w:lineRule="auto"/>
              <w:jc w:val="center"/>
              <w:rPr>
                <w:rFonts w:ascii="Times New Roman" w:hAnsi="Times New Roman"/>
              </w:rPr>
            </w:pPr>
            <w:r w:rsidRPr="000655AE">
              <w:rPr>
                <w:rFonts w:ascii="Times New Roman" w:hAnsi="Times New Roman"/>
              </w:rPr>
              <w:t>Amendment</w:t>
            </w:r>
          </w:p>
        </w:tc>
      </w:tr>
      <w:tr w:rsidR="00502915" w:rsidRPr="000655AE" w:rsidTr="00847707">
        <w:trPr>
          <w:trHeight w:val="20"/>
        </w:trPr>
        <w:tc>
          <w:tcPr>
            <w:tcW w:w="1663" w:type="pct"/>
            <w:tcBorders>
              <w:top w:val="single" w:sz="4" w:space="0" w:color="auto"/>
            </w:tcBorders>
          </w:tcPr>
          <w:p w:rsidR="00502915" w:rsidRPr="000655AE" w:rsidRDefault="00502915" w:rsidP="005A0043">
            <w:pPr>
              <w:spacing w:after="0" w:line="240" w:lineRule="auto"/>
              <w:ind w:left="288" w:hanging="288"/>
              <w:jc w:val="both"/>
              <w:rPr>
                <w:rFonts w:ascii="Times New Roman" w:hAnsi="Times New Roman"/>
              </w:rPr>
            </w:pPr>
            <w:r w:rsidRPr="000655AE">
              <w:rPr>
                <w:rFonts w:ascii="Times New Roman" w:hAnsi="Times New Roman"/>
              </w:rPr>
              <w:t xml:space="preserve">Section 5(1) (definitions of </w:t>
            </w:r>
            <w:r w:rsidR="00250BC2">
              <w:rPr>
                <w:rFonts w:ascii="Times New Roman" w:hAnsi="Times New Roman"/>
              </w:rPr>
              <w:t>“</w:t>
            </w:r>
            <w:r w:rsidRPr="000655AE">
              <w:rPr>
                <w:rFonts w:ascii="Times New Roman" w:hAnsi="Times New Roman"/>
              </w:rPr>
              <w:t>court of summary jurisdiction</w:t>
            </w:r>
            <w:r w:rsidR="00250BC2">
              <w:rPr>
                <w:rFonts w:ascii="Times New Roman" w:hAnsi="Times New Roman"/>
              </w:rPr>
              <w:t>”</w:t>
            </w:r>
            <w:r w:rsidRPr="000655AE">
              <w:rPr>
                <w:rFonts w:ascii="Times New Roman" w:hAnsi="Times New Roman"/>
              </w:rPr>
              <w:t xml:space="preserve"> </w:t>
            </w:r>
            <w:r w:rsidR="00250BC2">
              <w:rPr>
                <w:rFonts w:ascii="Times New Roman" w:hAnsi="Times New Roman"/>
              </w:rPr>
              <w:t>“</w:t>
            </w:r>
            <w:r w:rsidRPr="000655AE">
              <w:rPr>
                <w:rFonts w:ascii="Times New Roman" w:hAnsi="Times New Roman"/>
              </w:rPr>
              <w:t>public purpose</w:t>
            </w:r>
            <w:r w:rsidR="00250BC2">
              <w:rPr>
                <w:rFonts w:ascii="Times New Roman" w:hAnsi="Times New Roman"/>
              </w:rPr>
              <w:t>”</w:t>
            </w:r>
            <w:r w:rsidRPr="000655AE">
              <w:rPr>
                <w:rFonts w:ascii="Times New Roman" w:hAnsi="Times New Roman"/>
              </w:rPr>
              <w:t xml:space="preserve"> and </w:t>
            </w:r>
            <w:r w:rsidR="00250BC2">
              <w:rPr>
                <w:rFonts w:ascii="Times New Roman" w:hAnsi="Times New Roman"/>
              </w:rPr>
              <w:t>“</w:t>
            </w:r>
            <w:r w:rsidRPr="000655AE">
              <w:rPr>
                <w:rFonts w:ascii="Times New Roman" w:hAnsi="Times New Roman"/>
              </w:rPr>
              <w:t>the Supreme Court</w:t>
            </w:r>
            <w:r w:rsidR="00250BC2">
              <w:rPr>
                <w:rFonts w:ascii="Times New Roman" w:hAnsi="Times New Roman"/>
              </w:rPr>
              <w:t>”</w:t>
            </w:r>
            <w:r w:rsidRPr="000655AE">
              <w:rPr>
                <w:rFonts w:ascii="Times New Roman" w:hAnsi="Times New Roman"/>
              </w:rPr>
              <w:t>)</w:t>
            </w:r>
          </w:p>
        </w:tc>
        <w:tc>
          <w:tcPr>
            <w:tcW w:w="3337" w:type="pct"/>
            <w:tcBorders>
              <w:top w:val="single" w:sz="4" w:space="0" w:color="auto"/>
            </w:tcBorders>
          </w:tcPr>
          <w:p w:rsidR="00502915" w:rsidRPr="000655AE" w:rsidRDefault="00502915" w:rsidP="000655AE">
            <w:pPr>
              <w:spacing w:after="0" w:line="240" w:lineRule="auto"/>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of the Commonwealth</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A0043" w:rsidP="00D50DA5">
            <w:pPr>
              <w:tabs>
                <w:tab w:val="right" w:leader="dot" w:pos="2700"/>
              </w:tabs>
              <w:spacing w:after="0" w:line="240" w:lineRule="auto"/>
              <w:jc w:val="both"/>
              <w:rPr>
                <w:rFonts w:ascii="Times New Roman" w:hAnsi="Times New Roman"/>
              </w:rPr>
            </w:pPr>
            <w:r>
              <w:rPr>
                <w:rFonts w:ascii="Times New Roman" w:hAnsi="Times New Roman"/>
              </w:rPr>
              <w:t>Section 6</w:t>
            </w:r>
            <w:r w:rsidR="00502915" w:rsidRPr="000655AE">
              <w:rPr>
                <w:rFonts w:ascii="Times New Roman" w:hAnsi="Times New Roman"/>
              </w:rPr>
              <w:t>(2)</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of the Commonwealth</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02915" w:rsidP="005A0043">
            <w:pPr>
              <w:tabs>
                <w:tab w:val="right" w:leader="dot" w:pos="2700"/>
              </w:tabs>
              <w:spacing w:after="0" w:line="240" w:lineRule="auto"/>
              <w:jc w:val="both"/>
              <w:rPr>
                <w:rFonts w:ascii="Times New Roman" w:hAnsi="Times New Roman"/>
              </w:rPr>
            </w:pPr>
            <w:r w:rsidRPr="000655AE">
              <w:rPr>
                <w:rFonts w:ascii="Times New Roman" w:hAnsi="Times New Roman"/>
              </w:rPr>
              <w:t>Section 10(6)</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of this section</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02915" w:rsidP="005A0043">
            <w:pPr>
              <w:tabs>
                <w:tab w:val="right" w:leader="dot" w:pos="2700"/>
              </w:tabs>
              <w:spacing w:after="0" w:line="240" w:lineRule="auto"/>
              <w:jc w:val="both"/>
              <w:rPr>
                <w:rFonts w:ascii="Times New Roman" w:hAnsi="Times New Roman"/>
              </w:rPr>
            </w:pPr>
            <w:r w:rsidRPr="000655AE">
              <w:rPr>
                <w:rFonts w:ascii="Times New Roman" w:hAnsi="Times New Roman"/>
              </w:rPr>
              <w:t>Section 13(4)</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of this section</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02915" w:rsidP="005A0043">
            <w:pPr>
              <w:tabs>
                <w:tab w:val="right" w:leader="dot" w:pos="2700"/>
              </w:tabs>
              <w:spacing w:after="0" w:line="240" w:lineRule="auto"/>
              <w:jc w:val="both"/>
              <w:rPr>
                <w:rFonts w:ascii="Times New Roman" w:hAnsi="Times New Roman"/>
              </w:rPr>
            </w:pPr>
            <w:r w:rsidRPr="000655AE">
              <w:rPr>
                <w:rFonts w:ascii="Times New Roman" w:hAnsi="Times New Roman"/>
              </w:rPr>
              <w:t>Section 16(2)</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 xml:space="preserve">a peace officer appointed under the </w:t>
            </w:r>
            <w:r w:rsidR="000655AE" w:rsidRPr="000655AE">
              <w:rPr>
                <w:rFonts w:ascii="Times New Roman" w:hAnsi="Times New Roman"/>
                <w:i/>
              </w:rPr>
              <w:t xml:space="preserve">Peace Officers Act </w:t>
            </w:r>
            <w:r w:rsidR="005A0043">
              <w:rPr>
                <w:rFonts w:ascii="Times New Roman" w:hAnsi="Times New Roman"/>
              </w:rPr>
              <w:t>1925”</w:t>
            </w:r>
            <w:r w:rsidR="00250BC2">
              <w:rPr>
                <w:rFonts w:ascii="Times New Roman" w:hAnsi="Times New Roman"/>
              </w:rPr>
              <w:t>, substitute</w:t>
            </w:r>
            <w:r w:rsidR="005A0043">
              <w:rPr>
                <w:rFonts w:ascii="Times New Roman" w:hAnsi="Times New Roman"/>
              </w:rPr>
              <w:t xml:space="preserve"> “</w:t>
            </w:r>
            <w:bookmarkStart w:id="0" w:name="_GoBack"/>
            <w:bookmarkEnd w:id="0"/>
            <w:r w:rsidRPr="000655AE">
              <w:rPr>
                <w:rFonts w:ascii="Times New Roman" w:hAnsi="Times New Roman"/>
              </w:rPr>
              <w:t>a Commonwealth Police Officer</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02915" w:rsidP="005A0043">
            <w:pPr>
              <w:tabs>
                <w:tab w:val="right" w:leader="dot" w:pos="2700"/>
              </w:tabs>
              <w:spacing w:after="0" w:line="240" w:lineRule="auto"/>
              <w:jc w:val="both"/>
              <w:rPr>
                <w:rFonts w:ascii="Times New Roman" w:hAnsi="Times New Roman"/>
              </w:rPr>
            </w:pPr>
            <w:r w:rsidRPr="000655AE">
              <w:rPr>
                <w:rFonts w:ascii="Times New Roman" w:hAnsi="Times New Roman"/>
              </w:rPr>
              <w:t>Section 19</w:t>
            </w:r>
            <w:r w:rsidR="005A0043">
              <w:rPr>
                <w:rFonts w:ascii="Times New Roman" w:hAnsi="Times New Roman"/>
              </w:rPr>
              <w:t>(2)</w:t>
            </w:r>
            <w:r w:rsidRPr="000655AE">
              <w:rPr>
                <w:rFonts w:ascii="Times New Roman" w:hAnsi="Times New Roman"/>
              </w:rPr>
              <w:t>(b)</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of the Commonwealth</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02915" w:rsidP="005A0043">
            <w:pPr>
              <w:tabs>
                <w:tab w:val="right" w:leader="dot" w:pos="2700"/>
              </w:tabs>
              <w:spacing w:after="0" w:line="240" w:lineRule="auto"/>
              <w:jc w:val="both"/>
              <w:rPr>
                <w:rFonts w:ascii="Times New Roman" w:hAnsi="Times New Roman"/>
              </w:rPr>
            </w:pPr>
            <w:r w:rsidRPr="000655AE">
              <w:rPr>
                <w:rFonts w:ascii="Times New Roman" w:hAnsi="Times New Roman"/>
              </w:rPr>
              <w:t>Section 26(2)</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of the Commonwealth</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02915" w:rsidP="005A0043">
            <w:pPr>
              <w:tabs>
                <w:tab w:val="right" w:leader="dot" w:pos="2700"/>
              </w:tabs>
              <w:spacing w:after="0" w:line="240" w:lineRule="auto"/>
              <w:jc w:val="both"/>
              <w:rPr>
                <w:rFonts w:ascii="Times New Roman" w:hAnsi="Times New Roman"/>
              </w:rPr>
            </w:pPr>
            <w:r w:rsidRPr="000655AE">
              <w:rPr>
                <w:rFonts w:ascii="Times New Roman" w:hAnsi="Times New Roman"/>
              </w:rPr>
              <w:t>Section 28(14)(b)</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of the Commonwealth</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02915" w:rsidP="005A0043">
            <w:pPr>
              <w:tabs>
                <w:tab w:val="right" w:leader="dot" w:pos="2700"/>
              </w:tabs>
              <w:spacing w:after="0" w:line="240" w:lineRule="auto"/>
              <w:jc w:val="both"/>
              <w:rPr>
                <w:rFonts w:ascii="Times New Roman" w:hAnsi="Times New Roman"/>
              </w:rPr>
            </w:pPr>
            <w:r w:rsidRPr="000655AE">
              <w:rPr>
                <w:rFonts w:ascii="Times New Roman" w:hAnsi="Times New Roman"/>
              </w:rPr>
              <w:t>Section 29(5)(a)</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of the Commonwealth</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02915" w:rsidP="005A0043">
            <w:pPr>
              <w:tabs>
                <w:tab w:val="right" w:leader="dot" w:pos="2700"/>
              </w:tabs>
              <w:spacing w:after="0" w:line="240" w:lineRule="auto"/>
              <w:jc w:val="both"/>
              <w:rPr>
                <w:rFonts w:ascii="Times New Roman" w:hAnsi="Times New Roman"/>
              </w:rPr>
            </w:pPr>
            <w:r w:rsidRPr="000655AE">
              <w:rPr>
                <w:rFonts w:ascii="Times New Roman" w:hAnsi="Times New Roman"/>
              </w:rPr>
              <w:t>Section 38(2)</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of the Commonwealth</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02915" w:rsidP="005A0043">
            <w:pPr>
              <w:tabs>
                <w:tab w:val="right" w:leader="dot" w:pos="2700"/>
              </w:tabs>
              <w:spacing w:after="0" w:line="240" w:lineRule="auto"/>
              <w:jc w:val="both"/>
              <w:rPr>
                <w:rFonts w:ascii="Times New Roman" w:hAnsi="Times New Roman"/>
              </w:rPr>
            </w:pPr>
            <w:r w:rsidRPr="000655AE">
              <w:rPr>
                <w:rFonts w:ascii="Times New Roman" w:hAnsi="Times New Roman"/>
              </w:rPr>
              <w:t>Section 38(3)</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of the Commonwealth</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02915" w:rsidP="00D50DA5">
            <w:pPr>
              <w:tabs>
                <w:tab w:val="right" w:leader="dot" w:pos="2700"/>
              </w:tabs>
              <w:spacing w:after="0" w:line="240" w:lineRule="auto"/>
              <w:jc w:val="both"/>
              <w:rPr>
                <w:rFonts w:ascii="Times New Roman" w:hAnsi="Times New Roman"/>
              </w:rPr>
            </w:pPr>
            <w:r w:rsidRPr="000655AE">
              <w:rPr>
                <w:rFonts w:ascii="Times New Roman" w:hAnsi="Times New Roman"/>
              </w:rPr>
              <w:t>Section 52</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of the Commonwealth</w:t>
            </w:r>
            <w:r w:rsidR="00250BC2">
              <w:rPr>
                <w:rFonts w:ascii="Times New Roman" w:hAnsi="Times New Roman"/>
              </w:rPr>
              <w:t>”</w:t>
            </w:r>
            <w:r w:rsidRPr="000655AE">
              <w:rPr>
                <w:rFonts w:ascii="Times New Roman" w:hAnsi="Times New Roman"/>
              </w:rPr>
              <w:t xml:space="preserve">, insert </w:t>
            </w:r>
            <w:r w:rsidR="00250BC2">
              <w:rPr>
                <w:rFonts w:ascii="Times New Roman" w:hAnsi="Times New Roman"/>
              </w:rPr>
              <w:t>“</w:t>
            </w:r>
            <w:r w:rsidRPr="000655AE">
              <w:rPr>
                <w:rFonts w:ascii="Times New Roman" w:hAnsi="Times New Roman"/>
              </w:rPr>
              <w:t>of Australia or of a Territory</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02915" w:rsidP="00D50DA5">
            <w:pPr>
              <w:tabs>
                <w:tab w:val="right" w:leader="dot" w:pos="2700"/>
              </w:tabs>
              <w:spacing w:after="0" w:line="240" w:lineRule="auto"/>
              <w:jc w:val="both"/>
              <w:rPr>
                <w:rFonts w:ascii="Times New Roman" w:hAnsi="Times New Roman"/>
              </w:rPr>
            </w:pPr>
            <w:r w:rsidRPr="000655AE">
              <w:rPr>
                <w:rFonts w:ascii="Times New Roman" w:hAnsi="Times New Roman"/>
              </w:rPr>
              <w:t>Section 57</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 xml:space="preserve">a peace officer appointed under the </w:t>
            </w:r>
            <w:r w:rsidR="000655AE" w:rsidRPr="000655AE">
              <w:rPr>
                <w:rFonts w:ascii="Times New Roman" w:hAnsi="Times New Roman"/>
                <w:i/>
              </w:rPr>
              <w:t xml:space="preserve">Peace Officers Act </w:t>
            </w:r>
            <w:r w:rsidR="005A0043">
              <w:rPr>
                <w:rFonts w:ascii="Times New Roman" w:hAnsi="Times New Roman"/>
              </w:rPr>
              <w:t>1925”</w:t>
            </w:r>
            <w:r w:rsidRPr="000655AE">
              <w:rPr>
                <w:rFonts w:ascii="Times New Roman" w:hAnsi="Times New Roman"/>
              </w:rPr>
              <w:t xml:space="preserve">, substitute </w:t>
            </w:r>
            <w:r w:rsidR="00250BC2">
              <w:rPr>
                <w:rFonts w:ascii="Times New Roman" w:hAnsi="Times New Roman"/>
              </w:rPr>
              <w:t>“</w:t>
            </w:r>
            <w:r w:rsidRPr="000655AE">
              <w:rPr>
                <w:rFonts w:ascii="Times New Roman" w:hAnsi="Times New Roman"/>
              </w:rPr>
              <w:t>a Commonwealth Police Officer</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02915" w:rsidP="00D50DA5">
            <w:pPr>
              <w:tabs>
                <w:tab w:val="right" w:leader="dot" w:pos="2700"/>
              </w:tabs>
              <w:spacing w:after="0" w:line="240" w:lineRule="auto"/>
              <w:jc w:val="both"/>
              <w:rPr>
                <w:rFonts w:ascii="Times New Roman" w:hAnsi="Times New Roman"/>
              </w:rPr>
            </w:pPr>
            <w:r w:rsidRPr="000655AE">
              <w:rPr>
                <w:rFonts w:ascii="Times New Roman" w:hAnsi="Times New Roman"/>
              </w:rPr>
              <w:t>Section 65</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of the Commonwealth</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A0043" w:rsidP="00D50DA5">
            <w:pPr>
              <w:tabs>
                <w:tab w:val="right" w:leader="dot" w:pos="2700"/>
              </w:tabs>
              <w:spacing w:after="0" w:line="240" w:lineRule="auto"/>
              <w:jc w:val="both"/>
              <w:rPr>
                <w:rFonts w:ascii="Times New Roman" w:hAnsi="Times New Roman"/>
              </w:rPr>
            </w:pPr>
            <w:r>
              <w:rPr>
                <w:rFonts w:ascii="Times New Roman" w:hAnsi="Times New Roman"/>
              </w:rPr>
              <w:t>Section 67</w:t>
            </w:r>
            <w:r w:rsidR="00502915" w:rsidRPr="000655AE">
              <w:rPr>
                <w:rFonts w:ascii="Times New Roman" w:hAnsi="Times New Roman"/>
              </w:rPr>
              <w:t>(1)</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the First Schedule to this Act</w:t>
            </w:r>
            <w:r w:rsidR="00250BC2">
              <w:rPr>
                <w:rFonts w:ascii="Times New Roman" w:hAnsi="Times New Roman"/>
              </w:rPr>
              <w:t>”</w:t>
            </w:r>
            <w:r w:rsidRPr="000655AE">
              <w:rPr>
                <w:rFonts w:ascii="Times New Roman" w:hAnsi="Times New Roman"/>
              </w:rPr>
              <w:t xml:space="preserve">, substitute </w:t>
            </w:r>
            <w:r w:rsidR="00250BC2">
              <w:rPr>
                <w:rFonts w:ascii="Times New Roman" w:hAnsi="Times New Roman"/>
              </w:rPr>
              <w:t>“</w:t>
            </w:r>
            <w:r w:rsidRPr="000655AE">
              <w:rPr>
                <w:rFonts w:ascii="Times New Roman" w:hAnsi="Times New Roman"/>
              </w:rPr>
              <w:t>Schedule 1</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tcPr>
          <w:p w:rsidR="00502915" w:rsidRPr="000655AE" w:rsidRDefault="00502915" w:rsidP="005A0043">
            <w:pPr>
              <w:tabs>
                <w:tab w:val="right" w:leader="dot" w:pos="2700"/>
              </w:tabs>
              <w:spacing w:after="0" w:line="240" w:lineRule="auto"/>
              <w:jc w:val="both"/>
              <w:rPr>
                <w:rFonts w:ascii="Times New Roman" w:hAnsi="Times New Roman"/>
              </w:rPr>
            </w:pPr>
            <w:r w:rsidRPr="000655AE">
              <w:rPr>
                <w:rFonts w:ascii="Times New Roman" w:hAnsi="Times New Roman"/>
              </w:rPr>
              <w:t>Section 67(2)</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the Second Schedule to this Act</w:t>
            </w:r>
            <w:r w:rsidR="00250BC2">
              <w:rPr>
                <w:rFonts w:ascii="Times New Roman" w:hAnsi="Times New Roman"/>
              </w:rPr>
              <w:t>”</w:t>
            </w:r>
            <w:r w:rsidRPr="000655AE">
              <w:rPr>
                <w:rFonts w:ascii="Times New Roman" w:hAnsi="Times New Roman"/>
              </w:rPr>
              <w:t xml:space="preserve">, substitute </w:t>
            </w:r>
            <w:r w:rsidR="00250BC2">
              <w:rPr>
                <w:rFonts w:ascii="Times New Roman" w:hAnsi="Times New Roman"/>
              </w:rPr>
              <w:t>“</w:t>
            </w:r>
            <w:r w:rsidRPr="000655AE">
              <w:rPr>
                <w:rFonts w:ascii="Times New Roman" w:hAnsi="Times New Roman"/>
              </w:rPr>
              <w:t>Schedule 2</w:t>
            </w:r>
            <w:r w:rsidR="00250BC2">
              <w:rPr>
                <w:rFonts w:ascii="Times New Roman" w:hAnsi="Times New Roman"/>
              </w:rPr>
              <w:t>”</w:t>
            </w:r>
            <w:r w:rsidRPr="000655AE">
              <w:rPr>
                <w:rFonts w:ascii="Times New Roman" w:hAnsi="Times New Roman"/>
              </w:rPr>
              <w:t>.</w:t>
            </w:r>
          </w:p>
        </w:tc>
      </w:tr>
      <w:tr w:rsidR="00502915" w:rsidRPr="000655AE" w:rsidTr="00250BC2">
        <w:trPr>
          <w:trHeight w:val="20"/>
        </w:trPr>
        <w:tc>
          <w:tcPr>
            <w:tcW w:w="1663" w:type="pct"/>
            <w:tcBorders>
              <w:bottom w:val="nil"/>
            </w:tcBorders>
          </w:tcPr>
          <w:p w:rsidR="00502915" w:rsidRPr="000655AE" w:rsidRDefault="00502915" w:rsidP="005A0043">
            <w:pPr>
              <w:tabs>
                <w:tab w:val="right" w:leader="dot" w:pos="2700"/>
              </w:tabs>
              <w:spacing w:after="0" w:line="240" w:lineRule="auto"/>
              <w:jc w:val="both"/>
              <w:rPr>
                <w:rFonts w:ascii="Times New Roman" w:hAnsi="Times New Roman"/>
              </w:rPr>
            </w:pPr>
            <w:r w:rsidRPr="000655AE">
              <w:rPr>
                <w:rFonts w:ascii="Times New Roman" w:hAnsi="Times New Roman"/>
              </w:rPr>
              <w:t>Section 67(3)</w:t>
            </w:r>
            <w:r w:rsidR="00D50DA5">
              <w:rPr>
                <w:rFonts w:ascii="Times New Roman" w:hAnsi="Times New Roman"/>
              </w:rPr>
              <w:tab/>
            </w:r>
          </w:p>
        </w:tc>
        <w:tc>
          <w:tcPr>
            <w:tcW w:w="3337" w:type="pct"/>
            <w:tcBorders>
              <w:bottom w:val="nil"/>
            </w:tcBorders>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Omit </w:t>
            </w:r>
            <w:r w:rsidR="00250BC2">
              <w:rPr>
                <w:rFonts w:ascii="Times New Roman" w:hAnsi="Times New Roman"/>
              </w:rPr>
              <w:t>“</w:t>
            </w:r>
            <w:r w:rsidRPr="000655AE">
              <w:rPr>
                <w:rFonts w:ascii="Times New Roman" w:hAnsi="Times New Roman"/>
              </w:rPr>
              <w:t>of this section</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vMerge w:val="restart"/>
          </w:tcPr>
          <w:p w:rsidR="00502915" w:rsidRPr="000655AE" w:rsidRDefault="00502915" w:rsidP="00D50DA5">
            <w:pPr>
              <w:tabs>
                <w:tab w:val="right" w:leader="dot" w:pos="2700"/>
              </w:tabs>
              <w:spacing w:after="0" w:line="240" w:lineRule="auto"/>
              <w:jc w:val="both"/>
              <w:rPr>
                <w:rFonts w:ascii="Times New Roman" w:hAnsi="Times New Roman"/>
              </w:rPr>
            </w:pPr>
            <w:r w:rsidRPr="000655AE">
              <w:rPr>
                <w:rFonts w:ascii="Times New Roman" w:hAnsi="Times New Roman"/>
              </w:rPr>
              <w:t>Schedules</w:t>
            </w:r>
            <w:r w:rsidR="00D50DA5">
              <w:rPr>
                <w:rFonts w:ascii="Times New Roman" w:hAnsi="Times New Roman"/>
              </w:rPr>
              <w:tab/>
            </w: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(a) Omit </w:t>
            </w:r>
            <w:r w:rsidR="00250BC2">
              <w:rPr>
                <w:rFonts w:ascii="Times New Roman" w:hAnsi="Times New Roman"/>
              </w:rPr>
              <w:t>“</w:t>
            </w:r>
            <w:r w:rsidRPr="000655AE">
              <w:rPr>
                <w:rFonts w:ascii="Times New Roman" w:hAnsi="Times New Roman"/>
              </w:rPr>
              <w:t>THE SCHEDULES.</w:t>
            </w:r>
            <w:r w:rsidR="00250BC2">
              <w:rPr>
                <w:rFonts w:ascii="Times New Roman" w:hAnsi="Times New Roman"/>
              </w:rPr>
              <w:t>”</w:t>
            </w:r>
            <w:r w:rsidRPr="000655AE">
              <w:rPr>
                <w:rFonts w:ascii="Times New Roman" w:hAnsi="Times New Roman"/>
              </w:rPr>
              <w:t>.</w:t>
            </w:r>
          </w:p>
        </w:tc>
      </w:tr>
      <w:tr w:rsidR="00502915" w:rsidRPr="000655AE" w:rsidTr="00847707">
        <w:trPr>
          <w:trHeight w:val="20"/>
        </w:trPr>
        <w:tc>
          <w:tcPr>
            <w:tcW w:w="1663" w:type="pct"/>
            <w:vMerge/>
          </w:tcPr>
          <w:p w:rsidR="00502915" w:rsidRPr="000655AE" w:rsidRDefault="00502915" w:rsidP="000655AE">
            <w:pPr>
              <w:spacing w:after="0" w:line="240" w:lineRule="auto"/>
              <w:jc w:val="both"/>
              <w:rPr>
                <w:rFonts w:ascii="Times New Roman" w:hAnsi="Times New Roman"/>
              </w:rPr>
            </w:pPr>
          </w:p>
        </w:tc>
        <w:tc>
          <w:tcPr>
            <w:tcW w:w="3337" w:type="pct"/>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(b) Omit </w:t>
            </w:r>
            <w:r w:rsidR="00250BC2">
              <w:rPr>
                <w:rFonts w:ascii="Times New Roman" w:hAnsi="Times New Roman"/>
              </w:rPr>
              <w:t>“</w:t>
            </w:r>
            <w:r w:rsidRPr="000655AE">
              <w:rPr>
                <w:rFonts w:ascii="Times New Roman" w:hAnsi="Times New Roman"/>
              </w:rPr>
              <w:t>FIRST SCHEDULE,</w:t>
            </w:r>
            <w:r w:rsidR="00250BC2">
              <w:rPr>
                <w:rFonts w:ascii="Times New Roman" w:hAnsi="Times New Roman"/>
              </w:rPr>
              <w:t>”</w:t>
            </w:r>
            <w:r w:rsidRPr="000655AE">
              <w:rPr>
                <w:rFonts w:ascii="Times New Roman" w:hAnsi="Times New Roman"/>
              </w:rPr>
              <w:t xml:space="preserve">, substitute </w:t>
            </w:r>
            <w:r w:rsidR="00250BC2">
              <w:rPr>
                <w:rFonts w:ascii="Times New Roman" w:hAnsi="Times New Roman"/>
              </w:rPr>
              <w:t>“</w:t>
            </w:r>
            <w:r w:rsidRPr="000655AE">
              <w:rPr>
                <w:rFonts w:ascii="Times New Roman" w:hAnsi="Times New Roman"/>
              </w:rPr>
              <w:t>SCHEDULE 1</w:t>
            </w:r>
            <w:r w:rsidR="00250BC2">
              <w:rPr>
                <w:rFonts w:ascii="Times New Roman" w:hAnsi="Times New Roman"/>
              </w:rPr>
              <w:t>”</w:t>
            </w:r>
            <w:r w:rsidRPr="000655AE">
              <w:rPr>
                <w:rFonts w:ascii="Times New Roman" w:hAnsi="Times New Roman"/>
              </w:rPr>
              <w:t>.</w:t>
            </w:r>
          </w:p>
        </w:tc>
      </w:tr>
      <w:tr w:rsidR="00502915" w:rsidRPr="000655AE" w:rsidTr="00250BC2">
        <w:trPr>
          <w:trHeight w:val="20"/>
        </w:trPr>
        <w:tc>
          <w:tcPr>
            <w:tcW w:w="1663" w:type="pct"/>
            <w:vMerge/>
            <w:tcBorders>
              <w:bottom w:val="single" w:sz="4" w:space="0" w:color="auto"/>
            </w:tcBorders>
          </w:tcPr>
          <w:p w:rsidR="00502915" w:rsidRPr="000655AE" w:rsidRDefault="00502915" w:rsidP="000655AE">
            <w:pPr>
              <w:spacing w:after="0" w:line="240" w:lineRule="auto"/>
              <w:jc w:val="both"/>
              <w:rPr>
                <w:rFonts w:ascii="Times New Roman" w:hAnsi="Times New Roman"/>
              </w:rPr>
            </w:pPr>
          </w:p>
        </w:tc>
        <w:tc>
          <w:tcPr>
            <w:tcW w:w="3337" w:type="pct"/>
            <w:tcBorders>
              <w:bottom w:val="single" w:sz="4" w:space="0" w:color="auto"/>
            </w:tcBorders>
          </w:tcPr>
          <w:p w:rsidR="00502915" w:rsidRPr="000655AE" w:rsidRDefault="00502915" w:rsidP="00D50DA5">
            <w:pPr>
              <w:spacing w:after="0" w:line="240" w:lineRule="auto"/>
              <w:ind w:left="288" w:hanging="288"/>
              <w:jc w:val="both"/>
              <w:rPr>
                <w:rFonts w:ascii="Times New Roman" w:hAnsi="Times New Roman"/>
              </w:rPr>
            </w:pPr>
            <w:r w:rsidRPr="000655AE">
              <w:rPr>
                <w:rFonts w:ascii="Times New Roman" w:hAnsi="Times New Roman"/>
              </w:rPr>
              <w:t xml:space="preserve">(c) Omit </w:t>
            </w:r>
            <w:r w:rsidR="00250BC2">
              <w:rPr>
                <w:rFonts w:ascii="Times New Roman" w:hAnsi="Times New Roman"/>
              </w:rPr>
              <w:t>“</w:t>
            </w:r>
            <w:r w:rsidRPr="000655AE">
              <w:rPr>
                <w:rFonts w:ascii="Times New Roman" w:hAnsi="Times New Roman"/>
              </w:rPr>
              <w:t>SECOND SCHEDULE,</w:t>
            </w:r>
            <w:r w:rsidR="00250BC2">
              <w:rPr>
                <w:rFonts w:ascii="Times New Roman" w:hAnsi="Times New Roman"/>
              </w:rPr>
              <w:t>”</w:t>
            </w:r>
            <w:r w:rsidRPr="000655AE">
              <w:rPr>
                <w:rFonts w:ascii="Times New Roman" w:hAnsi="Times New Roman"/>
              </w:rPr>
              <w:t xml:space="preserve">, substitute </w:t>
            </w:r>
            <w:r w:rsidR="00250BC2">
              <w:rPr>
                <w:rFonts w:ascii="Times New Roman" w:hAnsi="Times New Roman"/>
              </w:rPr>
              <w:t>“</w:t>
            </w:r>
            <w:r w:rsidRPr="000655AE">
              <w:rPr>
                <w:rFonts w:ascii="Times New Roman" w:hAnsi="Times New Roman"/>
              </w:rPr>
              <w:t>SCHEDULE 2</w:t>
            </w:r>
            <w:r w:rsidR="00250BC2">
              <w:rPr>
                <w:rFonts w:ascii="Times New Roman" w:hAnsi="Times New Roman"/>
              </w:rPr>
              <w:t>”</w:t>
            </w:r>
          </w:p>
        </w:tc>
      </w:tr>
    </w:tbl>
    <w:p w:rsidR="00502915" w:rsidRDefault="00502915" w:rsidP="000655AE">
      <w:pPr>
        <w:spacing w:after="0" w:line="240" w:lineRule="auto"/>
        <w:jc w:val="both"/>
        <w:rPr>
          <w:rFonts w:ascii="Times New Roman" w:hAnsi="Times New Roman"/>
        </w:rPr>
      </w:pPr>
    </w:p>
    <w:p w:rsidR="00416F2C" w:rsidRPr="000655AE" w:rsidRDefault="00416F2C" w:rsidP="00416F2C">
      <w:pPr>
        <w:pBdr>
          <w:top w:val="single" w:sz="4" w:space="1" w:color="auto"/>
        </w:pBdr>
        <w:spacing w:before="1000" w:after="0" w:line="240" w:lineRule="auto"/>
        <w:ind w:left="3600" w:right="3600"/>
        <w:jc w:val="center"/>
        <w:rPr>
          <w:rFonts w:ascii="Times New Roman" w:hAnsi="Times New Roman"/>
        </w:rPr>
      </w:pPr>
    </w:p>
    <w:sectPr w:rsidR="00416F2C" w:rsidRPr="000655AE" w:rsidSect="003F6827">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CFC" w:rsidRDefault="00D83CFC" w:rsidP="003F6827">
      <w:pPr>
        <w:spacing w:after="0" w:line="240" w:lineRule="auto"/>
      </w:pPr>
      <w:r>
        <w:separator/>
      </w:r>
    </w:p>
  </w:endnote>
  <w:endnote w:type="continuationSeparator" w:id="0">
    <w:p w:rsidR="00D83CFC" w:rsidRDefault="00D83CFC" w:rsidP="003F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CFC" w:rsidRDefault="00D83CFC" w:rsidP="003F6827">
      <w:pPr>
        <w:spacing w:after="0" w:line="240" w:lineRule="auto"/>
      </w:pPr>
      <w:r>
        <w:separator/>
      </w:r>
    </w:p>
  </w:footnote>
  <w:footnote w:type="continuationSeparator" w:id="0">
    <w:p w:rsidR="00D83CFC" w:rsidRDefault="00D83CFC" w:rsidP="003F6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27" w:rsidRPr="003F6827" w:rsidRDefault="003F6827" w:rsidP="003F6827">
    <w:pPr>
      <w:tabs>
        <w:tab w:val="left" w:pos="3600"/>
        <w:tab w:val="left" w:pos="8190"/>
      </w:tabs>
      <w:spacing w:after="0" w:line="240" w:lineRule="auto"/>
      <w:jc w:val="both"/>
      <w:rPr>
        <w:sz w:val="20"/>
        <w:szCs w:val="20"/>
      </w:rPr>
    </w:pPr>
    <w:r w:rsidRPr="003F6827">
      <w:rPr>
        <w:rFonts w:ascii="Times New Roman" w:hAnsi="Times New Roman"/>
        <w:sz w:val="20"/>
        <w:szCs w:val="20"/>
      </w:rPr>
      <w:t>1973</w:t>
    </w:r>
    <w:r w:rsidRPr="003F6827">
      <w:rPr>
        <w:rFonts w:ascii="Times New Roman" w:hAnsi="Times New Roman"/>
        <w:sz w:val="20"/>
        <w:szCs w:val="20"/>
      </w:rPr>
      <w:tab/>
    </w:r>
    <w:r w:rsidR="005A0043">
      <w:rPr>
        <w:rFonts w:ascii="Times New Roman" w:hAnsi="Times New Roman"/>
        <w:i/>
        <w:sz w:val="20"/>
        <w:szCs w:val="20"/>
      </w:rPr>
      <w:t>Lands Acquisition</w:t>
    </w:r>
    <w:r w:rsidRPr="003F6827">
      <w:rPr>
        <w:rFonts w:ascii="Times New Roman" w:hAnsi="Times New Roman"/>
        <w:i/>
        <w:sz w:val="20"/>
        <w:szCs w:val="20"/>
      </w:rPr>
      <w:tab/>
    </w:r>
    <w:r w:rsidRPr="003F6827">
      <w:rPr>
        <w:rFonts w:ascii="Times New Roman" w:hAnsi="Times New Roman"/>
        <w:sz w:val="20"/>
        <w:szCs w:val="20"/>
      </w:rPr>
      <w:t>No. 208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27" w:rsidRPr="003F6827" w:rsidRDefault="003F6827" w:rsidP="003F6827">
    <w:pPr>
      <w:tabs>
        <w:tab w:val="left" w:pos="3600"/>
        <w:tab w:val="left" w:pos="8280"/>
      </w:tabs>
      <w:spacing w:after="0" w:line="240" w:lineRule="auto"/>
      <w:jc w:val="both"/>
      <w:rPr>
        <w:sz w:val="20"/>
        <w:szCs w:val="20"/>
      </w:rPr>
    </w:pPr>
    <w:r w:rsidRPr="003F6827">
      <w:rPr>
        <w:rFonts w:ascii="Times New Roman" w:hAnsi="Times New Roman"/>
        <w:sz w:val="20"/>
        <w:szCs w:val="20"/>
      </w:rPr>
      <w:t>No. 208</w:t>
    </w:r>
    <w:r w:rsidRPr="003F6827">
      <w:rPr>
        <w:rFonts w:ascii="Times New Roman" w:hAnsi="Times New Roman"/>
        <w:sz w:val="20"/>
        <w:szCs w:val="20"/>
      </w:rPr>
      <w:tab/>
    </w:r>
    <w:r w:rsidR="005A0043">
      <w:rPr>
        <w:rFonts w:ascii="Times New Roman" w:hAnsi="Times New Roman"/>
        <w:i/>
        <w:sz w:val="20"/>
        <w:szCs w:val="20"/>
      </w:rPr>
      <w:t>Lands Acquisition</w:t>
    </w:r>
    <w:r w:rsidRPr="003F6827">
      <w:rPr>
        <w:rFonts w:ascii="Times New Roman" w:hAnsi="Times New Roman"/>
        <w:i/>
        <w:sz w:val="20"/>
        <w:szCs w:val="20"/>
      </w:rPr>
      <w:tab/>
    </w:r>
    <w:r w:rsidRPr="003F6827">
      <w:rPr>
        <w:rFonts w:ascii="Times New Roman" w:hAnsi="Times New Roman"/>
        <w:sz w:val="20"/>
        <w:szCs w:val="20"/>
      </w:rPr>
      <w:t>1973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1022"/>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502915"/>
    <w:rsid w:val="000655AE"/>
    <w:rsid w:val="000A4241"/>
    <w:rsid w:val="001A4C7B"/>
    <w:rsid w:val="001B4DAD"/>
    <w:rsid w:val="00250BC2"/>
    <w:rsid w:val="00312B85"/>
    <w:rsid w:val="003C291A"/>
    <w:rsid w:val="003F6827"/>
    <w:rsid w:val="00416F2C"/>
    <w:rsid w:val="00490630"/>
    <w:rsid w:val="00502915"/>
    <w:rsid w:val="00510489"/>
    <w:rsid w:val="005A0043"/>
    <w:rsid w:val="005A2DFB"/>
    <w:rsid w:val="007F0F2B"/>
    <w:rsid w:val="00827D77"/>
    <w:rsid w:val="00847707"/>
    <w:rsid w:val="009C079F"/>
    <w:rsid w:val="00A3021D"/>
    <w:rsid w:val="00AE2953"/>
    <w:rsid w:val="00B17443"/>
    <w:rsid w:val="00B527E6"/>
    <w:rsid w:val="00B94EBD"/>
    <w:rsid w:val="00C12115"/>
    <w:rsid w:val="00C42E6F"/>
    <w:rsid w:val="00C77AA9"/>
    <w:rsid w:val="00C916AD"/>
    <w:rsid w:val="00C91A02"/>
    <w:rsid w:val="00CA18AD"/>
    <w:rsid w:val="00CA3318"/>
    <w:rsid w:val="00D50DA5"/>
    <w:rsid w:val="00D83CFC"/>
    <w:rsid w:val="00E076EE"/>
    <w:rsid w:val="00E21CD0"/>
    <w:rsid w:val="00E872EF"/>
    <w:rsid w:val="00ED4099"/>
    <w:rsid w:val="00F273E4"/>
    <w:rsid w:val="00F658A7"/>
    <w:rsid w:val="00F771DF"/>
    <w:rsid w:val="00FA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7">
    <w:name w:val="Style27"/>
    <w:basedOn w:val="Normal"/>
    <w:rsid w:val="00502915"/>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502915"/>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502915"/>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502915"/>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502915"/>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502915"/>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502915"/>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502915"/>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502915"/>
    <w:pPr>
      <w:spacing w:after="0" w:line="240" w:lineRule="auto"/>
    </w:pPr>
    <w:rPr>
      <w:rFonts w:ascii="Times New Roman" w:eastAsia="Times New Roman" w:hAnsi="Times New Roman" w:cs="Times New Roman"/>
      <w:sz w:val="20"/>
      <w:szCs w:val="20"/>
    </w:rPr>
  </w:style>
  <w:style w:type="paragraph" w:customStyle="1" w:styleId="Style3225">
    <w:name w:val="Style3225"/>
    <w:basedOn w:val="Normal"/>
    <w:rsid w:val="00502915"/>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502915"/>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502915"/>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502915"/>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502915"/>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502915"/>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502915"/>
    <w:pPr>
      <w:spacing w:after="0" w:line="240" w:lineRule="auto"/>
    </w:pPr>
    <w:rPr>
      <w:rFonts w:ascii="Times New Roman" w:eastAsia="Times New Roman" w:hAnsi="Times New Roman" w:cs="Times New Roman"/>
      <w:sz w:val="20"/>
      <w:szCs w:val="20"/>
    </w:rPr>
  </w:style>
  <w:style w:type="paragraph" w:customStyle="1" w:styleId="Style1689">
    <w:name w:val="Style1689"/>
    <w:basedOn w:val="Normal"/>
    <w:rsid w:val="00502915"/>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502915"/>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502915"/>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502915"/>
    <w:pPr>
      <w:spacing w:after="0" w:line="240" w:lineRule="auto"/>
    </w:pPr>
    <w:rPr>
      <w:rFonts w:ascii="Times New Roman" w:eastAsia="Times New Roman" w:hAnsi="Times New Roman" w:cs="Times New Roman"/>
      <w:sz w:val="20"/>
      <w:szCs w:val="20"/>
    </w:rPr>
  </w:style>
  <w:style w:type="paragraph" w:customStyle="1" w:styleId="Style3219">
    <w:name w:val="Style3219"/>
    <w:basedOn w:val="Normal"/>
    <w:rsid w:val="00502915"/>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502915"/>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502915"/>
    <w:pPr>
      <w:spacing w:after="0" w:line="240" w:lineRule="auto"/>
    </w:pPr>
    <w:rPr>
      <w:rFonts w:ascii="Times New Roman" w:eastAsia="Times New Roman" w:hAnsi="Times New Roman" w:cs="Times New Roman"/>
      <w:sz w:val="20"/>
      <w:szCs w:val="20"/>
    </w:rPr>
  </w:style>
  <w:style w:type="character" w:customStyle="1" w:styleId="CharStyle43">
    <w:name w:val="CharStyle43"/>
    <w:basedOn w:val="DefaultParagraphFont"/>
    <w:rsid w:val="00502915"/>
    <w:rPr>
      <w:rFonts w:ascii="Times New Roman" w:eastAsia="Times New Roman" w:hAnsi="Times New Roman" w:cs="Times New Roman"/>
      <w:b/>
      <w:bCs/>
      <w:i w:val="0"/>
      <w:iCs w:val="0"/>
      <w:smallCaps w:val="0"/>
      <w:sz w:val="14"/>
      <w:szCs w:val="14"/>
    </w:rPr>
  </w:style>
  <w:style w:type="character" w:customStyle="1" w:styleId="CharStyle829">
    <w:name w:val="CharStyle829"/>
    <w:basedOn w:val="DefaultParagraphFont"/>
    <w:rsid w:val="00502915"/>
    <w:rPr>
      <w:rFonts w:ascii="Times New Roman" w:eastAsia="Times New Roman" w:hAnsi="Times New Roman" w:cs="Times New Roman"/>
      <w:b/>
      <w:bCs/>
      <w:i w:val="0"/>
      <w:iCs w:val="0"/>
      <w:smallCaps/>
      <w:sz w:val="22"/>
      <w:szCs w:val="22"/>
    </w:rPr>
  </w:style>
  <w:style w:type="character" w:customStyle="1" w:styleId="CharStyle907">
    <w:name w:val="CharStyle907"/>
    <w:basedOn w:val="DefaultParagraphFont"/>
    <w:rsid w:val="00502915"/>
    <w:rPr>
      <w:rFonts w:ascii="Times New Roman" w:eastAsia="Times New Roman" w:hAnsi="Times New Roman" w:cs="Times New Roman"/>
      <w:b/>
      <w:bCs/>
      <w:i w:val="0"/>
      <w:iCs w:val="0"/>
      <w:smallCaps w:val="0"/>
      <w:sz w:val="32"/>
      <w:szCs w:val="32"/>
    </w:rPr>
  </w:style>
  <w:style w:type="character" w:customStyle="1" w:styleId="CharStyle908">
    <w:name w:val="CharStyle908"/>
    <w:basedOn w:val="DefaultParagraphFont"/>
    <w:rsid w:val="00502915"/>
    <w:rPr>
      <w:rFonts w:ascii="Times New Roman" w:eastAsia="Times New Roman" w:hAnsi="Times New Roman" w:cs="Times New Roman"/>
      <w:b/>
      <w:bCs/>
      <w:i w:val="0"/>
      <w:iCs w:val="0"/>
      <w:smallCaps w:val="0"/>
      <w:sz w:val="24"/>
      <w:szCs w:val="24"/>
    </w:rPr>
  </w:style>
  <w:style w:type="character" w:customStyle="1" w:styleId="CharStyle920">
    <w:name w:val="CharStyle920"/>
    <w:basedOn w:val="DefaultParagraphFont"/>
    <w:rsid w:val="00502915"/>
    <w:rPr>
      <w:rFonts w:ascii="Times New Roman" w:eastAsia="Times New Roman" w:hAnsi="Times New Roman" w:cs="Times New Roman"/>
      <w:b/>
      <w:bCs/>
      <w:i w:val="0"/>
      <w:iCs w:val="0"/>
      <w:smallCaps w:val="0"/>
      <w:sz w:val="20"/>
      <w:szCs w:val="20"/>
    </w:rPr>
  </w:style>
  <w:style w:type="character" w:customStyle="1" w:styleId="CharStyle964">
    <w:name w:val="CharStyle964"/>
    <w:basedOn w:val="DefaultParagraphFont"/>
    <w:rsid w:val="00502915"/>
    <w:rPr>
      <w:rFonts w:ascii="Times New Roman" w:eastAsia="Times New Roman" w:hAnsi="Times New Roman" w:cs="Times New Roman"/>
      <w:b/>
      <w:bCs/>
      <w:i w:val="0"/>
      <w:iCs w:val="0"/>
      <w:smallCaps w:val="0"/>
      <w:sz w:val="24"/>
      <w:szCs w:val="24"/>
    </w:rPr>
  </w:style>
  <w:style w:type="character" w:customStyle="1" w:styleId="CharStyle1013">
    <w:name w:val="CharStyle1013"/>
    <w:basedOn w:val="DefaultParagraphFont"/>
    <w:rsid w:val="00502915"/>
    <w:rPr>
      <w:rFonts w:ascii="Cambria" w:eastAsia="Cambria" w:hAnsi="Cambria" w:cs="Cambria"/>
      <w:b/>
      <w:bCs/>
      <w:i w:val="0"/>
      <w:iCs w:val="0"/>
      <w:smallCaps w:val="0"/>
      <w:sz w:val="14"/>
      <w:szCs w:val="14"/>
    </w:rPr>
  </w:style>
  <w:style w:type="character" w:customStyle="1" w:styleId="CharStyle1030">
    <w:name w:val="CharStyle1030"/>
    <w:basedOn w:val="DefaultParagraphFont"/>
    <w:rsid w:val="00502915"/>
    <w:rPr>
      <w:rFonts w:ascii="Times New Roman" w:eastAsia="Times New Roman" w:hAnsi="Times New Roman" w:cs="Times New Roman"/>
      <w:b/>
      <w:bCs/>
      <w:i/>
      <w:iCs/>
      <w:smallCaps w:val="0"/>
      <w:sz w:val="14"/>
      <w:szCs w:val="14"/>
    </w:rPr>
  </w:style>
  <w:style w:type="character" w:customStyle="1" w:styleId="CharStyle1049">
    <w:name w:val="CharStyle1049"/>
    <w:basedOn w:val="DefaultParagraphFont"/>
    <w:rsid w:val="00502915"/>
    <w:rPr>
      <w:rFonts w:ascii="Times New Roman" w:eastAsia="Times New Roman" w:hAnsi="Times New Roman" w:cs="Times New Roman"/>
      <w:b w:val="0"/>
      <w:bCs w:val="0"/>
      <w:i w:val="0"/>
      <w:iCs w:val="0"/>
      <w:smallCaps w:val="0"/>
      <w:sz w:val="20"/>
      <w:szCs w:val="20"/>
    </w:rPr>
  </w:style>
  <w:style w:type="character" w:customStyle="1" w:styleId="CharStyle1085">
    <w:name w:val="CharStyle1085"/>
    <w:basedOn w:val="DefaultParagraphFont"/>
    <w:rsid w:val="00502915"/>
    <w:rPr>
      <w:rFonts w:ascii="Times New Roman" w:eastAsia="Times New Roman" w:hAnsi="Times New Roman" w:cs="Times New Roman"/>
      <w:b/>
      <w:bCs/>
      <w:i w:val="0"/>
      <w:iCs w:val="0"/>
      <w:smallCaps w:val="0"/>
      <w:sz w:val="14"/>
      <w:szCs w:val="14"/>
    </w:rPr>
  </w:style>
  <w:style w:type="character" w:customStyle="1" w:styleId="CharStyle1168">
    <w:name w:val="CharStyle1168"/>
    <w:basedOn w:val="DefaultParagraphFont"/>
    <w:rsid w:val="00502915"/>
    <w:rPr>
      <w:rFonts w:ascii="Times New Roman" w:eastAsia="Times New Roman" w:hAnsi="Times New Roman" w:cs="Times New Roman"/>
      <w:b w:val="0"/>
      <w:bCs w:val="0"/>
      <w:i w:val="0"/>
      <w:iCs w:val="0"/>
      <w:smallCaps w:val="0"/>
      <w:sz w:val="14"/>
      <w:szCs w:val="14"/>
    </w:rPr>
  </w:style>
  <w:style w:type="character" w:customStyle="1" w:styleId="CharStyle1209">
    <w:name w:val="CharStyle1209"/>
    <w:basedOn w:val="DefaultParagraphFont"/>
    <w:rsid w:val="00502915"/>
    <w:rPr>
      <w:rFonts w:ascii="Times New Roman" w:eastAsia="Times New Roman" w:hAnsi="Times New Roman" w:cs="Times New Roman"/>
      <w:b w:val="0"/>
      <w:bCs w:val="0"/>
      <w:i/>
      <w:iCs/>
      <w:smallCaps w:val="0"/>
      <w:sz w:val="20"/>
      <w:szCs w:val="20"/>
    </w:rPr>
  </w:style>
  <w:style w:type="character" w:customStyle="1" w:styleId="CharStyle1269">
    <w:name w:val="CharStyle1269"/>
    <w:basedOn w:val="DefaultParagraphFont"/>
    <w:rsid w:val="00502915"/>
    <w:rPr>
      <w:rFonts w:ascii="Times New Roman" w:eastAsia="Times New Roman" w:hAnsi="Times New Roman" w:cs="Times New Roman"/>
      <w:b/>
      <w:bCs/>
      <w:i/>
      <w:iCs/>
      <w:smallCaps w:val="0"/>
      <w:sz w:val="24"/>
      <w:szCs w:val="24"/>
    </w:rPr>
  </w:style>
  <w:style w:type="character" w:customStyle="1" w:styleId="CharStyle1305">
    <w:name w:val="CharStyle1305"/>
    <w:basedOn w:val="DefaultParagraphFont"/>
    <w:rsid w:val="00502915"/>
    <w:rPr>
      <w:rFonts w:ascii="Century Schoolbook" w:eastAsia="Century Schoolbook" w:hAnsi="Century Schoolbook" w:cs="Century Schoolbook"/>
      <w:b w:val="0"/>
      <w:bCs w:val="0"/>
      <w:i w:val="0"/>
      <w:iCs w:val="0"/>
      <w:smallCaps/>
      <w:spacing w:val="20"/>
      <w:sz w:val="16"/>
      <w:szCs w:val="16"/>
    </w:rPr>
  </w:style>
  <w:style w:type="character" w:customStyle="1" w:styleId="CharStyle1316">
    <w:name w:val="CharStyle1316"/>
    <w:basedOn w:val="DefaultParagraphFont"/>
    <w:rsid w:val="00502915"/>
    <w:rPr>
      <w:rFonts w:ascii="Times New Roman" w:eastAsia="Times New Roman" w:hAnsi="Times New Roman" w:cs="Times New Roman"/>
      <w:b w:val="0"/>
      <w:bCs w:val="0"/>
      <w:i w:val="0"/>
      <w:iCs w:val="0"/>
      <w:smallCaps w:val="0"/>
      <w:sz w:val="20"/>
      <w:szCs w:val="20"/>
    </w:rPr>
  </w:style>
  <w:style w:type="character" w:customStyle="1" w:styleId="CharStyle1343">
    <w:name w:val="CharStyle1343"/>
    <w:basedOn w:val="DefaultParagraphFont"/>
    <w:rsid w:val="00502915"/>
    <w:rPr>
      <w:rFonts w:ascii="Times New Roman" w:eastAsia="Times New Roman" w:hAnsi="Times New Roman" w:cs="Times New Roman"/>
      <w:b w:val="0"/>
      <w:bCs w:val="0"/>
      <w:i w:val="0"/>
      <w:iCs w:val="0"/>
      <w:smallCaps w:val="0"/>
      <w:sz w:val="14"/>
      <w:szCs w:val="14"/>
    </w:rPr>
  </w:style>
  <w:style w:type="paragraph" w:styleId="Header">
    <w:name w:val="header"/>
    <w:basedOn w:val="Normal"/>
    <w:link w:val="HeaderChar"/>
    <w:uiPriority w:val="99"/>
    <w:unhideWhenUsed/>
    <w:rsid w:val="003F6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827"/>
  </w:style>
  <w:style w:type="paragraph" w:styleId="Footer">
    <w:name w:val="footer"/>
    <w:basedOn w:val="Normal"/>
    <w:link w:val="FooterChar"/>
    <w:uiPriority w:val="99"/>
    <w:unhideWhenUsed/>
    <w:rsid w:val="003F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EC6CB-6752-4FC9-A6FC-93E35419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71</cp:revision>
  <dcterms:created xsi:type="dcterms:W3CDTF">2002-01-02T07:04:00Z</dcterms:created>
  <dcterms:modified xsi:type="dcterms:W3CDTF">2019-05-23T07:12:00Z</dcterms:modified>
</cp:coreProperties>
</file>