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CE" w:rsidRPr="007B6518" w:rsidRDefault="00063E9F" w:rsidP="007B6518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7B6518">
        <w:rPr>
          <w:rFonts w:ascii="Times New Roman" w:hAnsi="Times New Roman" w:cs="Times New Roman"/>
          <w:b/>
          <w:sz w:val="36"/>
        </w:rPr>
        <w:t>Seamen’s War Pensions and Allowances (No. 2)</w:t>
      </w:r>
    </w:p>
    <w:p w:rsidR="00FA6FCE" w:rsidRPr="007B6518" w:rsidRDefault="00063E9F" w:rsidP="007B6518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7B6518">
        <w:rPr>
          <w:rFonts w:ascii="Times New Roman" w:hAnsi="Times New Roman" w:cs="Times New Roman"/>
          <w:b/>
          <w:sz w:val="28"/>
        </w:rPr>
        <w:t>No. 83 of 197</w:t>
      </w:r>
      <w:r w:rsidR="00946327">
        <w:rPr>
          <w:rFonts w:ascii="Times New Roman" w:hAnsi="Times New Roman" w:cs="Times New Roman"/>
          <w:b/>
          <w:sz w:val="28"/>
        </w:rPr>
        <w:t>2</w:t>
      </w:r>
    </w:p>
    <w:p w:rsidR="00FA6FCE" w:rsidRPr="007B6518" w:rsidRDefault="00FA6FCE" w:rsidP="00B80B03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7B6518">
        <w:rPr>
          <w:rFonts w:ascii="Times New Roman" w:hAnsi="Times New Roman" w:cs="Times New Roman"/>
          <w:sz w:val="26"/>
        </w:rPr>
        <w:t xml:space="preserve">An Act to amend the </w:t>
      </w:r>
      <w:r w:rsidR="00063E9F" w:rsidRPr="007B6518">
        <w:rPr>
          <w:rFonts w:ascii="Times New Roman" w:hAnsi="Times New Roman" w:cs="Times New Roman"/>
          <w:i/>
          <w:sz w:val="26"/>
        </w:rPr>
        <w:t xml:space="preserve">Seamen’s War Pensions and Allowances Act </w:t>
      </w:r>
      <w:r w:rsidRPr="007B6518">
        <w:rPr>
          <w:rFonts w:ascii="Times New Roman" w:hAnsi="Times New Roman" w:cs="Times New Roman"/>
          <w:sz w:val="26"/>
        </w:rPr>
        <w:t>1940</w:t>
      </w:r>
      <w:r w:rsidR="000E7788">
        <w:rPr>
          <w:rFonts w:ascii="Times New Roman" w:hAnsi="Times New Roman" w:cs="Times New Roman"/>
          <w:sz w:val="26"/>
        </w:rPr>
        <w:t>–</w:t>
      </w:r>
      <w:r w:rsidRPr="007B6518">
        <w:rPr>
          <w:rFonts w:ascii="Times New Roman" w:hAnsi="Times New Roman" w:cs="Times New Roman"/>
          <w:sz w:val="26"/>
        </w:rPr>
        <w:t xml:space="preserve">1971, as amended by the </w:t>
      </w:r>
      <w:r w:rsidR="00063E9F" w:rsidRPr="007B6518">
        <w:rPr>
          <w:rFonts w:ascii="Times New Roman" w:hAnsi="Times New Roman" w:cs="Times New Roman"/>
          <w:i/>
          <w:sz w:val="26"/>
        </w:rPr>
        <w:t xml:space="preserve">Seamen’s War Pensions and Allowances Act </w:t>
      </w:r>
      <w:r w:rsidRPr="007B6518">
        <w:rPr>
          <w:rFonts w:ascii="Times New Roman" w:hAnsi="Times New Roman" w:cs="Times New Roman"/>
          <w:sz w:val="26"/>
        </w:rPr>
        <w:t>1972, so as to provide for Increases in the Rates of certain Pensions and Allowances and for Benefits for certain Student Children.</w:t>
      </w:r>
    </w:p>
    <w:p w:rsidR="00FA6FCE" w:rsidRPr="007B6518" w:rsidRDefault="00063E9F" w:rsidP="00B80B03">
      <w:pPr>
        <w:spacing w:before="120" w:after="120" w:line="240" w:lineRule="auto"/>
        <w:jc w:val="right"/>
        <w:rPr>
          <w:rFonts w:ascii="Times New Roman" w:hAnsi="Times New Roman" w:cs="Times New Roman"/>
          <w:sz w:val="26"/>
        </w:rPr>
      </w:pPr>
      <w:r w:rsidRPr="005B23B5">
        <w:rPr>
          <w:rFonts w:ascii="Times New Roman" w:hAnsi="Times New Roman" w:cs="Times New Roman"/>
          <w:sz w:val="26"/>
        </w:rPr>
        <w:t>[</w:t>
      </w:r>
      <w:r w:rsidRPr="007B6518">
        <w:rPr>
          <w:rFonts w:ascii="Times New Roman" w:hAnsi="Times New Roman" w:cs="Times New Roman"/>
          <w:i/>
          <w:sz w:val="26"/>
        </w:rPr>
        <w:t>Assented to 27 September 1972</w:t>
      </w:r>
      <w:r w:rsidRPr="005B23B5">
        <w:rPr>
          <w:rFonts w:ascii="Times New Roman" w:hAnsi="Times New Roman" w:cs="Times New Roman"/>
          <w:sz w:val="26"/>
        </w:rPr>
        <w:t>]</w:t>
      </w:r>
    </w:p>
    <w:p w:rsidR="00FA6FCE" w:rsidRPr="00874E3C" w:rsidRDefault="00063E9F" w:rsidP="00914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4E3C">
        <w:rPr>
          <w:rFonts w:ascii="Times New Roman" w:hAnsi="Times New Roman" w:cs="Times New Roman"/>
        </w:rPr>
        <w:t>B</w:t>
      </w:r>
      <w:r w:rsidR="00FA6FCE" w:rsidRPr="00874E3C">
        <w:rPr>
          <w:rFonts w:ascii="Times New Roman" w:hAnsi="Times New Roman" w:cs="Times New Roman"/>
        </w:rPr>
        <w:t>E it enacted by the Queen</w:t>
      </w:r>
      <w:r w:rsidR="003E06F0" w:rsidRPr="00874E3C">
        <w:rPr>
          <w:rFonts w:ascii="Times New Roman" w:hAnsi="Times New Roman" w:cs="Times New Roman"/>
        </w:rPr>
        <w:t>’</w:t>
      </w:r>
      <w:r w:rsidR="00FA6FCE" w:rsidRPr="00874E3C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FA6FCE" w:rsidRPr="00CA29F9" w:rsidRDefault="00063E9F" w:rsidP="00CA29F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A29F9">
        <w:rPr>
          <w:rFonts w:ascii="Times New Roman" w:hAnsi="Times New Roman" w:cs="Times New Roman"/>
          <w:b/>
          <w:sz w:val="20"/>
        </w:rPr>
        <w:t>Short title and citation.</w:t>
      </w:r>
    </w:p>
    <w:p w:rsidR="00FA6FCE" w:rsidRPr="009143C5" w:rsidRDefault="00063E9F" w:rsidP="00D816CC">
      <w:pPr>
        <w:tabs>
          <w:tab w:val="left" w:pos="126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b/>
        </w:rPr>
        <w:t>1.</w:t>
      </w:r>
      <w:r w:rsidR="00FA6FCE" w:rsidRPr="009143C5">
        <w:rPr>
          <w:rFonts w:ascii="Times New Roman" w:hAnsi="Times New Roman" w:cs="Times New Roman"/>
        </w:rPr>
        <w:t>—(1.)</w:t>
      </w:r>
      <w:r w:rsidR="00D816CC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 xml:space="preserve">This Act may be cited as the </w:t>
      </w:r>
      <w:r w:rsidRPr="009143C5">
        <w:rPr>
          <w:rFonts w:ascii="Times New Roman" w:hAnsi="Times New Roman" w:cs="Times New Roman"/>
          <w:i/>
        </w:rPr>
        <w:t>Seamen</w:t>
      </w:r>
      <w:r w:rsidR="003E06F0">
        <w:rPr>
          <w:rFonts w:ascii="Times New Roman" w:hAnsi="Times New Roman" w:cs="Times New Roman"/>
          <w:i/>
        </w:rPr>
        <w:t>’</w:t>
      </w:r>
      <w:r w:rsidRPr="009143C5">
        <w:rPr>
          <w:rFonts w:ascii="Times New Roman" w:hAnsi="Times New Roman" w:cs="Times New Roman"/>
          <w:i/>
        </w:rPr>
        <w:t>s War Pensions and Allowances Act</w:t>
      </w:r>
      <w:r w:rsidRPr="00CA29F9">
        <w:rPr>
          <w:rFonts w:ascii="Times New Roman" w:hAnsi="Times New Roman" w:cs="Times New Roman"/>
        </w:rPr>
        <w:t xml:space="preserve"> (</w:t>
      </w:r>
      <w:r w:rsidRPr="009143C5">
        <w:rPr>
          <w:rFonts w:ascii="Times New Roman" w:hAnsi="Times New Roman" w:cs="Times New Roman"/>
          <w:i/>
        </w:rPr>
        <w:t xml:space="preserve">No. </w:t>
      </w:r>
      <w:r w:rsidR="00FA6FCE" w:rsidRPr="009143C5">
        <w:rPr>
          <w:rFonts w:ascii="Times New Roman" w:hAnsi="Times New Roman" w:cs="Times New Roman"/>
        </w:rPr>
        <w:t>2) 1972.</w:t>
      </w:r>
    </w:p>
    <w:p w:rsidR="00FA6FCE" w:rsidRPr="009143C5" w:rsidRDefault="00FA6FCE" w:rsidP="00D816CC">
      <w:pPr>
        <w:tabs>
          <w:tab w:val="left" w:pos="90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(2.)</w:t>
      </w:r>
      <w:r w:rsidR="00D816CC">
        <w:rPr>
          <w:rFonts w:ascii="Times New Roman" w:hAnsi="Times New Roman" w:cs="Times New Roman"/>
        </w:rPr>
        <w:tab/>
      </w:r>
      <w:r w:rsidRPr="009143C5">
        <w:rPr>
          <w:rFonts w:ascii="Times New Roman" w:hAnsi="Times New Roman" w:cs="Times New Roman"/>
        </w:rPr>
        <w:t xml:space="preserve">The </w:t>
      </w:r>
      <w:r w:rsidR="00063E9F" w:rsidRPr="009143C5">
        <w:rPr>
          <w:rFonts w:ascii="Times New Roman" w:hAnsi="Times New Roman" w:cs="Times New Roman"/>
          <w:i/>
        </w:rPr>
        <w:t>Seamen</w:t>
      </w:r>
      <w:r w:rsidR="003E06F0">
        <w:rPr>
          <w:rFonts w:ascii="Times New Roman" w:hAnsi="Times New Roman" w:cs="Times New Roman"/>
          <w:i/>
        </w:rPr>
        <w:t>’</w:t>
      </w:r>
      <w:r w:rsidR="00063E9F" w:rsidRPr="009143C5">
        <w:rPr>
          <w:rFonts w:ascii="Times New Roman" w:hAnsi="Times New Roman" w:cs="Times New Roman"/>
          <w:i/>
        </w:rPr>
        <w:t xml:space="preserve">s War Pensions and Allowances Act </w:t>
      </w:r>
      <w:r w:rsidRPr="009143C5">
        <w:rPr>
          <w:rFonts w:ascii="Times New Roman" w:hAnsi="Times New Roman" w:cs="Times New Roman"/>
        </w:rPr>
        <w:t>1940</w:t>
      </w:r>
      <w:r w:rsidR="005B23B5">
        <w:rPr>
          <w:rFonts w:ascii="Times New Roman" w:hAnsi="Times New Roman" w:cs="Times New Roman"/>
        </w:rPr>
        <w:t>–</w:t>
      </w:r>
      <w:r w:rsidR="00874E3C">
        <w:rPr>
          <w:rFonts w:ascii="Times New Roman" w:hAnsi="Times New Roman" w:cs="Times New Roman"/>
        </w:rPr>
        <w:t>1971,</w:t>
      </w:r>
      <w:r w:rsidRPr="009143C5">
        <w:rPr>
          <w:rFonts w:ascii="Times New Roman" w:hAnsi="Times New Roman" w:cs="Times New Roman"/>
        </w:rPr>
        <w:t xml:space="preserve"> as amended by the </w:t>
      </w:r>
      <w:r w:rsidR="00063E9F" w:rsidRPr="009143C5">
        <w:rPr>
          <w:rFonts w:ascii="Times New Roman" w:hAnsi="Times New Roman" w:cs="Times New Roman"/>
          <w:i/>
        </w:rPr>
        <w:t>Seamen</w:t>
      </w:r>
      <w:r w:rsidR="003E06F0">
        <w:rPr>
          <w:rFonts w:ascii="Times New Roman" w:hAnsi="Times New Roman" w:cs="Times New Roman"/>
          <w:i/>
        </w:rPr>
        <w:t>’</w:t>
      </w:r>
      <w:r w:rsidR="00063E9F" w:rsidRPr="009143C5">
        <w:rPr>
          <w:rFonts w:ascii="Times New Roman" w:hAnsi="Times New Roman" w:cs="Times New Roman"/>
          <w:i/>
        </w:rPr>
        <w:t xml:space="preserve">s War Pensions and Allowances Act </w:t>
      </w:r>
      <w:r w:rsidR="00874E3C">
        <w:rPr>
          <w:rFonts w:ascii="Times New Roman" w:hAnsi="Times New Roman" w:cs="Times New Roman"/>
        </w:rPr>
        <w:t>1972,</w:t>
      </w:r>
      <w:r w:rsidRPr="009143C5">
        <w:rPr>
          <w:rFonts w:ascii="Times New Roman" w:hAnsi="Times New Roman" w:cs="Times New Roman"/>
        </w:rPr>
        <w:t xml:space="preserve"> is in this Act referred to as the Principal Act.</w:t>
      </w:r>
    </w:p>
    <w:p w:rsidR="00FA6FCE" w:rsidRPr="009143C5" w:rsidRDefault="00FA6FCE" w:rsidP="00D816CC">
      <w:pPr>
        <w:tabs>
          <w:tab w:val="left" w:pos="90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(3.)</w:t>
      </w:r>
      <w:r w:rsidR="00D816CC">
        <w:rPr>
          <w:rFonts w:ascii="Times New Roman" w:hAnsi="Times New Roman" w:cs="Times New Roman"/>
        </w:rPr>
        <w:tab/>
      </w:r>
      <w:r w:rsidRPr="009143C5">
        <w:rPr>
          <w:rFonts w:ascii="Times New Roman" w:hAnsi="Times New Roman" w:cs="Times New Roman"/>
        </w:rPr>
        <w:t xml:space="preserve">Section 1 of the </w:t>
      </w:r>
      <w:r w:rsidR="00063E9F" w:rsidRPr="009143C5">
        <w:rPr>
          <w:rFonts w:ascii="Times New Roman" w:hAnsi="Times New Roman" w:cs="Times New Roman"/>
          <w:i/>
        </w:rPr>
        <w:t>Seamen</w:t>
      </w:r>
      <w:r w:rsidR="003E06F0">
        <w:rPr>
          <w:rFonts w:ascii="Times New Roman" w:hAnsi="Times New Roman" w:cs="Times New Roman"/>
          <w:i/>
        </w:rPr>
        <w:t>’</w:t>
      </w:r>
      <w:r w:rsidR="00063E9F" w:rsidRPr="009143C5">
        <w:rPr>
          <w:rFonts w:ascii="Times New Roman" w:hAnsi="Times New Roman" w:cs="Times New Roman"/>
          <w:i/>
        </w:rPr>
        <w:t xml:space="preserve">s War Pensions and Allowances Act </w:t>
      </w:r>
      <w:r w:rsidRPr="009143C5">
        <w:rPr>
          <w:rFonts w:ascii="Times New Roman" w:hAnsi="Times New Roman" w:cs="Times New Roman"/>
        </w:rPr>
        <w:t>1972 is amended by omitting sub-section (3.).</w:t>
      </w:r>
    </w:p>
    <w:p w:rsidR="00FA6FCE" w:rsidRPr="009143C5" w:rsidRDefault="00FA6FCE" w:rsidP="00D816CC">
      <w:pPr>
        <w:tabs>
          <w:tab w:val="left" w:pos="90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(4.)</w:t>
      </w:r>
      <w:r w:rsidR="00D816CC">
        <w:rPr>
          <w:rFonts w:ascii="Times New Roman" w:hAnsi="Times New Roman" w:cs="Times New Roman"/>
        </w:rPr>
        <w:tab/>
      </w:r>
      <w:r w:rsidRPr="009143C5">
        <w:rPr>
          <w:rFonts w:ascii="Times New Roman" w:hAnsi="Times New Roman" w:cs="Times New Roman"/>
        </w:rPr>
        <w:t xml:space="preserve">The Principal Act, as amended by this Act, may be cited as the </w:t>
      </w:r>
      <w:r w:rsidR="00063E9F" w:rsidRPr="009143C5">
        <w:rPr>
          <w:rFonts w:ascii="Times New Roman" w:hAnsi="Times New Roman" w:cs="Times New Roman"/>
          <w:i/>
        </w:rPr>
        <w:t>Seamen</w:t>
      </w:r>
      <w:r w:rsidR="003E06F0">
        <w:rPr>
          <w:rFonts w:ascii="Times New Roman" w:hAnsi="Times New Roman" w:cs="Times New Roman"/>
          <w:i/>
        </w:rPr>
        <w:t>’</w:t>
      </w:r>
      <w:r w:rsidR="00063E9F" w:rsidRPr="009143C5">
        <w:rPr>
          <w:rFonts w:ascii="Times New Roman" w:hAnsi="Times New Roman" w:cs="Times New Roman"/>
          <w:i/>
        </w:rPr>
        <w:t xml:space="preserve">s War Pensions and Allowances Act </w:t>
      </w:r>
      <w:r w:rsidRPr="009143C5">
        <w:rPr>
          <w:rFonts w:ascii="Times New Roman" w:hAnsi="Times New Roman" w:cs="Times New Roman"/>
        </w:rPr>
        <w:t>1940</w:t>
      </w:r>
      <w:r w:rsidR="006A77CD">
        <w:rPr>
          <w:rFonts w:ascii="Times New Roman" w:hAnsi="Times New Roman" w:cs="Times New Roman"/>
        </w:rPr>
        <w:t>–</w:t>
      </w:r>
      <w:r w:rsidRPr="009143C5">
        <w:rPr>
          <w:rFonts w:ascii="Times New Roman" w:hAnsi="Times New Roman" w:cs="Times New Roman"/>
        </w:rPr>
        <w:t>1972.</w:t>
      </w:r>
    </w:p>
    <w:p w:rsidR="00FA6FCE" w:rsidRPr="00CA29F9" w:rsidRDefault="00063E9F" w:rsidP="00CA29F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A29F9">
        <w:rPr>
          <w:rFonts w:ascii="Times New Roman" w:hAnsi="Times New Roman" w:cs="Times New Roman"/>
          <w:b/>
          <w:sz w:val="20"/>
        </w:rPr>
        <w:t>Commencement.</w:t>
      </w:r>
    </w:p>
    <w:p w:rsidR="00FA6FCE" w:rsidRPr="009143C5" w:rsidRDefault="00063E9F" w:rsidP="00B80B03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b/>
        </w:rPr>
        <w:t>2.</w:t>
      </w:r>
      <w:r w:rsidR="00D816CC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FA6FCE" w:rsidRPr="00CA29F9" w:rsidRDefault="00063E9F" w:rsidP="00CA29F9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CA29F9">
        <w:rPr>
          <w:rFonts w:ascii="Times New Roman" w:hAnsi="Times New Roman" w:cs="Times New Roman"/>
          <w:b/>
          <w:sz w:val="20"/>
        </w:rPr>
        <w:t>Interpretation.</w:t>
      </w:r>
    </w:p>
    <w:p w:rsidR="00FA6FCE" w:rsidRPr="009143C5" w:rsidRDefault="00063E9F" w:rsidP="00B80B03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b/>
        </w:rPr>
        <w:t>3.</w:t>
      </w:r>
      <w:r w:rsidR="00D816CC">
        <w:rPr>
          <w:rFonts w:ascii="Times New Roman" w:hAnsi="Times New Roman" w:cs="Times New Roman"/>
          <w:b/>
        </w:rPr>
        <w:tab/>
      </w:r>
      <w:r w:rsidR="00FA6FCE" w:rsidRPr="009143C5">
        <w:rPr>
          <w:rFonts w:ascii="Times New Roman" w:hAnsi="Times New Roman" w:cs="Times New Roman"/>
        </w:rPr>
        <w:t>Section 3 of the Principal Act is amended—</w:t>
      </w:r>
    </w:p>
    <w:p w:rsidR="00FA6FCE" w:rsidRPr="009143C5" w:rsidRDefault="00FA6FCE" w:rsidP="00B80B03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 xml:space="preserve">by omitting from sub-section (1.) the definition of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child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 xml:space="preserve"> and inserting in its stead the following definition:—</w:t>
      </w:r>
    </w:p>
    <w:p w:rsidR="00FA6FCE" w:rsidRPr="009143C5" w:rsidRDefault="003E06F0" w:rsidP="00B80B03">
      <w:pPr>
        <w:spacing w:after="60" w:line="240" w:lineRule="auto"/>
        <w:ind w:left="1584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CA2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‘</w:t>
      </w:r>
      <w:r w:rsidR="00FA6FCE" w:rsidRPr="009143C5">
        <w:rPr>
          <w:rFonts w:ascii="Times New Roman" w:hAnsi="Times New Roman" w:cs="Times New Roman"/>
        </w:rPr>
        <w:t>child</w:t>
      </w:r>
      <w:r>
        <w:rPr>
          <w:rFonts w:ascii="Times New Roman" w:hAnsi="Times New Roman" w:cs="Times New Roman"/>
        </w:rPr>
        <w:t>’</w:t>
      </w:r>
      <w:r w:rsidR="00FA6FCE" w:rsidRPr="009143C5">
        <w:rPr>
          <w:rFonts w:ascii="Times New Roman" w:hAnsi="Times New Roman" w:cs="Times New Roman"/>
        </w:rPr>
        <w:t>, in relation to an Australian mariner, means a son, step-son or adopted son, or a daughter, step-daughter or adopted daughter, of the mariner—</w:t>
      </w:r>
    </w:p>
    <w:p w:rsidR="00FA6FCE" w:rsidRPr="009143C5" w:rsidRDefault="00FA6FCE" w:rsidP="00B80B03">
      <w:pPr>
        <w:spacing w:after="0" w:line="240" w:lineRule="auto"/>
        <w:ind w:left="1728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who is under the age of sixteen years; or</w:t>
      </w:r>
    </w:p>
    <w:p w:rsidR="00FA6FCE" w:rsidRPr="009143C5" w:rsidRDefault="00FA6FCE" w:rsidP="00B80B03">
      <w:pPr>
        <w:spacing w:after="60" w:line="240" w:lineRule="auto"/>
        <w:ind w:left="1728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who—</w:t>
      </w:r>
    </w:p>
    <w:p w:rsidR="005B23B5" w:rsidRDefault="00FA6FCE" w:rsidP="005B23B5">
      <w:pPr>
        <w:spacing w:after="0" w:line="240" w:lineRule="auto"/>
        <w:ind w:left="2592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proofErr w:type="spellStart"/>
      <w:r w:rsidRPr="009143C5">
        <w:rPr>
          <w:rFonts w:ascii="Times New Roman" w:hAnsi="Times New Roman" w:cs="Times New Roman"/>
        </w:rPr>
        <w:t>i</w:t>
      </w:r>
      <w:proofErr w:type="spellEnd"/>
      <w:r w:rsidRPr="009143C5">
        <w:rPr>
          <w:rFonts w:ascii="Times New Roman" w:hAnsi="Times New Roman" w:cs="Times New Roman"/>
        </w:rPr>
        <w:t>) has attained the age of sixteen years but is under the age of twenty-one years;</w:t>
      </w:r>
    </w:p>
    <w:p w:rsidR="00FA6FCE" w:rsidRPr="009143C5" w:rsidRDefault="00063E9F" w:rsidP="00914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br w:type="page"/>
      </w:r>
    </w:p>
    <w:p w:rsidR="00FA6FCE" w:rsidRPr="009143C5" w:rsidRDefault="00FA6FCE" w:rsidP="003153C4">
      <w:pPr>
        <w:spacing w:after="60" w:line="240" w:lineRule="auto"/>
        <w:ind w:left="2592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lastRenderedPageBreak/>
        <w:t>(ii) is receiving full-time education at a school, college or university; and</w:t>
      </w:r>
    </w:p>
    <w:p w:rsidR="00FA6FCE" w:rsidRPr="009143C5" w:rsidRDefault="00FA6FCE" w:rsidP="003153C4">
      <w:pPr>
        <w:spacing w:after="60" w:line="240" w:lineRule="auto"/>
        <w:ind w:left="2592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 xml:space="preserve">(iii) is not in receipt of an invalid pension under Part III. of the </w:t>
      </w:r>
      <w:r w:rsidR="00063E9F" w:rsidRPr="009143C5">
        <w:rPr>
          <w:rFonts w:ascii="Times New Roman" w:hAnsi="Times New Roman" w:cs="Times New Roman"/>
          <w:i/>
        </w:rPr>
        <w:t xml:space="preserve">Social Services Act </w:t>
      </w:r>
      <w:r w:rsidRPr="009143C5">
        <w:rPr>
          <w:rFonts w:ascii="Times New Roman" w:hAnsi="Times New Roman" w:cs="Times New Roman"/>
        </w:rPr>
        <w:t>1947</w:t>
      </w:r>
      <w:r w:rsidR="003153C4">
        <w:rPr>
          <w:rFonts w:ascii="Times New Roman" w:hAnsi="Times New Roman" w:cs="Times New Roman"/>
        </w:rPr>
        <w:t>–</w:t>
      </w:r>
      <w:r w:rsidRPr="009143C5">
        <w:rPr>
          <w:rFonts w:ascii="Times New Roman" w:hAnsi="Times New Roman" w:cs="Times New Roman"/>
        </w:rPr>
        <w:t>1972;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>; and</w:t>
      </w:r>
    </w:p>
    <w:p w:rsidR="00FA6FCE" w:rsidRPr="009143C5" w:rsidRDefault="00FA6FCE" w:rsidP="00E461D8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by omitting paragraph</w:t>
      </w:r>
      <w:r w:rsidRPr="00A928F4">
        <w:rPr>
          <w:rFonts w:ascii="Times New Roman" w:hAnsi="Times New Roman" w:cs="Times New Roman"/>
        </w:rPr>
        <w:t xml:space="preserve"> </w:t>
      </w:r>
      <w:r w:rsidR="00063E9F" w:rsidRPr="00A928F4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="00063E9F" w:rsidRPr="00A928F4">
        <w:rPr>
          <w:rFonts w:ascii="Times New Roman" w:hAnsi="Times New Roman" w:cs="Times New Roman"/>
        </w:rPr>
        <w:t xml:space="preserve">) </w:t>
      </w:r>
      <w:r w:rsidRPr="009143C5">
        <w:rPr>
          <w:rFonts w:ascii="Times New Roman" w:hAnsi="Times New Roman" w:cs="Times New Roman"/>
        </w:rPr>
        <w:t xml:space="preserve">of the definition of </w:t>
      </w:r>
      <w:r w:rsidR="003E06F0">
        <w:rPr>
          <w:rFonts w:ascii="Times New Roman" w:hAnsi="Times New Roman" w:cs="Times New Roman"/>
        </w:rPr>
        <w:t>“</w:t>
      </w:r>
      <w:proofErr w:type="spellStart"/>
      <w:r w:rsidRPr="009143C5">
        <w:rPr>
          <w:rFonts w:ascii="Times New Roman" w:hAnsi="Times New Roman" w:cs="Times New Roman"/>
        </w:rPr>
        <w:t>dependant</w:t>
      </w:r>
      <w:proofErr w:type="spellEnd"/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 xml:space="preserve"> in sub-section (1.) and inserting in its stead the following paragraphs:—</w:t>
      </w:r>
    </w:p>
    <w:p w:rsidR="00B44577" w:rsidRDefault="00A928F4" w:rsidP="00E461D8">
      <w:pPr>
        <w:spacing w:after="60" w:line="240" w:lineRule="auto"/>
        <w:ind w:left="1584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6FCE"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="00FA6FCE"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="00FA6FCE" w:rsidRPr="009143C5">
        <w:rPr>
          <w:rFonts w:ascii="Times New Roman" w:hAnsi="Times New Roman" w:cs="Times New Roman"/>
        </w:rPr>
        <w:t xml:space="preserve">a child (other than an ex-nuptial child) of the mariner; </w:t>
      </w:r>
    </w:p>
    <w:p w:rsidR="00FA6FCE" w:rsidRPr="009143C5" w:rsidRDefault="00FA6FCE" w:rsidP="00E461D8">
      <w:pPr>
        <w:spacing w:after="60" w:line="240" w:lineRule="auto"/>
        <w:ind w:left="1584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proofErr w:type="spellStart"/>
      <w:r w:rsidR="00063E9F" w:rsidRPr="009143C5">
        <w:rPr>
          <w:rFonts w:ascii="Times New Roman" w:hAnsi="Times New Roman" w:cs="Times New Roman"/>
          <w:i/>
        </w:rPr>
        <w:t>ba</w:t>
      </w:r>
      <w:proofErr w:type="spellEnd"/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an ex-nuptial child of the mariner who—</w:t>
      </w:r>
    </w:p>
    <w:p w:rsidR="00FA6FCE" w:rsidRPr="009143C5" w:rsidRDefault="00FA6FCE" w:rsidP="003153C4">
      <w:pPr>
        <w:spacing w:after="6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proofErr w:type="spellStart"/>
      <w:r w:rsidRPr="009143C5">
        <w:rPr>
          <w:rFonts w:ascii="Times New Roman" w:hAnsi="Times New Roman" w:cs="Times New Roman"/>
        </w:rPr>
        <w:t>i</w:t>
      </w:r>
      <w:proofErr w:type="spellEnd"/>
      <w:r w:rsidRPr="009143C5">
        <w:rPr>
          <w:rFonts w:ascii="Times New Roman" w:hAnsi="Times New Roman" w:cs="Times New Roman"/>
        </w:rPr>
        <w:t>) was born not later than nine months after the relevant date; or</w:t>
      </w:r>
    </w:p>
    <w:p w:rsidR="00FA6FCE" w:rsidRPr="009143C5" w:rsidRDefault="00FA6FCE" w:rsidP="00E461D8">
      <w:pPr>
        <w:spacing w:after="0" w:line="240" w:lineRule="auto"/>
        <w:ind w:left="2160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(ii) has been adopted by the mariner; and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>.</w:t>
      </w:r>
    </w:p>
    <w:p w:rsidR="00FA6FCE" w:rsidRPr="00A928F4" w:rsidRDefault="00063E9F" w:rsidP="00A928F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928F4">
        <w:rPr>
          <w:rFonts w:ascii="Times New Roman" w:hAnsi="Times New Roman" w:cs="Times New Roman"/>
          <w:b/>
          <w:sz w:val="20"/>
        </w:rPr>
        <w:t>Rates of pension on death or total incapacity.</w:t>
      </w:r>
    </w:p>
    <w:p w:rsidR="00FA6FCE" w:rsidRPr="009143C5" w:rsidRDefault="00063E9F" w:rsidP="00E461D8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b/>
        </w:rPr>
        <w:t>4.</w:t>
      </w:r>
      <w:r w:rsidR="00D147F1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>Section 18 of the Principal Act is amended—</w:t>
      </w:r>
    </w:p>
    <w:p w:rsidR="00FA6FCE" w:rsidRPr="009143C5" w:rsidRDefault="00FA6FCE" w:rsidP="00E461D8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by omitting from sub-section (4</w:t>
      </w:r>
      <w:r w:rsidR="00063E9F" w:rsidRPr="00A928F4">
        <w:rPr>
          <w:rFonts w:ascii="Times New Roman" w:hAnsi="Times New Roman" w:cs="Times New Roman"/>
          <w:smallCaps/>
        </w:rPr>
        <w:t>a</w:t>
      </w:r>
      <w:r w:rsidRPr="00A928F4">
        <w:rPr>
          <w:rFonts w:ascii="Times New Roman" w:hAnsi="Times New Roman" w:cs="Times New Roman"/>
        </w:rPr>
        <w:t>.</w:t>
      </w:r>
      <w:r w:rsidRPr="009143C5">
        <w:rPr>
          <w:rFonts w:ascii="Times New Roman" w:hAnsi="Times New Roman" w:cs="Times New Roman"/>
        </w:rPr>
        <w:t xml:space="preserve">) the words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Sixty-two dollars fifty cents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 xml:space="preserve"> and inserting in their stead the words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Sixty-eight dollars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>;</w:t>
      </w:r>
    </w:p>
    <w:p w:rsidR="00FA6FCE" w:rsidRPr="009143C5" w:rsidRDefault="00FA6FCE" w:rsidP="00E461D8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by inserting in paragraph 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 xml:space="preserve">of sub-section (7.), after the word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dollars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 xml:space="preserve">, the words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seventy cents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>; and</w:t>
      </w:r>
    </w:p>
    <w:p w:rsidR="00FA6FCE" w:rsidRPr="009143C5" w:rsidRDefault="00FA6FCE" w:rsidP="00E461D8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c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 xml:space="preserve">by omitting from sub-section (8.) the words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Twenty-eight dollars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 xml:space="preserve"> and inserting in their stead the words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Twenty-nine dollars forty cents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>.</w:t>
      </w:r>
    </w:p>
    <w:p w:rsidR="00FA6FCE" w:rsidRPr="009143C5" w:rsidRDefault="00063E9F" w:rsidP="00D147F1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b/>
        </w:rPr>
        <w:t>5.</w:t>
      </w:r>
      <w:r w:rsidR="00D147F1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>After section 18 of the Principal Act the following section is inserted:—</w:t>
      </w:r>
    </w:p>
    <w:p w:rsidR="00FA6FCE" w:rsidRPr="00A928F4" w:rsidRDefault="00063E9F" w:rsidP="00A928F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928F4">
        <w:rPr>
          <w:rFonts w:ascii="Times New Roman" w:hAnsi="Times New Roman" w:cs="Times New Roman"/>
          <w:b/>
          <w:sz w:val="20"/>
        </w:rPr>
        <w:t xml:space="preserve">Rate of pension to certain </w:t>
      </w:r>
      <w:proofErr w:type="spellStart"/>
      <w:r w:rsidRPr="00A928F4">
        <w:rPr>
          <w:rFonts w:ascii="Times New Roman" w:hAnsi="Times New Roman" w:cs="Times New Roman"/>
          <w:b/>
          <w:sz w:val="20"/>
        </w:rPr>
        <w:t>dependants</w:t>
      </w:r>
      <w:proofErr w:type="spellEnd"/>
      <w:r w:rsidRPr="00A928F4">
        <w:rPr>
          <w:rFonts w:ascii="Times New Roman" w:hAnsi="Times New Roman" w:cs="Times New Roman"/>
          <w:b/>
          <w:sz w:val="20"/>
        </w:rPr>
        <w:t xml:space="preserve"> who are children.</w:t>
      </w:r>
    </w:p>
    <w:p w:rsidR="00FA6FCE" w:rsidRPr="009143C5" w:rsidRDefault="003E06F0" w:rsidP="003B72FE">
      <w:pPr>
        <w:tabs>
          <w:tab w:val="left" w:pos="162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6FCE" w:rsidRPr="009143C5">
        <w:rPr>
          <w:rFonts w:ascii="Times New Roman" w:hAnsi="Times New Roman" w:cs="Times New Roman"/>
        </w:rPr>
        <w:t>18</w:t>
      </w:r>
      <w:r w:rsidR="00063E9F" w:rsidRPr="00A928F4">
        <w:rPr>
          <w:rFonts w:ascii="Times New Roman" w:hAnsi="Times New Roman" w:cs="Times New Roman"/>
          <w:smallCaps/>
        </w:rPr>
        <w:t>a</w:t>
      </w:r>
      <w:r w:rsidR="00FA6FCE" w:rsidRPr="00A928F4">
        <w:rPr>
          <w:rFonts w:ascii="Times New Roman" w:hAnsi="Times New Roman" w:cs="Times New Roman"/>
        </w:rPr>
        <w:t>.</w:t>
      </w:r>
      <w:r w:rsidR="00FA6FCE" w:rsidRPr="009143C5">
        <w:rPr>
          <w:rFonts w:ascii="Times New Roman" w:hAnsi="Times New Roman" w:cs="Times New Roman"/>
        </w:rPr>
        <w:t>—(1.)</w:t>
      </w:r>
      <w:r w:rsidR="003B72FE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 xml:space="preserve">This section applies to a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of an Australian mariner—</w:t>
      </w:r>
    </w:p>
    <w:p w:rsidR="00FA6FCE" w:rsidRPr="009143C5" w:rsidRDefault="00FA6FCE" w:rsidP="00D147F1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who is a child of the mariner;</w:t>
      </w:r>
    </w:p>
    <w:p w:rsidR="00FA6FCE" w:rsidRPr="009143C5" w:rsidRDefault="00FA6FCE" w:rsidP="00D147F1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who has attained the age of sixteen years; and</w:t>
      </w:r>
    </w:p>
    <w:p w:rsidR="00FA6FCE" w:rsidRPr="009143C5" w:rsidRDefault="00FA6FCE" w:rsidP="00D147F1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c</w:t>
      </w:r>
      <w:r w:rsidRPr="009143C5">
        <w:rPr>
          <w:rFonts w:ascii="Times New Roman" w:hAnsi="Times New Roman" w:cs="Times New Roman"/>
        </w:rPr>
        <w:t>) to or in respect of whom a maintenance or living allowance or a salary is payable by the Commonwealth under the Mariners</w:t>
      </w:r>
      <w:r w:rsidR="003E06F0">
        <w:rPr>
          <w:rFonts w:ascii="Times New Roman" w:hAnsi="Times New Roman" w:cs="Times New Roman"/>
        </w:rPr>
        <w:t>’</w:t>
      </w:r>
      <w:r w:rsidRPr="009143C5">
        <w:rPr>
          <w:rFonts w:ascii="Times New Roman" w:hAnsi="Times New Roman" w:cs="Times New Roman"/>
        </w:rPr>
        <w:t xml:space="preserve"> Children Education Scheme or under any other scheme for assistance by the Commonwealth in the education or training of children.</w:t>
      </w:r>
    </w:p>
    <w:p w:rsidR="00FA6FCE" w:rsidRPr="009143C5" w:rsidRDefault="003E06F0" w:rsidP="003B72FE">
      <w:pPr>
        <w:tabs>
          <w:tab w:val="left" w:pos="99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6FCE" w:rsidRPr="009143C5">
        <w:rPr>
          <w:rFonts w:ascii="Times New Roman" w:hAnsi="Times New Roman" w:cs="Times New Roman"/>
        </w:rPr>
        <w:t>(2.)</w:t>
      </w:r>
      <w:r w:rsidR="003B72FE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 xml:space="preserve">Where the maintenance or living allowance or the salary payable by the Commonwealth to or in respect of a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to whom this section applies—</w:t>
      </w:r>
    </w:p>
    <w:p w:rsidR="00FA6FCE" w:rsidRPr="009143C5" w:rsidRDefault="00FA6FCE" w:rsidP="00D147F1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is payable under the Mariners</w:t>
      </w:r>
      <w:r w:rsidR="003E06F0">
        <w:rPr>
          <w:rFonts w:ascii="Times New Roman" w:hAnsi="Times New Roman" w:cs="Times New Roman"/>
        </w:rPr>
        <w:t>’</w:t>
      </w:r>
      <w:r w:rsidRPr="009143C5">
        <w:rPr>
          <w:rFonts w:ascii="Times New Roman" w:hAnsi="Times New Roman" w:cs="Times New Roman"/>
        </w:rPr>
        <w:t xml:space="preserve"> Children Education Scheme; or</w:t>
      </w:r>
    </w:p>
    <w:p w:rsidR="00FA6FCE" w:rsidRPr="009143C5" w:rsidRDefault="00FA6FCE" w:rsidP="00D147F1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is payable under a scheme other than the Mariners</w:t>
      </w:r>
      <w:r w:rsidR="003E06F0">
        <w:rPr>
          <w:rFonts w:ascii="Times New Roman" w:hAnsi="Times New Roman" w:cs="Times New Roman"/>
        </w:rPr>
        <w:t>’</w:t>
      </w:r>
      <w:r w:rsidRPr="009143C5">
        <w:rPr>
          <w:rFonts w:ascii="Times New Roman" w:hAnsi="Times New Roman" w:cs="Times New Roman"/>
        </w:rPr>
        <w:t xml:space="preserve"> Children Education Scheme at a fortnightly rate that equals or exceeds the fortnightly rate of the corresponding Mariners</w:t>
      </w:r>
      <w:r w:rsidR="003E06F0">
        <w:rPr>
          <w:rFonts w:ascii="Times New Roman" w:hAnsi="Times New Roman" w:cs="Times New Roman"/>
        </w:rPr>
        <w:t>’</w:t>
      </w:r>
      <w:r w:rsidRPr="009143C5">
        <w:rPr>
          <w:rFonts w:ascii="Times New Roman" w:hAnsi="Times New Roman" w:cs="Times New Roman"/>
        </w:rPr>
        <w:t xml:space="preserve"> Children Education Scheme allowance in relation to that </w:t>
      </w:r>
      <w:proofErr w:type="spellStart"/>
      <w:r w:rsidRPr="009143C5">
        <w:rPr>
          <w:rFonts w:ascii="Times New Roman" w:hAnsi="Times New Roman" w:cs="Times New Roman"/>
        </w:rPr>
        <w:t>dependant</w:t>
      </w:r>
      <w:proofErr w:type="spellEnd"/>
      <w:r w:rsidRPr="009143C5">
        <w:rPr>
          <w:rFonts w:ascii="Times New Roman" w:hAnsi="Times New Roman" w:cs="Times New Roman"/>
        </w:rPr>
        <w:t>,</w:t>
      </w:r>
    </w:p>
    <w:p w:rsidR="00FA6FCE" w:rsidRPr="009143C5" w:rsidRDefault="00FA6FCE" w:rsidP="00914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 xml:space="preserve">no pension is payable to or in respect of that </w:t>
      </w:r>
      <w:proofErr w:type="spellStart"/>
      <w:r w:rsidRPr="009143C5">
        <w:rPr>
          <w:rFonts w:ascii="Times New Roman" w:hAnsi="Times New Roman" w:cs="Times New Roman"/>
        </w:rPr>
        <w:t>dependant</w:t>
      </w:r>
      <w:proofErr w:type="spellEnd"/>
      <w:r w:rsidRPr="009143C5">
        <w:rPr>
          <w:rFonts w:ascii="Times New Roman" w:hAnsi="Times New Roman" w:cs="Times New Roman"/>
        </w:rPr>
        <w:t xml:space="preserve"> under this Act.</w:t>
      </w:r>
    </w:p>
    <w:p w:rsidR="00FA6FCE" w:rsidRPr="009143C5" w:rsidRDefault="00063E9F" w:rsidP="009143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br w:type="page"/>
      </w:r>
    </w:p>
    <w:p w:rsidR="00FA6FCE" w:rsidRPr="009143C5" w:rsidRDefault="003E06F0" w:rsidP="001A70E2">
      <w:pPr>
        <w:tabs>
          <w:tab w:val="left" w:pos="99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="00FA6FCE" w:rsidRPr="009143C5">
        <w:rPr>
          <w:rFonts w:ascii="Times New Roman" w:hAnsi="Times New Roman" w:cs="Times New Roman"/>
        </w:rPr>
        <w:t>(3.)</w:t>
      </w:r>
      <w:r w:rsidR="001A70E2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>Where—</w:t>
      </w:r>
    </w:p>
    <w:p w:rsidR="00FA6FCE" w:rsidRPr="009143C5" w:rsidRDefault="00FA6FCE" w:rsidP="00E929A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 xml:space="preserve">the maintenance or living allowance or the salary payable by the Commonwealth to or in respect of a </w:t>
      </w:r>
      <w:proofErr w:type="spellStart"/>
      <w:r w:rsidRPr="009143C5">
        <w:rPr>
          <w:rFonts w:ascii="Times New Roman" w:hAnsi="Times New Roman" w:cs="Times New Roman"/>
        </w:rPr>
        <w:t>dependant</w:t>
      </w:r>
      <w:proofErr w:type="spellEnd"/>
      <w:r w:rsidRPr="009143C5">
        <w:rPr>
          <w:rFonts w:ascii="Times New Roman" w:hAnsi="Times New Roman" w:cs="Times New Roman"/>
        </w:rPr>
        <w:t xml:space="preserve"> to whom this section applies is payable under a scheme other than the Mariners</w:t>
      </w:r>
      <w:r w:rsidR="003E06F0">
        <w:rPr>
          <w:rFonts w:ascii="Times New Roman" w:hAnsi="Times New Roman" w:cs="Times New Roman"/>
        </w:rPr>
        <w:t>’</w:t>
      </w:r>
      <w:r w:rsidRPr="009143C5">
        <w:rPr>
          <w:rFonts w:ascii="Times New Roman" w:hAnsi="Times New Roman" w:cs="Times New Roman"/>
        </w:rPr>
        <w:t xml:space="preserve"> Children Education Scheme; and</w:t>
      </w:r>
    </w:p>
    <w:p w:rsidR="00FA6FCE" w:rsidRPr="009143C5" w:rsidRDefault="00FA6FCE" w:rsidP="00E929A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the amount of the fortnightly rate of that maintenance or living allowance or salary is less than the amount of the fortnightly rate of the corresponding Mariners</w:t>
      </w:r>
      <w:r w:rsidR="003E06F0">
        <w:rPr>
          <w:rFonts w:ascii="Times New Roman" w:hAnsi="Times New Roman" w:cs="Times New Roman"/>
        </w:rPr>
        <w:t>’</w:t>
      </w:r>
      <w:r w:rsidRPr="009143C5">
        <w:rPr>
          <w:rFonts w:ascii="Times New Roman" w:hAnsi="Times New Roman" w:cs="Times New Roman"/>
        </w:rPr>
        <w:t xml:space="preserve"> Children Education Scheme allowance in relation to that </w:t>
      </w:r>
      <w:proofErr w:type="spellStart"/>
      <w:r w:rsidRPr="009143C5">
        <w:rPr>
          <w:rFonts w:ascii="Times New Roman" w:hAnsi="Times New Roman" w:cs="Times New Roman"/>
        </w:rPr>
        <w:t>dependant</w:t>
      </w:r>
      <w:proofErr w:type="spellEnd"/>
      <w:r w:rsidRPr="009143C5">
        <w:rPr>
          <w:rFonts w:ascii="Times New Roman" w:hAnsi="Times New Roman" w:cs="Times New Roman"/>
        </w:rPr>
        <w:t>,</w:t>
      </w:r>
    </w:p>
    <w:p w:rsidR="00FA6FCE" w:rsidRPr="009143C5" w:rsidRDefault="00FA6FCE" w:rsidP="00024E20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 xml:space="preserve">the fortnightly instalment of the pension payable to that </w:t>
      </w:r>
      <w:proofErr w:type="spellStart"/>
      <w:r w:rsidRPr="009143C5">
        <w:rPr>
          <w:rFonts w:ascii="Times New Roman" w:hAnsi="Times New Roman" w:cs="Times New Roman"/>
        </w:rPr>
        <w:t>dependant</w:t>
      </w:r>
      <w:proofErr w:type="spellEnd"/>
      <w:r w:rsidRPr="009143C5">
        <w:rPr>
          <w:rFonts w:ascii="Times New Roman" w:hAnsi="Times New Roman" w:cs="Times New Roman"/>
        </w:rPr>
        <w:t xml:space="preserve"> under this Act shall not exceed the amount by which the first-mentioned amount referred to in paragraph 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of this sub-section is less than the other amount referred to in that paragraph.</w:t>
      </w:r>
    </w:p>
    <w:p w:rsidR="00FA6FCE" w:rsidRPr="009143C5" w:rsidRDefault="003E06F0" w:rsidP="00E929AD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6FCE" w:rsidRPr="009143C5">
        <w:rPr>
          <w:rFonts w:ascii="Times New Roman" w:hAnsi="Times New Roman" w:cs="Times New Roman"/>
        </w:rPr>
        <w:t>(4.) In this section—</w:t>
      </w:r>
    </w:p>
    <w:p w:rsidR="00FA6FCE" w:rsidRPr="009143C5" w:rsidRDefault="003E06F0" w:rsidP="00E929A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FA6FCE" w:rsidRPr="009143C5">
        <w:rPr>
          <w:rFonts w:ascii="Times New Roman" w:hAnsi="Times New Roman" w:cs="Times New Roman"/>
        </w:rPr>
        <w:t>the corresponding Mariners</w:t>
      </w:r>
      <w:r>
        <w:rPr>
          <w:rFonts w:ascii="Times New Roman" w:hAnsi="Times New Roman" w:cs="Times New Roman"/>
        </w:rPr>
        <w:t>’</w:t>
      </w:r>
      <w:r w:rsidR="00FA6FCE" w:rsidRPr="009143C5">
        <w:rPr>
          <w:rFonts w:ascii="Times New Roman" w:hAnsi="Times New Roman" w:cs="Times New Roman"/>
        </w:rPr>
        <w:t xml:space="preserve"> Children Education Scheme allowance</w:t>
      </w:r>
      <w:r>
        <w:rPr>
          <w:rFonts w:ascii="Times New Roman" w:hAnsi="Times New Roman" w:cs="Times New Roman"/>
        </w:rPr>
        <w:t>’</w:t>
      </w:r>
      <w:r w:rsidR="00FA6FCE" w:rsidRPr="009143C5">
        <w:rPr>
          <w:rFonts w:ascii="Times New Roman" w:hAnsi="Times New Roman" w:cs="Times New Roman"/>
        </w:rPr>
        <w:t xml:space="preserve">, in relation to a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who is not an eligible child for the purposes of the Mariners</w:t>
      </w:r>
      <w:r>
        <w:rPr>
          <w:rFonts w:ascii="Times New Roman" w:hAnsi="Times New Roman" w:cs="Times New Roman"/>
        </w:rPr>
        <w:t>’</w:t>
      </w:r>
      <w:r w:rsidR="00FA6FCE" w:rsidRPr="009143C5">
        <w:rPr>
          <w:rFonts w:ascii="Times New Roman" w:hAnsi="Times New Roman" w:cs="Times New Roman"/>
        </w:rPr>
        <w:t xml:space="preserve"> Children Education Scheme, means the maintenance or living allowance that would be payable to or in respect of the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under the Mariners</w:t>
      </w:r>
      <w:r>
        <w:rPr>
          <w:rFonts w:ascii="Times New Roman" w:hAnsi="Times New Roman" w:cs="Times New Roman"/>
        </w:rPr>
        <w:t>’</w:t>
      </w:r>
      <w:r w:rsidR="00FA6FCE" w:rsidRPr="009143C5">
        <w:rPr>
          <w:rFonts w:ascii="Times New Roman" w:hAnsi="Times New Roman" w:cs="Times New Roman"/>
        </w:rPr>
        <w:t xml:space="preserve"> Children Education Scheme if the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were an eligible child for the purposes of that scheme;</w:t>
      </w:r>
    </w:p>
    <w:p w:rsidR="00FA6FCE" w:rsidRPr="009143C5" w:rsidRDefault="003E06F0" w:rsidP="00E929A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FA6FCE" w:rsidRPr="009143C5">
        <w:rPr>
          <w:rFonts w:ascii="Times New Roman" w:hAnsi="Times New Roman" w:cs="Times New Roman"/>
        </w:rPr>
        <w:t>the Mariners</w:t>
      </w:r>
      <w:r>
        <w:rPr>
          <w:rFonts w:ascii="Times New Roman" w:hAnsi="Times New Roman" w:cs="Times New Roman"/>
        </w:rPr>
        <w:t>’</w:t>
      </w:r>
      <w:r w:rsidR="00FA6FCE" w:rsidRPr="009143C5">
        <w:rPr>
          <w:rFonts w:ascii="Times New Roman" w:hAnsi="Times New Roman" w:cs="Times New Roman"/>
        </w:rPr>
        <w:t xml:space="preserve"> Children Education Scheme</w:t>
      </w:r>
      <w:r>
        <w:rPr>
          <w:rFonts w:ascii="Times New Roman" w:hAnsi="Times New Roman" w:cs="Times New Roman"/>
        </w:rPr>
        <w:t>’</w:t>
      </w:r>
      <w:r w:rsidR="00FA6FCE" w:rsidRPr="009143C5">
        <w:rPr>
          <w:rFonts w:ascii="Times New Roman" w:hAnsi="Times New Roman" w:cs="Times New Roman"/>
        </w:rPr>
        <w:t xml:space="preserve"> means a scheme for providing facilities for the education or training of children of Australian mariners established by the Commission under the regulations.</w:t>
      </w:r>
      <w:r>
        <w:rPr>
          <w:rFonts w:ascii="Times New Roman" w:hAnsi="Times New Roman" w:cs="Times New Roman"/>
        </w:rPr>
        <w:t>”</w:t>
      </w:r>
      <w:r w:rsidR="00FA6FCE" w:rsidRPr="009143C5">
        <w:rPr>
          <w:rFonts w:ascii="Times New Roman" w:hAnsi="Times New Roman" w:cs="Times New Roman"/>
        </w:rPr>
        <w:t>.</w:t>
      </w:r>
    </w:p>
    <w:p w:rsidR="00FA6FCE" w:rsidRPr="00DB73B4" w:rsidRDefault="00063E9F" w:rsidP="00DB73B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B73B4">
        <w:rPr>
          <w:rFonts w:ascii="Times New Roman" w:hAnsi="Times New Roman" w:cs="Times New Roman"/>
          <w:b/>
          <w:sz w:val="20"/>
        </w:rPr>
        <w:t>Pensions for limited periods in certain cases.</w:t>
      </w:r>
    </w:p>
    <w:p w:rsidR="00FA6FCE" w:rsidRPr="009143C5" w:rsidRDefault="00063E9F" w:rsidP="00E929AD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b/>
        </w:rPr>
        <w:t>6.</w:t>
      </w:r>
      <w:r w:rsidR="00E929AD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>Section 27 of the Principal Act is amended—</w:t>
      </w:r>
    </w:p>
    <w:p w:rsidR="00FA6FCE" w:rsidRPr="009143C5" w:rsidRDefault="00FA6FCE" w:rsidP="00E929A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by omitting sub-section (1.) and inserting in its stead the following sub-sections:—</w:t>
      </w:r>
    </w:p>
    <w:p w:rsidR="00FA6FCE" w:rsidRPr="009143C5" w:rsidRDefault="003E06F0" w:rsidP="00E929AD">
      <w:pPr>
        <w:spacing w:after="60" w:line="240" w:lineRule="auto"/>
        <w:ind w:left="864"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6FCE" w:rsidRPr="009143C5">
        <w:rPr>
          <w:rFonts w:ascii="Times New Roman" w:hAnsi="Times New Roman" w:cs="Times New Roman"/>
        </w:rPr>
        <w:t xml:space="preserve">(1.) A pension payable to any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(other than the wife or widow, or a child, of an Australian mariner) who at the date of the granting of the pension is under sixteen years of age ceases upon the pensioner attaining that age.</w:t>
      </w:r>
    </w:p>
    <w:p w:rsidR="00FA6FCE" w:rsidRPr="009143C5" w:rsidRDefault="003E06F0" w:rsidP="00E929AD">
      <w:pPr>
        <w:spacing w:after="60" w:line="240" w:lineRule="auto"/>
        <w:ind w:left="864"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6FCE" w:rsidRPr="009143C5">
        <w:rPr>
          <w:rFonts w:ascii="Times New Roman" w:hAnsi="Times New Roman" w:cs="Times New Roman"/>
        </w:rPr>
        <w:t>(1</w:t>
      </w:r>
      <w:r w:rsidR="00063E9F" w:rsidRPr="00DB73B4">
        <w:rPr>
          <w:rFonts w:ascii="Times New Roman" w:hAnsi="Times New Roman" w:cs="Times New Roman"/>
          <w:smallCaps/>
        </w:rPr>
        <w:t>a</w:t>
      </w:r>
      <w:r w:rsidR="00FA6FCE" w:rsidRPr="00DB73B4">
        <w:rPr>
          <w:rFonts w:ascii="Times New Roman" w:hAnsi="Times New Roman" w:cs="Times New Roman"/>
        </w:rPr>
        <w:t>.</w:t>
      </w:r>
      <w:r w:rsidR="00FA6FCE" w:rsidRPr="009143C5">
        <w:rPr>
          <w:rFonts w:ascii="Times New Roman" w:hAnsi="Times New Roman" w:cs="Times New Roman"/>
        </w:rPr>
        <w:t xml:space="preserve">) A pension payable to a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of an Australian mariner by reason of his being a child of the mariner ceases to be payable when the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ceases to be such a child.</w:t>
      </w:r>
      <w:r>
        <w:rPr>
          <w:rFonts w:ascii="Times New Roman" w:hAnsi="Times New Roman" w:cs="Times New Roman"/>
        </w:rPr>
        <w:t>”</w:t>
      </w:r>
      <w:r w:rsidR="00FA6FCE" w:rsidRPr="009143C5">
        <w:rPr>
          <w:rFonts w:ascii="Times New Roman" w:hAnsi="Times New Roman" w:cs="Times New Roman"/>
        </w:rPr>
        <w:t>; and</w:t>
      </w:r>
    </w:p>
    <w:p w:rsidR="00FA6FCE" w:rsidRPr="009143C5" w:rsidRDefault="00FA6FCE" w:rsidP="00E929A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 xml:space="preserve">by omitting from sub-section (2.) the words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the last preceding sub-section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 xml:space="preserve"> and inserting in their stead the words </w:t>
      </w:r>
      <w:r w:rsidR="003E06F0">
        <w:rPr>
          <w:rFonts w:ascii="Times New Roman" w:hAnsi="Times New Roman" w:cs="Times New Roman"/>
        </w:rPr>
        <w:t>“</w:t>
      </w:r>
      <w:r w:rsidRPr="009143C5">
        <w:rPr>
          <w:rFonts w:ascii="Times New Roman" w:hAnsi="Times New Roman" w:cs="Times New Roman"/>
        </w:rPr>
        <w:t>either of the last two preceding sub-sections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>.</w:t>
      </w:r>
    </w:p>
    <w:p w:rsidR="00FA6FCE" w:rsidRPr="009143C5" w:rsidRDefault="00063E9F" w:rsidP="00DB73B4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b/>
        </w:rPr>
        <w:t>7.</w:t>
      </w:r>
      <w:r w:rsidR="00E929AD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>After section 54 of the Principal Act the following section is inserted:—</w:t>
      </w:r>
    </w:p>
    <w:p w:rsidR="00FA6FCE" w:rsidRPr="00DB73B4" w:rsidRDefault="00063E9F" w:rsidP="00DB73B4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B73B4">
        <w:rPr>
          <w:rFonts w:ascii="Times New Roman" w:hAnsi="Times New Roman" w:cs="Times New Roman"/>
          <w:b/>
          <w:sz w:val="20"/>
        </w:rPr>
        <w:t>Change of status of child to be notified.</w:t>
      </w:r>
    </w:p>
    <w:p w:rsidR="00FA6FCE" w:rsidRPr="009143C5" w:rsidRDefault="003E06F0" w:rsidP="008E153E">
      <w:pPr>
        <w:tabs>
          <w:tab w:val="left" w:pos="162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6FCE" w:rsidRPr="009143C5">
        <w:rPr>
          <w:rFonts w:ascii="Times New Roman" w:hAnsi="Times New Roman" w:cs="Times New Roman"/>
        </w:rPr>
        <w:t>54</w:t>
      </w:r>
      <w:r w:rsidR="00063E9F" w:rsidRPr="00DB73B4">
        <w:rPr>
          <w:rFonts w:ascii="Times New Roman" w:hAnsi="Times New Roman" w:cs="Times New Roman"/>
          <w:smallCaps/>
        </w:rPr>
        <w:t>a</w:t>
      </w:r>
      <w:r w:rsidR="00FA6FCE" w:rsidRPr="00DB73B4">
        <w:rPr>
          <w:rFonts w:ascii="Times New Roman" w:hAnsi="Times New Roman" w:cs="Times New Roman"/>
        </w:rPr>
        <w:t>.</w:t>
      </w:r>
      <w:r w:rsidR="00FA6FCE" w:rsidRPr="009143C5">
        <w:rPr>
          <w:rFonts w:ascii="Times New Roman" w:hAnsi="Times New Roman" w:cs="Times New Roman"/>
        </w:rPr>
        <w:t>—(1.)</w:t>
      </w:r>
      <w:r w:rsidR="008E153E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 xml:space="preserve">This section applies to a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of an Australian manner who—</w:t>
      </w:r>
    </w:p>
    <w:p w:rsidR="00FA6FCE" w:rsidRPr="009143C5" w:rsidRDefault="00FA6FCE" w:rsidP="00C564E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is a child of the mariner;</w:t>
      </w:r>
    </w:p>
    <w:p w:rsidR="00FA6FCE" w:rsidRPr="009143C5" w:rsidRDefault="00FA6FCE" w:rsidP="00C564E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has attained the age of sixteen years; and</w:t>
      </w:r>
    </w:p>
    <w:p w:rsidR="00FA6FCE" w:rsidRPr="009143C5" w:rsidRDefault="00FA6FCE" w:rsidP="00C564E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c</w:t>
      </w:r>
      <w:r w:rsidRPr="009143C5">
        <w:rPr>
          <w:rFonts w:ascii="Times New Roman" w:hAnsi="Times New Roman" w:cs="Times New Roman"/>
        </w:rPr>
        <w:t>) is in receipt of a pension.</w:t>
      </w:r>
    </w:p>
    <w:p w:rsidR="00FA6FCE" w:rsidRPr="009143C5" w:rsidRDefault="003E06F0" w:rsidP="0084160C">
      <w:pPr>
        <w:tabs>
          <w:tab w:val="left" w:pos="990"/>
        </w:tabs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FA6FCE" w:rsidRPr="009143C5">
        <w:rPr>
          <w:rFonts w:ascii="Times New Roman" w:hAnsi="Times New Roman" w:cs="Times New Roman"/>
        </w:rPr>
        <w:t>(2.)</w:t>
      </w:r>
      <w:r w:rsidR="0084160C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 xml:space="preserve">Where a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to whom this section applies—</w:t>
      </w:r>
    </w:p>
    <w:p w:rsidR="00FA6FCE" w:rsidRPr="009143C5" w:rsidRDefault="00FA6FCE" w:rsidP="00C564E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a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>ceases to receive full-time education at a school, college or university;</w:t>
      </w:r>
    </w:p>
    <w:p w:rsidR="00FA6FCE" w:rsidRPr="009143C5" w:rsidRDefault="00FA6FCE" w:rsidP="00C564E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b</w:t>
      </w:r>
      <w:r w:rsidRPr="009143C5">
        <w:rPr>
          <w:rFonts w:ascii="Times New Roman" w:hAnsi="Times New Roman" w:cs="Times New Roman"/>
        </w:rPr>
        <w:t>)</w:t>
      </w:r>
      <w:r w:rsidR="00063E9F" w:rsidRPr="009143C5">
        <w:rPr>
          <w:rFonts w:ascii="Times New Roman" w:hAnsi="Times New Roman" w:cs="Times New Roman"/>
          <w:i/>
        </w:rPr>
        <w:t xml:space="preserve"> </w:t>
      </w:r>
      <w:r w:rsidRPr="009143C5">
        <w:rPr>
          <w:rFonts w:ascii="Times New Roman" w:hAnsi="Times New Roman" w:cs="Times New Roman"/>
        </w:rPr>
        <w:t xml:space="preserve">commences to receive an invalid pension under Part III. of the </w:t>
      </w:r>
      <w:r w:rsidR="00063E9F" w:rsidRPr="009143C5">
        <w:rPr>
          <w:rFonts w:ascii="Times New Roman" w:hAnsi="Times New Roman" w:cs="Times New Roman"/>
          <w:i/>
        </w:rPr>
        <w:t xml:space="preserve">Social Services Act </w:t>
      </w:r>
      <w:r w:rsidRPr="009143C5">
        <w:rPr>
          <w:rFonts w:ascii="Times New Roman" w:hAnsi="Times New Roman" w:cs="Times New Roman"/>
        </w:rPr>
        <w:t>1947</w:t>
      </w:r>
      <w:r w:rsidR="009030E8">
        <w:rPr>
          <w:rFonts w:ascii="Times New Roman" w:hAnsi="Times New Roman" w:cs="Times New Roman"/>
        </w:rPr>
        <w:t>–</w:t>
      </w:r>
      <w:r w:rsidRPr="009143C5">
        <w:rPr>
          <w:rFonts w:ascii="Times New Roman" w:hAnsi="Times New Roman" w:cs="Times New Roman"/>
        </w:rPr>
        <w:t>1972; or</w:t>
      </w:r>
    </w:p>
    <w:p w:rsidR="00FA6FCE" w:rsidRPr="009143C5" w:rsidRDefault="00FA6FCE" w:rsidP="00C564ED">
      <w:pPr>
        <w:spacing w:after="60" w:line="240" w:lineRule="auto"/>
        <w:ind w:left="1008" w:hanging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(</w:t>
      </w:r>
      <w:r w:rsidR="00063E9F" w:rsidRPr="009143C5">
        <w:rPr>
          <w:rFonts w:ascii="Times New Roman" w:hAnsi="Times New Roman" w:cs="Times New Roman"/>
          <w:i/>
        </w:rPr>
        <w:t>c</w:t>
      </w:r>
      <w:r w:rsidRPr="009143C5">
        <w:rPr>
          <w:rFonts w:ascii="Times New Roman" w:hAnsi="Times New Roman" w:cs="Times New Roman"/>
        </w:rPr>
        <w:t>) commences to receive a maintenance or living allowance or a salary payable by the Commonwealth under any scheme for assistance by the Commonwealth in the education or training of children, or to receive that allowance or salary at a higher rate than before,</w:t>
      </w:r>
    </w:p>
    <w:p w:rsidR="00FA6FCE" w:rsidRPr="009143C5" w:rsidRDefault="00FA6FCE" w:rsidP="009030E8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 xml:space="preserve">the person who has the custody, care and control of that </w:t>
      </w:r>
      <w:proofErr w:type="spellStart"/>
      <w:r w:rsidRPr="009143C5">
        <w:rPr>
          <w:rFonts w:ascii="Times New Roman" w:hAnsi="Times New Roman" w:cs="Times New Roman"/>
        </w:rPr>
        <w:t>dependant</w:t>
      </w:r>
      <w:proofErr w:type="spellEnd"/>
      <w:r w:rsidRPr="009143C5">
        <w:rPr>
          <w:rFonts w:ascii="Times New Roman" w:hAnsi="Times New Roman" w:cs="Times New Roman"/>
        </w:rPr>
        <w:t xml:space="preserve"> shall, within fourteen days after that </w:t>
      </w:r>
      <w:proofErr w:type="spellStart"/>
      <w:r w:rsidRPr="009143C5">
        <w:rPr>
          <w:rFonts w:ascii="Times New Roman" w:hAnsi="Times New Roman" w:cs="Times New Roman"/>
        </w:rPr>
        <w:t>dependant</w:t>
      </w:r>
      <w:proofErr w:type="spellEnd"/>
      <w:r w:rsidRPr="009143C5">
        <w:rPr>
          <w:rFonts w:ascii="Times New Roman" w:hAnsi="Times New Roman" w:cs="Times New Roman"/>
        </w:rPr>
        <w:t xml:space="preserve"> so ceases or so commences, notify the Commission accordingly.</w:t>
      </w:r>
    </w:p>
    <w:p w:rsidR="00FA6FCE" w:rsidRPr="009143C5" w:rsidRDefault="003E06F0" w:rsidP="00E739BA">
      <w:pPr>
        <w:keepNext/>
        <w:tabs>
          <w:tab w:val="left" w:pos="990"/>
        </w:tabs>
        <w:spacing w:after="60" w:line="240" w:lineRule="auto"/>
        <w:ind w:firstLine="431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lastRenderedPageBreak/>
        <w:t>“</w:t>
      </w:r>
      <w:r w:rsidR="00FA6FCE" w:rsidRPr="009143C5">
        <w:rPr>
          <w:rFonts w:ascii="Times New Roman" w:hAnsi="Times New Roman" w:cs="Times New Roman"/>
        </w:rPr>
        <w:t>(3.)</w:t>
      </w:r>
      <w:r w:rsidR="0084160C">
        <w:rPr>
          <w:rFonts w:ascii="Times New Roman" w:hAnsi="Times New Roman" w:cs="Times New Roman"/>
        </w:rPr>
        <w:tab/>
      </w:r>
      <w:r w:rsidR="00FA6FCE" w:rsidRPr="009143C5">
        <w:rPr>
          <w:rFonts w:ascii="Times New Roman" w:hAnsi="Times New Roman" w:cs="Times New Roman"/>
        </w:rPr>
        <w:t xml:space="preserve">Where a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to whom this section applies ceases to be in the custody, care and control of a person, that person shall, within fourteen days after that </w:t>
      </w:r>
      <w:proofErr w:type="spellStart"/>
      <w:r w:rsidR="00FA6FCE" w:rsidRPr="009143C5">
        <w:rPr>
          <w:rFonts w:ascii="Times New Roman" w:hAnsi="Times New Roman" w:cs="Times New Roman"/>
        </w:rPr>
        <w:t>dependant</w:t>
      </w:r>
      <w:proofErr w:type="spellEnd"/>
      <w:r w:rsidR="00FA6FCE" w:rsidRPr="009143C5">
        <w:rPr>
          <w:rFonts w:ascii="Times New Roman" w:hAnsi="Times New Roman" w:cs="Times New Roman"/>
        </w:rPr>
        <w:t xml:space="preserve"> so ceases, notify the Commission accordingly.</w:t>
      </w:r>
    </w:p>
    <w:bookmarkEnd w:id="0"/>
    <w:p w:rsidR="00FA6FCE" w:rsidRPr="009143C5" w:rsidRDefault="00FA6FCE" w:rsidP="00C564ED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</w:rPr>
        <w:t>Penalty: Forty dollars.</w:t>
      </w:r>
      <w:r w:rsidR="003E06F0">
        <w:rPr>
          <w:rFonts w:ascii="Times New Roman" w:hAnsi="Times New Roman" w:cs="Times New Roman"/>
        </w:rPr>
        <w:t>”</w:t>
      </w:r>
      <w:r w:rsidRPr="009143C5">
        <w:rPr>
          <w:rFonts w:ascii="Times New Roman" w:hAnsi="Times New Roman" w:cs="Times New Roman"/>
        </w:rPr>
        <w:t>.</w:t>
      </w:r>
    </w:p>
    <w:p w:rsidR="00FA6FCE" w:rsidRPr="00DA0C4F" w:rsidRDefault="00063E9F" w:rsidP="00DA0C4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A0C4F">
        <w:rPr>
          <w:rFonts w:ascii="Times New Roman" w:hAnsi="Times New Roman" w:cs="Times New Roman"/>
          <w:b/>
          <w:sz w:val="20"/>
        </w:rPr>
        <w:t>The Schedules.</w:t>
      </w:r>
    </w:p>
    <w:p w:rsidR="00FA6FCE" w:rsidRPr="009143C5" w:rsidRDefault="00063E9F" w:rsidP="008E153E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b/>
        </w:rPr>
        <w:t>8.</w:t>
      </w:r>
      <w:r w:rsidR="0084160C">
        <w:rPr>
          <w:rFonts w:ascii="Times New Roman" w:hAnsi="Times New Roman" w:cs="Times New Roman"/>
          <w:b/>
        </w:rPr>
        <w:tab/>
      </w:r>
      <w:r w:rsidR="00FA6FCE" w:rsidRPr="009143C5">
        <w:rPr>
          <w:rFonts w:ascii="Times New Roman" w:hAnsi="Times New Roman" w:cs="Times New Roman"/>
        </w:rPr>
        <w:t>The First Schedule and the Second Schedule to the Principal Act are repealed and the following Schedules inserted in their stead:—</w:t>
      </w:r>
    </w:p>
    <w:p w:rsidR="00FA6FCE" w:rsidRPr="00DA0C4F" w:rsidRDefault="00063E9F" w:rsidP="00DA0C4F">
      <w:pPr>
        <w:tabs>
          <w:tab w:val="left" w:pos="7920"/>
        </w:tabs>
        <w:spacing w:before="120" w:after="0" w:line="240" w:lineRule="auto"/>
        <w:ind w:firstLine="3686"/>
        <w:jc w:val="both"/>
        <w:rPr>
          <w:rFonts w:ascii="Times New Roman" w:hAnsi="Times New Roman" w:cs="Times New Roman"/>
          <w:smallCaps/>
        </w:rPr>
      </w:pPr>
      <w:r w:rsidRPr="00DA0C4F">
        <w:rPr>
          <w:rFonts w:ascii="Times New Roman" w:hAnsi="Times New Roman" w:cs="Times New Roman"/>
          <w:smallCaps/>
          <w:sz w:val="24"/>
        </w:rPr>
        <w:t>FIRST SCHEDULE</w:t>
      </w:r>
      <w:r w:rsidR="00D65031">
        <w:rPr>
          <w:rFonts w:ascii="Times New Roman" w:hAnsi="Times New Roman" w:cs="Times New Roman"/>
        </w:rPr>
        <w:tab/>
      </w:r>
      <w:r w:rsidR="00FA6FCE" w:rsidRPr="00DA0C4F">
        <w:rPr>
          <w:rFonts w:ascii="Times New Roman" w:hAnsi="Times New Roman" w:cs="Times New Roman"/>
        </w:rPr>
        <w:t xml:space="preserve">Section </w:t>
      </w:r>
      <w:r w:rsidRPr="00DA0C4F">
        <w:rPr>
          <w:rFonts w:ascii="Times New Roman" w:hAnsi="Times New Roman" w:cs="Times New Roman"/>
          <w:smallCaps/>
        </w:rPr>
        <w:t>18.</w:t>
      </w:r>
    </w:p>
    <w:p w:rsidR="00D65031" w:rsidRPr="00D65031" w:rsidRDefault="00D65031" w:rsidP="00D65031">
      <w:pPr>
        <w:pBdr>
          <w:bottom w:val="single" w:sz="4" w:space="1" w:color="auto"/>
        </w:pBdr>
        <w:tabs>
          <w:tab w:val="left" w:pos="8100"/>
        </w:tabs>
        <w:spacing w:after="0" w:line="240" w:lineRule="auto"/>
        <w:ind w:left="4032" w:right="4032"/>
        <w:jc w:val="both"/>
        <w:rPr>
          <w:rFonts w:ascii="Times New Roman" w:hAnsi="Times New Roman" w:cs="Times New Roman"/>
          <w:sz w:val="20"/>
        </w:rPr>
      </w:pPr>
    </w:p>
    <w:p w:rsidR="00FA6FCE" w:rsidRPr="009143C5" w:rsidRDefault="00063E9F" w:rsidP="001A6293">
      <w:pPr>
        <w:spacing w:before="120" w:after="60" w:line="240" w:lineRule="auto"/>
        <w:jc w:val="center"/>
        <w:rPr>
          <w:rFonts w:ascii="Times New Roman" w:hAnsi="Times New Roman" w:cs="Times New Roman"/>
        </w:rPr>
      </w:pPr>
      <w:r w:rsidRPr="009143C5">
        <w:rPr>
          <w:rFonts w:ascii="Times New Roman" w:hAnsi="Times New Roman" w:cs="Times New Roman"/>
          <w:smallCaps/>
        </w:rPr>
        <w:t>General Pension Rates</w:t>
      </w:r>
      <w:r w:rsidR="00645B1A">
        <w:rPr>
          <w:rFonts w:ascii="Times New Roman" w:hAnsi="Times New Roman" w:cs="Times New Roman"/>
          <w:smallCaps/>
        </w:rPr>
        <w:t>—</w:t>
      </w:r>
      <w:r w:rsidRPr="009143C5">
        <w:rPr>
          <w:rFonts w:ascii="Times New Roman" w:hAnsi="Times New Roman" w:cs="Times New Roman"/>
          <w:smallCaps/>
        </w:rPr>
        <w:t>Death or Total Incapacity.</w:t>
      </w:r>
    </w:p>
    <w:tbl>
      <w:tblPr>
        <w:tblW w:w="5077" w:type="pct"/>
        <w:tblInd w:w="-1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334"/>
        <w:gridCol w:w="345"/>
        <w:gridCol w:w="279"/>
        <w:gridCol w:w="1833"/>
        <w:gridCol w:w="274"/>
        <w:gridCol w:w="365"/>
        <w:gridCol w:w="365"/>
        <w:gridCol w:w="1386"/>
        <w:gridCol w:w="1508"/>
        <w:gridCol w:w="1484"/>
      </w:tblGrid>
      <w:tr w:rsidR="00FA6FCE" w:rsidRPr="009143C5" w:rsidTr="00DA0C4F">
        <w:trPr>
          <w:trHeight w:val="20"/>
        </w:trPr>
        <w:tc>
          <w:tcPr>
            <w:tcW w:w="2633" w:type="pct"/>
            <w:gridSpan w:val="8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Column 1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Column 2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Column 3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Column 4</w:t>
            </w:r>
          </w:p>
        </w:tc>
      </w:tr>
      <w:tr w:rsidR="00FA6FCE" w:rsidRPr="009143C5" w:rsidTr="00DA0C4F">
        <w:trPr>
          <w:trHeight w:val="20"/>
        </w:trPr>
        <w:tc>
          <w:tcPr>
            <w:tcW w:w="2633" w:type="pct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DA0C4F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 xml:space="preserve">Rate of pay per day of the Australian mariner in the currency provided for by the </w:t>
            </w:r>
            <w:r w:rsidR="00063E9F" w:rsidRPr="009143C5">
              <w:rPr>
                <w:rFonts w:ascii="Times New Roman" w:hAnsi="Times New Roman" w:cs="Times New Roman"/>
                <w:i/>
              </w:rPr>
              <w:t xml:space="preserve">coinage Act </w:t>
            </w:r>
            <w:r w:rsidRPr="009143C5">
              <w:rPr>
                <w:rFonts w:ascii="Times New Roman" w:hAnsi="Times New Roman" w:cs="Times New Roman"/>
              </w:rPr>
              <w:t>1909 or that Act as amended</w:t>
            </w:r>
          </w:p>
        </w:tc>
        <w:tc>
          <w:tcPr>
            <w:tcW w:w="74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DA0C4F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Rate of pension payable per fortnight to widow on death of Australian mariner</w:t>
            </w:r>
          </w:p>
        </w:tc>
        <w:tc>
          <w:tcPr>
            <w:tcW w:w="8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DA0C4F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 xml:space="preserve">Aggregate of rates of pensions payable per fortnight to </w:t>
            </w:r>
            <w:proofErr w:type="spellStart"/>
            <w:r w:rsidRPr="009143C5">
              <w:rPr>
                <w:rFonts w:ascii="Times New Roman" w:hAnsi="Times New Roman" w:cs="Times New Roman"/>
              </w:rPr>
              <w:t>dependants</w:t>
            </w:r>
            <w:proofErr w:type="spellEnd"/>
            <w:r w:rsidRPr="009143C5">
              <w:rPr>
                <w:rFonts w:ascii="Times New Roman" w:hAnsi="Times New Roman" w:cs="Times New Roman"/>
              </w:rPr>
              <w:t xml:space="preserve"> other than widow and children on death of Australian mariner</w:t>
            </w:r>
          </w:p>
        </w:tc>
        <w:tc>
          <w:tcPr>
            <w:tcW w:w="802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6FCE" w:rsidRPr="009143C5" w:rsidRDefault="00FA6FCE" w:rsidP="00DA0C4F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Rate of pension payable per fortnight to Australian mariner on total incapacity</w:t>
            </w:r>
          </w:p>
        </w:tc>
      </w:tr>
      <w:tr w:rsidR="00645B1A" w:rsidRPr="009143C5" w:rsidTr="00DA0C4F">
        <w:trPr>
          <w:trHeight w:val="20"/>
        </w:trPr>
        <w:tc>
          <w:tcPr>
            <w:tcW w:w="582" w:type="pct"/>
            <w:tcBorders>
              <w:top w:val="single" w:sz="6" w:space="0" w:color="auto"/>
            </w:tcBorders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  <w:tcBorders>
              <w:top w:val="single" w:sz="6" w:space="0" w:color="auto"/>
            </w:tcBorders>
          </w:tcPr>
          <w:p w:rsidR="00FA6FCE" w:rsidRPr="009143C5" w:rsidRDefault="00063E9F" w:rsidP="00DA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  <w:i/>
              </w:rPr>
              <w:t>£</w:t>
            </w:r>
          </w:p>
        </w:tc>
        <w:tc>
          <w:tcPr>
            <w:tcW w:w="187" w:type="pct"/>
            <w:tcBorders>
              <w:top w:val="single" w:sz="6" w:space="0" w:color="auto"/>
            </w:tcBorders>
          </w:tcPr>
          <w:p w:rsidR="00FA6FCE" w:rsidRPr="009143C5" w:rsidRDefault="00063E9F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  <w:i/>
              </w:rPr>
              <w:t>s.</w:t>
            </w:r>
          </w:p>
        </w:tc>
        <w:tc>
          <w:tcPr>
            <w:tcW w:w="151" w:type="pct"/>
            <w:tcBorders>
              <w:top w:val="single" w:sz="6" w:space="0" w:color="auto"/>
            </w:tcBorders>
          </w:tcPr>
          <w:p w:rsidR="00FA6FCE" w:rsidRPr="009143C5" w:rsidRDefault="00063E9F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991" w:type="pct"/>
            <w:tcBorders>
              <w:top w:val="single" w:sz="6" w:space="0" w:color="auto"/>
            </w:tcBorders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" w:type="pct"/>
            <w:tcBorders>
              <w:top w:val="single" w:sz="6" w:space="0" w:color="auto"/>
            </w:tcBorders>
          </w:tcPr>
          <w:p w:rsidR="00FA6FCE" w:rsidRPr="009143C5" w:rsidRDefault="00063E9F" w:rsidP="00DA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  <w:i/>
              </w:rPr>
              <w:t>£</w:t>
            </w:r>
          </w:p>
        </w:tc>
        <w:tc>
          <w:tcPr>
            <w:tcW w:w="197" w:type="pct"/>
            <w:tcBorders>
              <w:top w:val="single" w:sz="6" w:space="0" w:color="auto"/>
            </w:tcBorders>
          </w:tcPr>
          <w:p w:rsidR="00FA6FCE" w:rsidRPr="009143C5" w:rsidRDefault="00063E9F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  <w:i/>
              </w:rPr>
              <w:t>s.</w:t>
            </w:r>
          </w:p>
        </w:tc>
        <w:tc>
          <w:tcPr>
            <w:tcW w:w="197" w:type="pct"/>
            <w:tcBorders>
              <w:top w:val="single" w:sz="6" w:space="0" w:color="auto"/>
              <w:right w:val="single" w:sz="6" w:space="0" w:color="auto"/>
            </w:tcBorders>
          </w:tcPr>
          <w:p w:rsidR="00FA6FCE" w:rsidRPr="009143C5" w:rsidRDefault="00063E9F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  <w:i/>
              </w:rPr>
              <w:t>d.</w:t>
            </w:r>
          </w:p>
        </w:tc>
        <w:tc>
          <w:tcPr>
            <w:tcW w:w="7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$</w:t>
            </w:r>
          </w:p>
        </w:tc>
      </w:tr>
      <w:tr w:rsidR="00645B1A" w:rsidRPr="009143C5" w:rsidTr="00DA0C4F">
        <w:trPr>
          <w:trHeight w:val="20"/>
        </w:trPr>
        <w:tc>
          <w:tcPr>
            <w:tcW w:w="582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</w:tcPr>
          <w:p w:rsidR="00FA6FCE" w:rsidRPr="009143C5" w:rsidRDefault="00FA6FCE" w:rsidP="00DA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Not exceeding</w:t>
            </w:r>
          </w:p>
        </w:tc>
        <w:tc>
          <w:tcPr>
            <w:tcW w:w="148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right w:val="single" w:sz="6" w:space="0" w:color="auto"/>
            </w:tcBorders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81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2" w:type="pct"/>
            <w:tcBorders>
              <w:lef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28.00</w:t>
            </w:r>
          </w:p>
        </w:tc>
      </w:tr>
      <w:tr w:rsidR="00645B1A" w:rsidRPr="009143C5" w:rsidTr="00DA0C4F">
        <w:trPr>
          <w:trHeight w:val="20"/>
        </w:trPr>
        <w:tc>
          <w:tcPr>
            <w:tcW w:w="582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Exceeding</w:t>
            </w:r>
          </w:p>
        </w:tc>
        <w:tc>
          <w:tcPr>
            <w:tcW w:w="18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pct"/>
          </w:tcPr>
          <w:p w:rsidR="00FA6FCE" w:rsidRPr="009143C5" w:rsidRDefault="00FA6FCE" w:rsidP="00DA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but not exceeding</w:t>
            </w:r>
          </w:p>
        </w:tc>
        <w:tc>
          <w:tcPr>
            <w:tcW w:w="148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7" w:type="pct"/>
            <w:tcBorders>
              <w:right w:val="single" w:sz="6" w:space="0" w:color="auto"/>
            </w:tcBorders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81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02" w:type="pct"/>
            <w:tcBorders>
              <w:lef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28.00</w:t>
            </w:r>
          </w:p>
        </w:tc>
      </w:tr>
      <w:tr w:rsidR="00645B1A" w:rsidRPr="009143C5" w:rsidTr="00DA0C4F">
        <w:trPr>
          <w:trHeight w:val="20"/>
        </w:trPr>
        <w:tc>
          <w:tcPr>
            <w:tcW w:w="582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Exceeding</w:t>
            </w:r>
          </w:p>
        </w:tc>
        <w:tc>
          <w:tcPr>
            <w:tcW w:w="18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pct"/>
          </w:tcPr>
          <w:p w:rsidR="00FA6FCE" w:rsidRPr="009143C5" w:rsidRDefault="00FA6FCE" w:rsidP="00DA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but not exceeding</w:t>
            </w:r>
          </w:p>
        </w:tc>
        <w:tc>
          <w:tcPr>
            <w:tcW w:w="148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7" w:type="pct"/>
            <w:tcBorders>
              <w:right w:val="single" w:sz="6" w:space="0" w:color="auto"/>
            </w:tcBorders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81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14.90</w:t>
            </w:r>
          </w:p>
        </w:tc>
        <w:tc>
          <w:tcPr>
            <w:tcW w:w="802" w:type="pct"/>
            <w:tcBorders>
              <w:lef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28.00</w:t>
            </w:r>
          </w:p>
        </w:tc>
      </w:tr>
      <w:tr w:rsidR="00645B1A" w:rsidRPr="009143C5" w:rsidTr="00DA0C4F">
        <w:trPr>
          <w:trHeight w:val="20"/>
        </w:trPr>
        <w:tc>
          <w:tcPr>
            <w:tcW w:w="582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Exceeding</w:t>
            </w:r>
          </w:p>
        </w:tc>
        <w:tc>
          <w:tcPr>
            <w:tcW w:w="18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pct"/>
          </w:tcPr>
          <w:p w:rsidR="00FA6FCE" w:rsidRPr="009143C5" w:rsidRDefault="00FA6FCE" w:rsidP="00DA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but not exceeding</w:t>
            </w:r>
          </w:p>
        </w:tc>
        <w:tc>
          <w:tcPr>
            <w:tcW w:w="148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  <w:tcBorders>
              <w:right w:val="single" w:sz="6" w:space="0" w:color="auto"/>
            </w:tcBorders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81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02" w:type="pct"/>
            <w:tcBorders>
              <w:lef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28.00</w:t>
            </w:r>
          </w:p>
        </w:tc>
      </w:tr>
      <w:tr w:rsidR="00645B1A" w:rsidRPr="009143C5" w:rsidTr="00DA0C4F">
        <w:trPr>
          <w:trHeight w:val="20"/>
        </w:trPr>
        <w:tc>
          <w:tcPr>
            <w:tcW w:w="582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Exceeding</w:t>
            </w:r>
          </w:p>
        </w:tc>
        <w:tc>
          <w:tcPr>
            <w:tcW w:w="18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pct"/>
          </w:tcPr>
          <w:p w:rsidR="00FA6FCE" w:rsidRPr="009143C5" w:rsidRDefault="00FA6FCE" w:rsidP="00DA0C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but not exceeding</w:t>
            </w:r>
          </w:p>
        </w:tc>
        <w:tc>
          <w:tcPr>
            <w:tcW w:w="148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" w:type="pct"/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" w:type="pct"/>
            <w:tcBorders>
              <w:right w:val="single" w:sz="6" w:space="0" w:color="auto"/>
            </w:tcBorders>
          </w:tcPr>
          <w:p w:rsidR="00FA6FCE" w:rsidRPr="009143C5" w:rsidRDefault="00FA6FCE" w:rsidP="009143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9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40.00</w:t>
            </w:r>
          </w:p>
        </w:tc>
        <w:tc>
          <w:tcPr>
            <w:tcW w:w="815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802" w:type="pct"/>
            <w:tcBorders>
              <w:left w:val="single" w:sz="6" w:space="0" w:color="auto"/>
            </w:tcBorders>
            <w:vAlign w:val="center"/>
          </w:tcPr>
          <w:p w:rsidR="00FA6FCE" w:rsidRPr="009143C5" w:rsidRDefault="00FA6FCE" w:rsidP="00645B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28.00</w:t>
            </w:r>
          </w:p>
        </w:tc>
      </w:tr>
      <w:tr w:rsidR="00DA0C4F" w:rsidRPr="009143C5" w:rsidTr="00DA0C4F">
        <w:trPr>
          <w:trHeight w:val="20"/>
        </w:trPr>
        <w:tc>
          <w:tcPr>
            <w:tcW w:w="582" w:type="pct"/>
            <w:tcBorders>
              <w:bottom w:val="single" w:sz="2" w:space="0" w:color="auto"/>
            </w:tcBorders>
          </w:tcPr>
          <w:p w:rsidR="00DA0C4F" w:rsidRPr="009143C5" w:rsidRDefault="00DA0C4F" w:rsidP="00DA0C4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Exceeding</w:t>
            </w:r>
          </w:p>
        </w:tc>
        <w:tc>
          <w:tcPr>
            <w:tcW w:w="181" w:type="pct"/>
            <w:tcBorders>
              <w:bottom w:val="single" w:sz="2" w:space="0" w:color="auto"/>
            </w:tcBorders>
          </w:tcPr>
          <w:p w:rsidR="00DA0C4F" w:rsidRPr="009143C5" w:rsidRDefault="00DA0C4F" w:rsidP="00DA0C4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" w:type="pct"/>
            <w:tcBorders>
              <w:bottom w:val="single" w:sz="2" w:space="0" w:color="auto"/>
            </w:tcBorders>
          </w:tcPr>
          <w:p w:rsidR="00DA0C4F" w:rsidRPr="009143C5" w:rsidRDefault="00DA0C4F" w:rsidP="00DA0C4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" w:type="pct"/>
            <w:tcBorders>
              <w:bottom w:val="single" w:sz="2" w:space="0" w:color="auto"/>
            </w:tcBorders>
          </w:tcPr>
          <w:p w:rsidR="00DA0C4F" w:rsidRPr="009143C5" w:rsidRDefault="00DA0C4F" w:rsidP="00DA0C4F">
            <w:pPr>
              <w:tabs>
                <w:tab w:val="left" w:leader="dot" w:pos="1728"/>
                <w:tab w:val="left" w:leader="dot" w:pos="4320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3" w:type="pct"/>
            <w:gridSpan w:val="4"/>
            <w:tcBorders>
              <w:bottom w:val="single" w:sz="2" w:space="0" w:color="auto"/>
              <w:right w:val="single" w:sz="6" w:space="0" w:color="auto"/>
            </w:tcBorders>
          </w:tcPr>
          <w:p w:rsidR="00DA0C4F" w:rsidRPr="009143C5" w:rsidRDefault="00DA0C4F" w:rsidP="00DA0C4F">
            <w:pPr>
              <w:tabs>
                <w:tab w:val="left" w:leader="dot" w:pos="2753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49" w:type="pct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0C4F" w:rsidRPr="009143C5" w:rsidRDefault="00DA0C4F" w:rsidP="00DA0C4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40.10</w:t>
            </w:r>
          </w:p>
        </w:tc>
        <w:tc>
          <w:tcPr>
            <w:tcW w:w="815" w:type="pct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A0C4F" w:rsidRPr="009143C5" w:rsidRDefault="00DA0C4F" w:rsidP="00DA0C4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17.60</w:t>
            </w:r>
          </w:p>
        </w:tc>
        <w:tc>
          <w:tcPr>
            <w:tcW w:w="802" w:type="pct"/>
            <w:tcBorders>
              <w:left w:val="single" w:sz="6" w:space="0" w:color="auto"/>
              <w:bottom w:val="single" w:sz="2" w:space="0" w:color="auto"/>
            </w:tcBorders>
            <w:vAlign w:val="center"/>
          </w:tcPr>
          <w:p w:rsidR="00DA0C4F" w:rsidRPr="009143C5" w:rsidRDefault="00DA0C4F" w:rsidP="00DA0C4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28.00</w:t>
            </w:r>
          </w:p>
        </w:tc>
      </w:tr>
    </w:tbl>
    <w:p w:rsidR="00FA6FCE" w:rsidRPr="00063E9F" w:rsidRDefault="00063E9F" w:rsidP="00063E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3E9F">
        <w:rPr>
          <w:rFonts w:ascii="Times New Roman" w:hAnsi="Times New Roman" w:cs="Times New Roman"/>
        </w:rPr>
        <w:br w:type="page"/>
      </w:r>
    </w:p>
    <w:p w:rsidR="00FA6FCE" w:rsidRPr="00DA0C4F" w:rsidRDefault="00063E9F" w:rsidP="004E7ADB">
      <w:pPr>
        <w:tabs>
          <w:tab w:val="left" w:pos="7920"/>
        </w:tabs>
        <w:spacing w:after="0" w:line="240" w:lineRule="auto"/>
        <w:ind w:firstLine="3780"/>
        <w:jc w:val="center"/>
        <w:rPr>
          <w:rFonts w:ascii="Times New Roman" w:hAnsi="Times New Roman" w:cs="Times New Roman"/>
        </w:rPr>
      </w:pPr>
      <w:r w:rsidRPr="00063E9F">
        <w:rPr>
          <w:rFonts w:ascii="Times New Roman" w:hAnsi="Times New Roman" w:cs="Times New Roman"/>
          <w:smallCaps/>
        </w:rPr>
        <w:lastRenderedPageBreak/>
        <w:t>second schedule</w:t>
      </w:r>
      <w:r w:rsidR="00333696">
        <w:rPr>
          <w:rFonts w:ascii="Times New Roman" w:hAnsi="Times New Roman" w:cs="Times New Roman"/>
        </w:rPr>
        <w:tab/>
      </w:r>
      <w:r w:rsidR="00FA6FCE" w:rsidRPr="00DA0C4F">
        <w:rPr>
          <w:rFonts w:ascii="Times New Roman" w:hAnsi="Times New Roman" w:cs="Times New Roman"/>
        </w:rPr>
        <w:t>Section 21.</w:t>
      </w:r>
    </w:p>
    <w:p w:rsidR="00333696" w:rsidRPr="00A1506B" w:rsidRDefault="00333696" w:rsidP="00DA0C4F">
      <w:pPr>
        <w:pBdr>
          <w:bottom w:val="single" w:sz="4" w:space="1" w:color="auto"/>
        </w:pBdr>
        <w:tabs>
          <w:tab w:val="left" w:pos="7920"/>
        </w:tabs>
        <w:spacing w:before="120" w:after="0" w:line="240" w:lineRule="auto"/>
        <w:ind w:left="4032" w:right="4032"/>
        <w:jc w:val="center"/>
        <w:rPr>
          <w:rFonts w:ascii="Times New Roman" w:hAnsi="Times New Roman" w:cs="Times New Roman"/>
          <w:sz w:val="2"/>
        </w:rPr>
      </w:pPr>
    </w:p>
    <w:p w:rsidR="00FA6FCE" w:rsidRPr="00063E9F" w:rsidRDefault="00063E9F" w:rsidP="004E7ADB">
      <w:pPr>
        <w:spacing w:before="120" w:after="60" w:line="240" w:lineRule="auto"/>
        <w:ind w:firstLine="3330"/>
        <w:rPr>
          <w:rFonts w:ascii="Times New Roman" w:hAnsi="Times New Roman" w:cs="Times New Roman"/>
        </w:rPr>
      </w:pPr>
      <w:r w:rsidRPr="00063E9F">
        <w:rPr>
          <w:rFonts w:ascii="Times New Roman" w:hAnsi="Times New Roman" w:cs="Times New Roman"/>
          <w:smallCaps/>
        </w:rPr>
        <w:t>Allowance for Attendant.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6"/>
        <w:gridCol w:w="1523"/>
      </w:tblGrid>
      <w:tr w:rsidR="00FA6FCE" w:rsidRPr="00063E9F" w:rsidTr="00140A0B">
        <w:trPr>
          <w:trHeight w:val="20"/>
        </w:trPr>
        <w:tc>
          <w:tcPr>
            <w:tcW w:w="4164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A6FCE" w:rsidRPr="00063E9F" w:rsidRDefault="00FA6FCE" w:rsidP="00140A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Column 1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6FCE" w:rsidRPr="00063E9F" w:rsidRDefault="00FA6FCE" w:rsidP="00140A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Column 2</w:t>
            </w:r>
          </w:p>
        </w:tc>
      </w:tr>
      <w:tr w:rsidR="00FA6FCE" w:rsidRPr="00063E9F" w:rsidTr="00140A0B">
        <w:trPr>
          <w:trHeight w:val="20"/>
        </w:trPr>
        <w:tc>
          <w:tcPr>
            <w:tcW w:w="4164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A6FCE" w:rsidRPr="00063E9F" w:rsidRDefault="00FA6FCE" w:rsidP="00140A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Description of Disability</w:t>
            </w: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6FCE" w:rsidRPr="00063E9F" w:rsidRDefault="00FA6FCE" w:rsidP="00140A0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Allowance for attendant</w:t>
            </w:r>
          </w:p>
        </w:tc>
      </w:tr>
      <w:tr w:rsidR="00FA6FCE" w:rsidRPr="00063E9F" w:rsidTr="00140A0B">
        <w:trPr>
          <w:trHeight w:val="20"/>
        </w:trPr>
        <w:tc>
          <w:tcPr>
            <w:tcW w:w="4164" w:type="pct"/>
            <w:tcBorders>
              <w:top w:val="single" w:sz="6" w:space="0" w:color="auto"/>
              <w:right w:val="single" w:sz="6" w:space="0" w:color="auto"/>
            </w:tcBorders>
          </w:tcPr>
          <w:p w:rsidR="00FA6FCE" w:rsidRPr="00063E9F" w:rsidRDefault="00FA6FCE" w:rsidP="00140A0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A6FCE" w:rsidRPr="00063E9F" w:rsidRDefault="00140A0B" w:rsidP="00140A0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43C5">
              <w:rPr>
                <w:rFonts w:ascii="Times New Roman" w:hAnsi="Times New Roman" w:cs="Times New Roman"/>
              </w:rPr>
              <w:t>$</w:t>
            </w:r>
          </w:p>
        </w:tc>
      </w:tr>
      <w:tr w:rsidR="00FA6FCE" w:rsidRPr="00063E9F" w:rsidTr="0052246A">
        <w:trPr>
          <w:trHeight w:val="20"/>
        </w:trPr>
        <w:tc>
          <w:tcPr>
            <w:tcW w:w="4164" w:type="pct"/>
            <w:tcBorders>
              <w:right w:val="single" w:sz="6" w:space="0" w:color="auto"/>
            </w:tcBorders>
          </w:tcPr>
          <w:p w:rsidR="00FA6FCE" w:rsidRPr="00063E9F" w:rsidRDefault="00FA6FCE" w:rsidP="00140A0B">
            <w:pPr>
              <w:tabs>
                <w:tab w:val="left" w:leader="dot" w:pos="7344"/>
              </w:tabs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Blind or with eyesight so defective as to have no useful sight</w:t>
            </w:r>
            <w:r w:rsidR="00140A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36" w:type="pct"/>
            <w:tcBorders>
              <w:left w:val="single" w:sz="6" w:space="0" w:color="auto"/>
            </w:tcBorders>
            <w:vAlign w:val="bottom"/>
          </w:tcPr>
          <w:p w:rsidR="00FA6FCE" w:rsidRPr="00063E9F" w:rsidRDefault="00FA6FCE" w:rsidP="0052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21</w:t>
            </w:r>
          </w:p>
        </w:tc>
      </w:tr>
      <w:tr w:rsidR="00FA6FCE" w:rsidRPr="00063E9F" w:rsidTr="0052246A">
        <w:trPr>
          <w:trHeight w:val="20"/>
        </w:trPr>
        <w:tc>
          <w:tcPr>
            <w:tcW w:w="4164" w:type="pct"/>
            <w:tcBorders>
              <w:right w:val="single" w:sz="6" w:space="0" w:color="auto"/>
            </w:tcBorders>
          </w:tcPr>
          <w:p w:rsidR="00FA6FCE" w:rsidRPr="00063E9F" w:rsidRDefault="00FA6FCE" w:rsidP="00140A0B">
            <w:pPr>
              <w:tabs>
                <w:tab w:val="left" w:leader="dot" w:pos="7344"/>
              </w:tabs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 xml:space="preserve">An injury affecting the </w:t>
            </w:r>
            <w:proofErr w:type="spellStart"/>
            <w:r w:rsidRPr="00063E9F">
              <w:rPr>
                <w:rFonts w:ascii="Times New Roman" w:hAnsi="Times New Roman" w:cs="Times New Roman"/>
              </w:rPr>
              <w:t>cerebro</w:t>
            </w:r>
            <w:proofErr w:type="spellEnd"/>
            <w:r w:rsidRPr="00063E9F">
              <w:rPr>
                <w:rFonts w:ascii="Times New Roman" w:hAnsi="Times New Roman" w:cs="Times New Roman"/>
              </w:rPr>
              <w:t>-spinal system or causing incapacity similar in effect and severity</w:t>
            </w:r>
            <w:r w:rsidR="00140A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36" w:type="pct"/>
            <w:tcBorders>
              <w:left w:val="single" w:sz="6" w:space="0" w:color="auto"/>
            </w:tcBorders>
            <w:vAlign w:val="bottom"/>
          </w:tcPr>
          <w:p w:rsidR="00FA6FCE" w:rsidRPr="00063E9F" w:rsidRDefault="00FA6FCE" w:rsidP="005224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21</w:t>
            </w:r>
          </w:p>
        </w:tc>
      </w:tr>
      <w:tr w:rsidR="00FA6FCE" w:rsidRPr="00063E9F" w:rsidTr="00140A0B">
        <w:trPr>
          <w:trHeight w:val="20"/>
        </w:trPr>
        <w:tc>
          <w:tcPr>
            <w:tcW w:w="4164" w:type="pct"/>
            <w:tcBorders>
              <w:right w:val="single" w:sz="6" w:space="0" w:color="auto"/>
            </w:tcBorders>
          </w:tcPr>
          <w:p w:rsidR="00FA6FCE" w:rsidRPr="00063E9F" w:rsidRDefault="00FA6FCE" w:rsidP="00140A0B">
            <w:pPr>
              <w:tabs>
                <w:tab w:val="left" w:leader="dot" w:pos="7344"/>
              </w:tabs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Loss of two arms</w:t>
            </w:r>
            <w:r w:rsidR="00140A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36" w:type="pct"/>
            <w:tcBorders>
              <w:left w:val="single" w:sz="6" w:space="0" w:color="auto"/>
            </w:tcBorders>
            <w:vAlign w:val="center"/>
          </w:tcPr>
          <w:p w:rsidR="00FA6FCE" w:rsidRPr="00063E9F" w:rsidRDefault="00FA6FCE" w:rsidP="00140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35</w:t>
            </w:r>
          </w:p>
        </w:tc>
      </w:tr>
      <w:tr w:rsidR="00FA6FCE" w:rsidRPr="00063E9F" w:rsidTr="00140A0B">
        <w:trPr>
          <w:trHeight w:val="20"/>
        </w:trPr>
        <w:tc>
          <w:tcPr>
            <w:tcW w:w="4164" w:type="pct"/>
            <w:tcBorders>
              <w:right w:val="single" w:sz="6" w:space="0" w:color="auto"/>
            </w:tcBorders>
          </w:tcPr>
          <w:p w:rsidR="00FA6FCE" w:rsidRPr="00063E9F" w:rsidRDefault="00FA6FCE" w:rsidP="00140A0B">
            <w:pPr>
              <w:tabs>
                <w:tab w:val="left" w:leader="dot" w:pos="7344"/>
              </w:tabs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Loss of two legs and one arm</w:t>
            </w:r>
            <w:r w:rsidR="00140A0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36" w:type="pct"/>
            <w:tcBorders>
              <w:left w:val="single" w:sz="6" w:space="0" w:color="auto"/>
            </w:tcBorders>
            <w:vAlign w:val="center"/>
          </w:tcPr>
          <w:p w:rsidR="00FA6FCE" w:rsidRPr="00063E9F" w:rsidRDefault="00FA6FCE" w:rsidP="00140A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21</w:t>
            </w:r>
          </w:p>
        </w:tc>
      </w:tr>
      <w:tr w:rsidR="00FA6FCE" w:rsidRPr="00063E9F" w:rsidTr="00140A0B">
        <w:trPr>
          <w:trHeight w:val="20"/>
        </w:trPr>
        <w:tc>
          <w:tcPr>
            <w:tcW w:w="4164" w:type="pct"/>
            <w:tcBorders>
              <w:bottom w:val="single" w:sz="6" w:space="0" w:color="auto"/>
              <w:right w:val="single" w:sz="6" w:space="0" w:color="auto"/>
            </w:tcBorders>
          </w:tcPr>
          <w:p w:rsidR="00FA6FCE" w:rsidRPr="00063E9F" w:rsidRDefault="00FA6FCE" w:rsidP="00DA0C4F">
            <w:pPr>
              <w:tabs>
                <w:tab w:val="left" w:leader="dot" w:pos="7344"/>
              </w:tabs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Loss of one leg at the hip and of the other either at the hip or in the upper third</w:t>
            </w:r>
          </w:p>
        </w:tc>
        <w:tc>
          <w:tcPr>
            <w:tcW w:w="836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A6FCE" w:rsidRPr="00063E9F" w:rsidRDefault="00FA6FCE" w:rsidP="00140A0B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63E9F">
              <w:rPr>
                <w:rFonts w:ascii="Times New Roman" w:hAnsi="Times New Roman" w:cs="Times New Roman"/>
              </w:rPr>
              <w:t>21</w:t>
            </w:r>
          </w:p>
        </w:tc>
      </w:tr>
    </w:tbl>
    <w:p w:rsidR="00FA6FCE" w:rsidRPr="00DA0C4F" w:rsidRDefault="00063E9F" w:rsidP="00DA0C4F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A0C4F">
        <w:rPr>
          <w:rFonts w:ascii="Times New Roman" w:hAnsi="Times New Roman" w:cs="Times New Roman"/>
          <w:b/>
          <w:sz w:val="20"/>
        </w:rPr>
        <w:t>Application of certain amendments.</w:t>
      </w:r>
    </w:p>
    <w:p w:rsidR="00FA6FCE" w:rsidRDefault="00063E9F" w:rsidP="00DF0E58">
      <w:pPr>
        <w:spacing w:after="60" w:line="240" w:lineRule="auto"/>
        <w:ind w:firstLine="432"/>
        <w:jc w:val="both"/>
        <w:rPr>
          <w:rFonts w:ascii="Times New Roman" w:hAnsi="Times New Roman" w:cs="Times New Roman"/>
        </w:rPr>
      </w:pPr>
      <w:r w:rsidRPr="00063E9F">
        <w:rPr>
          <w:rFonts w:ascii="Times New Roman" w:hAnsi="Times New Roman" w:cs="Times New Roman"/>
          <w:b/>
        </w:rPr>
        <w:t>9.</w:t>
      </w:r>
      <w:r w:rsidR="00DF0E58">
        <w:rPr>
          <w:rFonts w:ascii="Times New Roman" w:hAnsi="Times New Roman" w:cs="Times New Roman"/>
        </w:rPr>
        <w:tab/>
      </w:r>
      <w:r w:rsidR="00FA6FCE" w:rsidRPr="00063E9F">
        <w:rPr>
          <w:rFonts w:ascii="Times New Roman" w:hAnsi="Times New Roman" w:cs="Times New Roman"/>
        </w:rPr>
        <w:t>In so far as an amendment made by this Act affects instalments of pensions or allowances, the amendment applies in relation to an instalment of a pension or of an allowance falling due on the first pension pay day after the date of commencement of this Act and to all subsequent instalments.</w:t>
      </w:r>
    </w:p>
    <w:p w:rsidR="00B86EF7" w:rsidRPr="00063E9F" w:rsidRDefault="00B86EF7" w:rsidP="00DA0C4F">
      <w:pPr>
        <w:pBdr>
          <w:bottom w:val="thickThinSmallGap" w:sz="12" w:space="1" w:color="auto"/>
        </w:pBdr>
        <w:spacing w:before="240" w:after="60" w:line="240" w:lineRule="auto"/>
        <w:jc w:val="center"/>
        <w:rPr>
          <w:rFonts w:ascii="Times New Roman" w:hAnsi="Times New Roman" w:cs="Times New Roman"/>
        </w:rPr>
      </w:pPr>
    </w:p>
    <w:sectPr w:rsidR="00B86EF7" w:rsidRPr="00063E9F" w:rsidSect="004A1666">
      <w:headerReference w:type="even" r:id="rId8"/>
      <w:headerReference w:type="default" r:id="rId9"/>
      <w:pgSz w:w="11909" w:h="16834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20" w:rsidRDefault="00557F20" w:rsidP="0065554E">
      <w:pPr>
        <w:spacing w:after="0" w:line="240" w:lineRule="auto"/>
      </w:pPr>
      <w:r>
        <w:separator/>
      </w:r>
    </w:p>
  </w:endnote>
  <w:endnote w:type="continuationSeparator" w:id="0">
    <w:p w:rsidR="00557F20" w:rsidRDefault="00557F20" w:rsidP="0065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20" w:rsidRDefault="00557F20" w:rsidP="0065554E">
      <w:pPr>
        <w:spacing w:after="0" w:line="240" w:lineRule="auto"/>
      </w:pPr>
      <w:r>
        <w:separator/>
      </w:r>
    </w:p>
  </w:footnote>
  <w:footnote w:type="continuationSeparator" w:id="0">
    <w:p w:rsidR="00557F20" w:rsidRDefault="00557F20" w:rsidP="0065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666" w:rsidRPr="0065554E" w:rsidRDefault="004A1666" w:rsidP="001B2408">
    <w:pPr>
      <w:pStyle w:val="Header"/>
      <w:tabs>
        <w:tab w:val="clear" w:pos="9360"/>
        <w:tab w:val="right" w:pos="8550"/>
      </w:tabs>
      <w:rPr>
        <w:sz w:val="20"/>
      </w:rPr>
    </w:pPr>
    <w:r w:rsidRPr="0065554E">
      <w:rPr>
        <w:rFonts w:ascii="Times New Roman" w:hAnsi="Times New Roman" w:cs="Times New Roman"/>
        <w:sz w:val="20"/>
      </w:rPr>
      <w:t>1972</w:t>
    </w:r>
    <w:r w:rsidRPr="0065554E">
      <w:rPr>
        <w:rFonts w:ascii="Times New Roman" w:hAnsi="Times New Roman" w:cs="Times New Roman"/>
        <w:sz w:val="20"/>
      </w:rPr>
      <w:tab/>
    </w:r>
    <w:r w:rsidRPr="0065554E">
      <w:rPr>
        <w:rFonts w:ascii="Times New Roman" w:hAnsi="Times New Roman" w:cs="Times New Roman"/>
        <w:i/>
        <w:sz w:val="20"/>
      </w:rPr>
      <w:t xml:space="preserve">Seamen’s War Pensions and Allowances </w:t>
    </w:r>
    <w:r w:rsidRPr="0065554E">
      <w:rPr>
        <w:rFonts w:ascii="Times New Roman" w:hAnsi="Times New Roman" w:cs="Times New Roman"/>
        <w:sz w:val="20"/>
      </w:rPr>
      <w:t>(</w:t>
    </w:r>
    <w:r w:rsidRPr="0065554E">
      <w:rPr>
        <w:rFonts w:ascii="Times New Roman" w:hAnsi="Times New Roman" w:cs="Times New Roman"/>
        <w:i/>
        <w:sz w:val="20"/>
      </w:rPr>
      <w:t xml:space="preserve">No. </w:t>
    </w:r>
    <w:r w:rsidRPr="0065554E">
      <w:rPr>
        <w:rFonts w:ascii="Times New Roman" w:hAnsi="Times New Roman" w:cs="Times New Roman"/>
        <w:sz w:val="20"/>
      </w:rPr>
      <w:t>2)</w:t>
    </w:r>
    <w:r w:rsidRPr="0065554E">
      <w:rPr>
        <w:rFonts w:ascii="Times New Roman" w:hAnsi="Times New Roman" w:cs="Times New Roman"/>
        <w:sz w:val="20"/>
      </w:rPr>
      <w:tab/>
      <w:t>No. 83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4E" w:rsidRPr="0065554E" w:rsidRDefault="004A1666" w:rsidP="001B2408">
    <w:pPr>
      <w:pStyle w:val="Header"/>
      <w:tabs>
        <w:tab w:val="clear" w:pos="9360"/>
        <w:tab w:val="right" w:pos="8550"/>
      </w:tabs>
      <w:rPr>
        <w:sz w:val="20"/>
      </w:rPr>
    </w:pPr>
    <w:r w:rsidRPr="0065554E">
      <w:rPr>
        <w:rFonts w:ascii="Times New Roman" w:hAnsi="Times New Roman" w:cs="Times New Roman"/>
        <w:sz w:val="20"/>
      </w:rPr>
      <w:t>No. 83</w:t>
    </w:r>
    <w:r w:rsidR="0065554E" w:rsidRPr="0065554E">
      <w:rPr>
        <w:rFonts w:ascii="Times New Roman" w:hAnsi="Times New Roman" w:cs="Times New Roman"/>
        <w:sz w:val="20"/>
      </w:rPr>
      <w:tab/>
    </w:r>
    <w:r w:rsidR="0065554E" w:rsidRPr="0065554E">
      <w:rPr>
        <w:rFonts w:ascii="Times New Roman" w:hAnsi="Times New Roman" w:cs="Times New Roman"/>
        <w:i/>
        <w:sz w:val="20"/>
      </w:rPr>
      <w:t xml:space="preserve">Seamen’s War Pensions and Allowances </w:t>
    </w:r>
    <w:r w:rsidR="0065554E" w:rsidRPr="0065554E">
      <w:rPr>
        <w:rFonts w:ascii="Times New Roman" w:hAnsi="Times New Roman" w:cs="Times New Roman"/>
        <w:sz w:val="20"/>
      </w:rPr>
      <w:t>(</w:t>
    </w:r>
    <w:r w:rsidR="0065554E" w:rsidRPr="0065554E">
      <w:rPr>
        <w:rFonts w:ascii="Times New Roman" w:hAnsi="Times New Roman" w:cs="Times New Roman"/>
        <w:i/>
        <w:sz w:val="20"/>
      </w:rPr>
      <w:t xml:space="preserve">No. </w:t>
    </w:r>
    <w:r w:rsidR="0065554E" w:rsidRPr="0065554E">
      <w:rPr>
        <w:rFonts w:ascii="Times New Roman" w:hAnsi="Times New Roman" w:cs="Times New Roman"/>
        <w:sz w:val="20"/>
      </w:rPr>
      <w:t>2)</w:t>
    </w:r>
    <w:r w:rsidR="0065554E" w:rsidRPr="0065554E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>1972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FCE"/>
    <w:rsid w:val="00024E20"/>
    <w:rsid w:val="00063E9F"/>
    <w:rsid w:val="000B1118"/>
    <w:rsid w:val="000E7788"/>
    <w:rsid w:val="00101912"/>
    <w:rsid w:val="00140A0B"/>
    <w:rsid w:val="00155E0C"/>
    <w:rsid w:val="001A2A8B"/>
    <w:rsid w:val="001A6293"/>
    <w:rsid w:val="001A70E2"/>
    <w:rsid w:val="001B2408"/>
    <w:rsid w:val="003017CF"/>
    <w:rsid w:val="003153C4"/>
    <w:rsid w:val="00333696"/>
    <w:rsid w:val="00345C2D"/>
    <w:rsid w:val="003B72FE"/>
    <w:rsid w:val="003E06F0"/>
    <w:rsid w:val="004937A9"/>
    <w:rsid w:val="004A1666"/>
    <w:rsid w:val="004C39A7"/>
    <w:rsid w:val="004E7ADB"/>
    <w:rsid w:val="0052246A"/>
    <w:rsid w:val="00557F20"/>
    <w:rsid w:val="005B23B5"/>
    <w:rsid w:val="00610097"/>
    <w:rsid w:val="00645B1A"/>
    <w:rsid w:val="0065554E"/>
    <w:rsid w:val="006A77CD"/>
    <w:rsid w:val="006B7E58"/>
    <w:rsid w:val="007B6518"/>
    <w:rsid w:val="007F5ABB"/>
    <w:rsid w:val="00815A41"/>
    <w:rsid w:val="0084160C"/>
    <w:rsid w:val="00874E3C"/>
    <w:rsid w:val="008E153E"/>
    <w:rsid w:val="009030E8"/>
    <w:rsid w:val="009143C5"/>
    <w:rsid w:val="00946327"/>
    <w:rsid w:val="00A1506B"/>
    <w:rsid w:val="00A8308F"/>
    <w:rsid w:val="00A928F4"/>
    <w:rsid w:val="00B44577"/>
    <w:rsid w:val="00B80B03"/>
    <w:rsid w:val="00B86EF7"/>
    <w:rsid w:val="00C564ED"/>
    <w:rsid w:val="00CA29F9"/>
    <w:rsid w:val="00CA576D"/>
    <w:rsid w:val="00D147F1"/>
    <w:rsid w:val="00D44830"/>
    <w:rsid w:val="00D46CBC"/>
    <w:rsid w:val="00D65031"/>
    <w:rsid w:val="00D816CC"/>
    <w:rsid w:val="00DA0C4F"/>
    <w:rsid w:val="00DB73B4"/>
    <w:rsid w:val="00DF0E58"/>
    <w:rsid w:val="00E461D8"/>
    <w:rsid w:val="00E739BA"/>
    <w:rsid w:val="00E929AD"/>
    <w:rsid w:val="00FA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38">
    <w:name w:val="Style1238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42">
    <w:name w:val="Style842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2">
    <w:name w:val="Style212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00">
    <w:name w:val="Style400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1">
    <w:name w:val="Style601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91">
    <w:name w:val="Style691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1">
    <w:name w:val="Style271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4">
    <w:name w:val="Style134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7">
    <w:name w:val="Style107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87">
    <w:name w:val="Style987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0">
    <w:name w:val="Style140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4">
    <w:name w:val="Style1254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0">
    <w:name w:val="Style170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1">
    <w:name w:val="Style1251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52">
    <w:name w:val="Style1252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8">
    <w:name w:val="Style178"/>
    <w:basedOn w:val="Normal"/>
    <w:rsid w:val="00FA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2"/>
      <w:szCs w:val="22"/>
    </w:rPr>
  </w:style>
  <w:style w:type="character" w:customStyle="1" w:styleId="CharStyle8">
    <w:name w:val="CharStyle8"/>
    <w:basedOn w:val="DefaultParagraphFont"/>
    <w:rsid w:val="00FA6FC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35">
    <w:name w:val="CharStyle35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4"/>
      <w:szCs w:val="34"/>
    </w:rPr>
  </w:style>
  <w:style w:type="character" w:customStyle="1" w:styleId="CharStyle39">
    <w:name w:val="CharStyle39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53">
    <w:name w:val="CharStyle53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60">
    <w:name w:val="CharStyle60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75">
    <w:name w:val="CharStyle175"/>
    <w:basedOn w:val="DefaultParagraphFont"/>
    <w:rsid w:val="00FA6FCE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character" w:customStyle="1" w:styleId="CharStyle246">
    <w:name w:val="CharStyle246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272">
    <w:name w:val="CharStyle272"/>
    <w:basedOn w:val="DefaultParagraphFont"/>
    <w:rsid w:val="00FA6FCE"/>
    <w:rPr>
      <w:rFonts w:ascii="Times New Roman" w:eastAsia="Times New Roman" w:hAnsi="Times New Roman" w:cs="Times New Roman"/>
      <w:b/>
      <w:bCs/>
      <w:i/>
      <w:iCs/>
      <w:smallCaps w:val="0"/>
      <w:sz w:val="24"/>
      <w:szCs w:val="24"/>
    </w:rPr>
  </w:style>
  <w:style w:type="character" w:customStyle="1" w:styleId="CharStyle399">
    <w:name w:val="CharStyle399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439">
    <w:name w:val="CharStyle439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481">
    <w:name w:val="CharStyle481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/>
      <w:sz w:val="18"/>
      <w:szCs w:val="18"/>
    </w:rPr>
  </w:style>
  <w:style w:type="character" w:customStyle="1" w:styleId="CharStyle486">
    <w:name w:val="CharStyle486"/>
    <w:basedOn w:val="DefaultParagraphFont"/>
    <w:rsid w:val="00FA6FCE"/>
    <w:rPr>
      <w:rFonts w:ascii="Times New Roman" w:eastAsia="Times New Roman" w:hAnsi="Times New Roman" w:cs="Times New Roman"/>
      <w:b/>
      <w:bCs/>
      <w:i/>
      <w:iCs/>
      <w:smallCaps w:val="0"/>
      <w:sz w:val="12"/>
      <w:szCs w:val="12"/>
    </w:rPr>
  </w:style>
  <w:style w:type="character" w:customStyle="1" w:styleId="CharStyle490">
    <w:name w:val="CharStyle490"/>
    <w:basedOn w:val="DefaultParagraphFont"/>
    <w:rsid w:val="00FA6FCE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501">
    <w:name w:val="CharStyle501"/>
    <w:basedOn w:val="DefaultParagraphFont"/>
    <w:rsid w:val="00FA6FCE"/>
    <w:rPr>
      <w:rFonts w:ascii="Candara" w:eastAsia="Candara" w:hAnsi="Candara" w:cs="Candara"/>
      <w:b/>
      <w:bCs/>
      <w:i w:val="0"/>
      <w:iCs w:val="0"/>
      <w:smallCaps w:val="0"/>
      <w:sz w:val="20"/>
      <w:szCs w:val="20"/>
    </w:rPr>
  </w:style>
  <w:style w:type="character" w:customStyle="1" w:styleId="CharStyle687">
    <w:name w:val="CharStyle687"/>
    <w:basedOn w:val="DefaultParagraphFont"/>
    <w:rsid w:val="00FA6FCE"/>
    <w:rPr>
      <w:rFonts w:ascii="Book Antiqua" w:eastAsia="Book Antiqua" w:hAnsi="Book Antiqua" w:cs="Book Antiqua"/>
      <w:b/>
      <w:bCs/>
      <w:i w:val="0"/>
      <w:iCs w:val="0"/>
      <w:smallCaps w:val="0"/>
      <w:sz w:val="48"/>
      <w:szCs w:val="48"/>
    </w:rPr>
  </w:style>
  <w:style w:type="paragraph" w:styleId="ListParagraph">
    <w:name w:val="List Paragraph"/>
    <w:basedOn w:val="Normal"/>
    <w:uiPriority w:val="34"/>
    <w:qFormat/>
    <w:rsid w:val="005B2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4E"/>
  </w:style>
  <w:style w:type="paragraph" w:styleId="Footer">
    <w:name w:val="footer"/>
    <w:basedOn w:val="Normal"/>
    <w:link w:val="FooterChar"/>
    <w:uiPriority w:val="99"/>
    <w:semiHidden/>
    <w:unhideWhenUsed/>
    <w:rsid w:val="0065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D87E11-285D-460A-A415-E68F19F3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52</cp:revision>
  <dcterms:created xsi:type="dcterms:W3CDTF">2017-05-11T09:05:00Z</dcterms:created>
  <dcterms:modified xsi:type="dcterms:W3CDTF">2019-04-08T00:58:00Z</dcterms:modified>
</cp:coreProperties>
</file>