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0A" w:rsidRDefault="002466A6">
      <w:r>
        <w:rPr>
          <w:noProof/>
          <w:sz w:val="20"/>
          <w:szCs w:val="20"/>
        </w:rPr>
        <w:drawing>
          <wp:inline distT="0" distB="0" distL="0" distR="0">
            <wp:extent cx="17589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8950" cy="1295400"/>
                    </a:xfrm>
                    <a:prstGeom prst="rect">
                      <a:avLst/>
                    </a:prstGeom>
                    <a:noFill/>
                    <a:ln>
                      <a:noFill/>
                    </a:ln>
                  </pic:spPr>
                </pic:pic>
              </a:graphicData>
            </a:graphic>
          </wp:inline>
        </w:drawing>
      </w:r>
    </w:p>
    <w:p w:rsidR="005F2760" w:rsidRDefault="005F2760" w:rsidP="005F2760">
      <w:pPr>
        <w:spacing w:line="240" w:lineRule="auto"/>
      </w:pPr>
    </w:p>
    <w:p w:rsidR="005F2760" w:rsidRDefault="005F2760" w:rsidP="005F2760"/>
    <w:p w:rsidR="005F2760" w:rsidRDefault="005F2760" w:rsidP="005F2760"/>
    <w:p w:rsidR="005F2760" w:rsidRDefault="005F2760" w:rsidP="005F2760"/>
    <w:p w:rsidR="005F2760" w:rsidRDefault="005F2760" w:rsidP="005F2760"/>
    <w:p w:rsidR="005F2760" w:rsidRDefault="005F2760"/>
    <w:p w:rsidR="00831C0A" w:rsidRDefault="0083091D" w:rsidP="005F2760">
      <w:pPr>
        <w:pStyle w:val="ShortT"/>
        <w:spacing w:before="0"/>
        <w:rPr>
          <w:color w:val="000000"/>
        </w:rPr>
      </w:pPr>
      <w:r>
        <w:rPr>
          <w:color w:val="000000"/>
        </w:rPr>
        <w:t>Parliamentary Retiring Allowances (Increases) Act 1971</w:t>
      </w:r>
    </w:p>
    <w:p w:rsidR="005F2760" w:rsidRPr="005F2760" w:rsidRDefault="005F2760" w:rsidP="005F2760"/>
    <w:p w:rsidR="00831C0A" w:rsidRDefault="0083091D" w:rsidP="005F2760">
      <w:pPr>
        <w:pStyle w:val="Actno"/>
        <w:spacing w:before="400"/>
        <w:rPr>
          <w:color w:val="000000"/>
          <w:sz w:val="32"/>
          <w:szCs w:val="32"/>
        </w:rPr>
      </w:pPr>
      <w:r w:rsidRPr="005F2760">
        <w:rPr>
          <w:sz w:val="32"/>
          <w:szCs w:val="32"/>
        </w:rPr>
        <w:t>No. 75</w:t>
      </w:r>
      <w:r w:rsidR="009467DD">
        <w:rPr>
          <w:color w:val="000000"/>
          <w:sz w:val="32"/>
          <w:szCs w:val="32"/>
        </w:rPr>
        <w:t xml:space="preserve"> of 1971</w:t>
      </w:r>
    </w:p>
    <w:p w:rsidR="005F2760" w:rsidRPr="00B15682" w:rsidRDefault="005F2760" w:rsidP="005F2760"/>
    <w:p w:rsidR="005F2760" w:rsidRDefault="005F2760" w:rsidP="005F2760"/>
    <w:p w:rsidR="005F2760" w:rsidRDefault="005F2760" w:rsidP="005F2760"/>
    <w:p w:rsidR="005F2760" w:rsidRDefault="005F2760" w:rsidP="005F2760"/>
    <w:p w:rsidR="005F2760" w:rsidRDefault="005F2760" w:rsidP="005F2760"/>
    <w:p w:rsidR="005F2760" w:rsidRDefault="005F2760" w:rsidP="005F2760">
      <w:pPr>
        <w:pStyle w:val="LongT"/>
      </w:pPr>
      <w:r>
        <w:t>An Act to provide for Increases in certain Parliamentary Retiring Allowances</w:t>
      </w:r>
    </w:p>
    <w:p w:rsidR="005F2760" w:rsidRPr="005F2760" w:rsidRDefault="005F2760" w:rsidP="005F2760"/>
    <w:p w:rsidR="00831C0A" w:rsidRDefault="0083091D">
      <w:pPr>
        <w:pStyle w:val="Header"/>
      </w:pPr>
      <w:r>
        <w:rPr>
          <w:rStyle w:val="CharChapNo"/>
        </w:rPr>
        <w:t xml:space="preserve"> </w:t>
      </w:r>
      <w:r>
        <w:rPr>
          <w:rStyle w:val="CharChapText"/>
        </w:rPr>
        <w:t xml:space="preserve"> </w:t>
      </w:r>
    </w:p>
    <w:p w:rsidR="00831C0A" w:rsidRDefault="0083091D">
      <w:pPr>
        <w:pStyle w:val="Header"/>
      </w:pPr>
      <w:r>
        <w:rPr>
          <w:rStyle w:val="CharPartNo"/>
        </w:rPr>
        <w:t xml:space="preserve"> </w:t>
      </w:r>
      <w:r>
        <w:rPr>
          <w:rStyle w:val="CharPartText"/>
        </w:rPr>
        <w:t xml:space="preserve"> </w:t>
      </w:r>
    </w:p>
    <w:p w:rsidR="00831C0A" w:rsidRDefault="0083091D">
      <w:pPr>
        <w:pStyle w:val="Header"/>
      </w:pPr>
      <w:r>
        <w:rPr>
          <w:rStyle w:val="CharDivNo"/>
        </w:rPr>
        <w:t xml:space="preserve"> </w:t>
      </w:r>
      <w:r>
        <w:rPr>
          <w:rStyle w:val="CharDivText"/>
        </w:rPr>
        <w:t xml:space="preserve"> </w:t>
      </w:r>
    </w:p>
    <w:p w:rsidR="00831C0A" w:rsidRDefault="00831C0A">
      <w:pPr>
        <w:sectPr w:rsidR="00831C0A">
          <w:headerReference w:type="even" r:id="rId10"/>
          <w:headerReference w:type="default" r:id="rId11"/>
          <w:footerReference w:type="even" r:id="rId12"/>
          <w:footerReference w:type="default" r:id="rId13"/>
          <w:pgSz w:w="11906" w:h="16838" w:code="9"/>
          <w:pgMar w:top="2268" w:right="2410" w:bottom="3827" w:left="2410" w:header="567" w:footer="3118" w:gutter="0"/>
          <w:pgNumType w:start="1"/>
          <w:cols w:space="709"/>
          <w:titlePg/>
        </w:sectPr>
      </w:pPr>
    </w:p>
    <w:p w:rsidR="00831C0A" w:rsidRDefault="0083091D">
      <w:pPr>
        <w:pStyle w:val="Contents"/>
      </w:pPr>
      <w:r>
        <w:lastRenderedPageBreak/>
        <w:t>Contents</w:t>
      </w:r>
    </w:p>
    <w:p w:rsidR="00B6456A" w:rsidRDefault="00B6456A">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5169575" w:history="1">
        <w:r w:rsidRPr="006B0574">
          <w:rPr>
            <w:rStyle w:val="Hyperlink"/>
            <w:noProof/>
          </w:rPr>
          <w:t>1  Short title</w:t>
        </w:r>
        <w:r>
          <w:rPr>
            <w:noProof/>
            <w:webHidden/>
          </w:rPr>
          <w:tab/>
        </w:r>
        <w:r>
          <w:rPr>
            <w:noProof/>
            <w:webHidden/>
          </w:rPr>
          <w:fldChar w:fldCharType="begin"/>
        </w:r>
        <w:r>
          <w:rPr>
            <w:noProof/>
            <w:webHidden/>
          </w:rPr>
          <w:instrText xml:space="preserve"> PAGEREF _Toc425169575 \h </w:instrText>
        </w:r>
        <w:r>
          <w:rPr>
            <w:noProof/>
            <w:webHidden/>
          </w:rPr>
        </w:r>
        <w:r>
          <w:rPr>
            <w:noProof/>
            <w:webHidden/>
          </w:rPr>
          <w:fldChar w:fldCharType="separate"/>
        </w:r>
        <w:r>
          <w:rPr>
            <w:noProof/>
            <w:webHidden/>
          </w:rPr>
          <w:t>1</w:t>
        </w:r>
        <w:r>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76" w:history="1">
        <w:r w:rsidR="00B6456A" w:rsidRPr="006B0574">
          <w:rPr>
            <w:rStyle w:val="Hyperlink"/>
            <w:noProof/>
          </w:rPr>
          <w:t>2  Commencement</w:t>
        </w:r>
        <w:r w:rsidR="00B6456A">
          <w:rPr>
            <w:noProof/>
            <w:webHidden/>
          </w:rPr>
          <w:tab/>
        </w:r>
        <w:r w:rsidR="00B6456A">
          <w:rPr>
            <w:noProof/>
            <w:webHidden/>
          </w:rPr>
          <w:fldChar w:fldCharType="begin"/>
        </w:r>
        <w:r w:rsidR="00B6456A">
          <w:rPr>
            <w:noProof/>
            <w:webHidden/>
          </w:rPr>
          <w:instrText xml:space="preserve"> PAGEREF _Toc425169576 \h </w:instrText>
        </w:r>
        <w:r w:rsidR="00B6456A">
          <w:rPr>
            <w:noProof/>
            <w:webHidden/>
          </w:rPr>
        </w:r>
        <w:r w:rsidR="00B6456A">
          <w:rPr>
            <w:noProof/>
            <w:webHidden/>
          </w:rPr>
          <w:fldChar w:fldCharType="separate"/>
        </w:r>
        <w:r w:rsidR="00B6456A">
          <w:rPr>
            <w:noProof/>
            <w:webHidden/>
          </w:rPr>
          <w:t>2</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77" w:history="1">
        <w:r w:rsidR="00B6456A" w:rsidRPr="006B0574">
          <w:rPr>
            <w:rStyle w:val="Hyperlink"/>
            <w:noProof/>
          </w:rPr>
          <w:t>3  Increases in rates of pensions in relation to persons who died or retired before 1 July 1962</w:t>
        </w:r>
        <w:r w:rsidR="00B6456A">
          <w:rPr>
            <w:noProof/>
            <w:webHidden/>
          </w:rPr>
          <w:tab/>
        </w:r>
        <w:r w:rsidR="00B6456A">
          <w:rPr>
            <w:noProof/>
            <w:webHidden/>
          </w:rPr>
          <w:fldChar w:fldCharType="begin"/>
        </w:r>
        <w:r w:rsidR="00B6456A">
          <w:rPr>
            <w:noProof/>
            <w:webHidden/>
          </w:rPr>
          <w:instrText xml:space="preserve"> PAGEREF _Toc425169577 \h </w:instrText>
        </w:r>
        <w:r w:rsidR="00B6456A">
          <w:rPr>
            <w:noProof/>
            <w:webHidden/>
          </w:rPr>
        </w:r>
        <w:r w:rsidR="00B6456A">
          <w:rPr>
            <w:noProof/>
            <w:webHidden/>
          </w:rPr>
          <w:fldChar w:fldCharType="separate"/>
        </w:r>
        <w:r w:rsidR="00B6456A">
          <w:rPr>
            <w:noProof/>
            <w:webHidden/>
          </w:rPr>
          <w:t>2</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78" w:history="1">
        <w:r w:rsidR="00B6456A" w:rsidRPr="006B0574">
          <w:rPr>
            <w:rStyle w:val="Hyperlink"/>
            <w:noProof/>
          </w:rPr>
          <w:t>4  Increases in rates of pensions in relation to persons who died or retired on or after 1 July 1962 and before 1 November 1964 [</w:t>
        </w:r>
        <w:r w:rsidR="00B6456A" w:rsidRPr="006B0574">
          <w:rPr>
            <w:rStyle w:val="Hyperlink"/>
            <w:i/>
            <w:iCs/>
            <w:noProof/>
          </w:rPr>
          <w:t>see</w:t>
        </w:r>
        <w:r w:rsidR="00B6456A" w:rsidRPr="006B0574">
          <w:rPr>
            <w:rStyle w:val="Hyperlink"/>
            <w:noProof/>
          </w:rPr>
          <w:t xml:space="preserve"> Note 2]</w:t>
        </w:r>
        <w:r w:rsidR="00B6456A">
          <w:rPr>
            <w:noProof/>
            <w:webHidden/>
          </w:rPr>
          <w:tab/>
        </w:r>
        <w:r w:rsidR="00B6456A">
          <w:rPr>
            <w:noProof/>
            <w:webHidden/>
          </w:rPr>
          <w:fldChar w:fldCharType="begin"/>
        </w:r>
        <w:r w:rsidR="00B6456A">
          <w:rPr>
            <w:noProof/>
            <w:webHidden/>
          </w:rPr>
          <w:instrText xml:space="preserve"> PAGEREF _Toc425169578 \h </w:instrText>
        </w:r>
        <w:r w:rsidR="00B6456A">
          <w:rPr>
            <w:noProof/>
            <w:webHidden/>
          </w:rPr>
        </w:r>
        <w:r w:rsidR="00B6456A">
          <w:rPr>
            <w:noProof/>
            <w:webHidden/>
          </w:rPr>
          <w:fldChar w:fldCharType="separate"/>
        </w:r>
        <w:r w:rsidR="00B6456A">
          <w:rPr>
            <w:noProof/>
            <w:webHidden/>
          </w:rPr>
          <w:t>3</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79" w:history="1">
        <w:r w:rsidR="00B6456A" w:rsidRPr="006B0574">
          <w:rPr>
            <w:rStyle w:val="Hyperlink"/>
            <w:noProof/>
          </w:rPr>
          <w:t>5  Increases in rates of pensions of persons who died or retired on or after 1 November 1964 and before 1 December 1968  [</w:t>
        </w:r>
        <w:r w:rsidR="00B6456A" w:rsidRPr="006B0574">
          <w:rPr>
            <w:rStyle w:val="Hyperlink"/>
            <w:i/>
            <w:iCs/>
            <w:noProof/>
          </w:rPr>
          <w:t xml:space="preserve">see </w:t>
        </w:r>
        <w:r w:rsidR="00B6456A" w:rsidRPr="006B0574">
          <w:rPr>
            <w:rStyle w:val="Hyperlink"/>
            <w:noProof/>
          </w:rPr>
          <w:t>Note 2]</w:t>
        </w:r>
        <w:r w:rsidR="00B6456A">
          <w:rPr>
            <w:noProof/>
            <w:webHidden/>
          </w:rPr>
          <w:tab/>
        </w:r>
        <w:r w:rsidR="00B6456A">
          <w:rPr>
            <w:noProof/>
            <w:webHidden/>
          </w:rPr>
          <w:fldChar w:fldCharType="begin"/>
        </w:r>
        <w:r w:rsidR="00B6456A">
          <w:rPr>
            <w:noProof/>
            <w:webHidden/>
          </w:rPr>
          <w:instrText xml:space="preserve"> PAGEREF _Toc425169579 \h </w:instrText>
        </w:r>
        <w:r w:rsidR="00B6456A">
          <w:rPr>
            <w:noProof/>
            <w:webHidden/>
          </w:rPr>
        </w:r>
        <w:r w:rsidR="00B6456A">
          <w:rPr>
            <w:noProof/>
            <w:webHidden/>
          </w:rPr>
          <w:fldChar w:fldCharType="separate"/>
        </w:r>
        <w:r w:rsidR="00B6456A">
          <w:rPr>
            <w:noProof/>
            <w:webHidden/>
          </w:rPr>
          <w:t>3</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0" w:history="1">
        <w:r w:rsidR="00B6456A" w:rsidRPr="006B0574">
          <w:rPr>
            <w:rStyle w:val="Hyperlink"/>
            <w:noProof/>
          </w:rPr>
          <w:t>6  Increases in rates of pensions in relation to certain office</w:t>
        </w:r>
        <w:r w:rsidR="00B6456A" w:rsidRPr="006B0574">
          <w:rPr>
            <w:rStyle w:val="Hyperlink"/>
            <w:noProof/>
          </w:rPr>
          <w:noBreakHyphen/>
          <w:t>holders [</w:t>
        </w:r>
        <w:r w:rsidR="00B6456A" w:rsidRPr="006B0574">
          <w:rPr>
            <w:rStyle w:val="Hyperlink"/>
            <w:i/>
            <w:iCs/>
            <w:noProof/>
          </w:rPr>
          <w:t>see</w:t>
        </w:r>
        <w:r w:rsidR="00B6456A" w:rsidRPr="006B0574">
          <w:rPr>
            <w:rStyle w:val="Hyperlink"/>
            <w:noProof/>
          </w:rPr>
          <w:t xml:space="preserve"> Note 2]</w:t>
        </w:r>
        <w:r w:rsidR="00B6456A">
          <w:rPr>
            <w:noProof/>
            <w:webHidden/>
          </w:rPr>
          <w:tab/>
        </w:r>
        <w:r w:rsidR="00B6456A">
          <w:rPr>
            <w:noProof/>
            <w:webHidden/>
          </w:rPr>
          <w:fldChar w:fldCharType="begin"/>
        </w:r>
        <w:r w:rsidR="00B6456A">
          <w:rPr>
            <w:noProof/>
            <w:webHidden/>
          </w:rPr>
          <w:instrText xml:space="preserve"> PAGEREF _Toc425169580 \h </w:instrText>
        </w:r>
        <w:r w:rsidR="00B6456A">
          <w:rPr>
            <w:noProof/>
            <w:webHidden/>
          </w:rPr>
        </w:r>
        <w:r w:rsidR="00B6456A">
          <w:rPr>
            <w:noProof/>
            <w:webHidden/>
          </w:rPr>
          <w:fldChar w:fldCharType="separate"/>
        </w:r>
        <w:r w:rsidR="00B6456A">
          <w:rPr>
            <w:noProof/>
            <w:webHidden/>
          </w:rPr>
          <w:t>4</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1" w:history="1">
        <w:r w:rsidR="00B6456A" w:rsidRPr="006B0574">
          <w:rPr>
            <w:rStyle w:val="Hyperlink"/>
            <w:noProof/>
          </w:rPr>
          <w:t>7  Increases in rates of pension in relation to certain other office</w:t>
        </w:r>
        <w:r w:rsidR="00B6456A" w:rsidRPr="006B0574">
          <w:rPr>
            <w:rStyle w:val="Hyperlink"/>
            <w:noProof/>
          </w:rPr>
          <w:noBreakHyphen/>
          <w:t>holders [</w:t>
        </w:r>
        <w:r w:rsidR="00B6456A" w:rsidRPr="006B0574">
          <w:rPr>
            <w:rStyle w:val="Hyperlink"/>
            <w:i/>
            <w:iCs/>
            <w:noProof/>
          </w:rPr>
          <w:t xml:space="preserve">see </w:t>
        </w:r>
        <w:r w:rsidR="00B6456A" w:rsidRPr="006B0574">
          <w:rPr>
            <w:rStyle w:val="Hyperlink"/>
            <w:noProof/>
          </w:rPr>
          <w:t>Note 2]</w:t>
        </w:r>
        <w:r w:rsidR="00B6456A">
          <w:rPr>
            <w:noProof/>
            <w:webHidden/>
          </w:rPr>
          <w:tab/>
        </w:r>
        <w:r w:rsidR="00B6456A">
          <w:rPr>
            <w:noProof/>
            <w:webHidden/>
          </w:rPr>
          <w:fldChar w:fldCharType="begin"/>
        </w:r>
        <w:r w:rsidR="00B6456A">
          <w:rPr>
            <w:noProof/>
            <w:webHidden/>
          </w:rPr>
          <w:instrText xml:space="preserve"> PAGEREF _Toc425169581 \h </w:instrText>
        </w:r>
        <w:r w:rsidR="00B6456A">
          <w:rPr>
            <w:noProof/>
            <w:webHidden/>
          </w:rPr>
        </w:r>
        <w:r w:rsidR="00B6456A">
          <w:rPr>
            <w:noProof/>
            <w:webHidden/>
          </w:rPr>
          <w:fldChar w:fldCharType="separate"/>
        </w:r>
        <w:r w:rsidR="00B6456A">
          <w:rPr>
            <w:noProof/>
            <w:webHidden/>
          </w:rPr>
          <w:t>5</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2" w:history="1">
        <w:r w:rsidR="00B6456A" w:rsidRPr="006B0574">
          <w:rPr>
            <w:rStyle w:val="Hyperlink"/>
            <w:noProof/>
          </w:rPr>
          <w:t>8  Increases in rates of pensions payable to widows of certain former Prime Ministers [</w:t>
        </w:r>
        <w:r w:rsidR="00B6456A" w:rsidRPr="006B0574">
          <w:rPr>
            <w:rStyle w:val="Hyperlink"/>
            <w:i/>
            <w:iCs/>
            <w:noProof/>
          </w:rPr>
          <w:t>see</w:t>
        </w:r>
        <w:r w:rsidR="00B6456A" w:rsidRPr="006B0574">
          <w:rPr>
            <w:rStyle w:val="Hyperlink"/>
            <w:noProof/>
          </w:rPr>
          <w:t xml:space="preserve"> Note 2]</w:t>
        </w:r>
        <w:r w:rsidR="00B6456A">
          <w:rPr>
            <w:noProof/>
            <w:webHidden/>
          </w:rPr>
          <w:tab/>
        </w:r>
        <w:r w:rsidR="00B6456A">
          <w:rPr>
            <w:noProof/>
            <w:webHidden/>
          </w:rPr>
          <w:fldChar w:fldCharType="begin"/>
        </w:r>
        <w:r w:rsidR="00B6456A">
          <w:rPr>
            <w:noProof/>
            <w:webHidden/>
          </w:rPr>
          <w:instrText xml:space="preserve"> PAGEREF _Toc425169582 \h </w:instrText>
        </w:r>
        <w:r w:rsidR="00B6456A">
          <w:rPr>
            <w:noProof/>
            <w:webHidden/>
          </w:rPr>
        </w:r>
        <w:r w:rsidR="00B6456A">
          <w:rPr>
            <w:noProof/>
            <w:webHidden/>
          </w:rPr>
          <w:fldChar w:fldCharType="separate"/>
        </w:r>
        <w:r w:rsidR="00B6456A">
          <w:rPr>
            <w:noProof/>
            <w:webHidden/>
          </w:rPr>
          <w:t>5</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3" w:history="1">
        <w:r w:rsidR="00B6456A" w:rsidRPr="006B0574">
          <w:rPr>
            <w:rStyle w:val="Hyperlink"/>
            <w:noProof/>
          </w:rPr>
          <w:t>9  Pension increases deemed to be payable under Parliamentary Retiring Allowances Act [</w:t>
        </w:r>
        <w:r w:rsidR="00B6456A" w:rsidRPr="006B0574">
          <w:rPr>
            <w:rStyle w:val="Hyperlink"/>
            <w:i/>
            <w:iCs/>
            <w:noProof/>
          </w:rPr>
          <w:t>see</w:t>
        </w:r>
        <w:r w:rsidR="00B6456A" w:rsidRPr="006B0574">
          <w:rPr>
            <w:rStyle w:val="Hyperlink"/>
            <w:noProof/>
          </w:rPr>
          <w:t xml:space="preserve"> Note 2]</w:t>
        </w:r>
        <w:r w:rsidR="00B6456A">
          <w:rPr>
            <w:noProof/>
            <w:webHidden/>
          </w:rPr>
          <w:tab/>
        </w:r>
        <w:r w:rsidR="00B6456A">
          <w:rPr>
            <w:noProof/>
            <w:webHidden/>
          </w:rPr>
          <w:fldChar w:fldCharType="begin"/>
        </w:r>
        <w:r w:rsidR="00B6456A">
          <w:rPr>
            <w:noProof/>
            <w:webHidden/>
          </w:rPr>
          <w:instrText xml:space="preserve"> PAGEREF _Toc425169583 \h </w:instrText>
        </w:r>
        <w:r w:rsidR="00B6456A">
          <w:rPr>
            <w:noProof/>
            <w:webHidden/>
          </w:rPr>
        </w:r>
        <w:r w:rsidR="00B6456A">
          <w:rPr>
            <w:noProof/>
            <w:webHidden/>
          </w:rPr>
          <w:fldChar w:fldCharType="separate"/>
        </w:r>
        <w:r w:rsidR="00B6456A">
          <w:rPr>
            <w:noProof/>
            <w:webHidden/>
          </w:rPr>
          <w:t>6</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4" w:history="1">
        <w:r w:rsidR="00B6456A" w:rsidRPr="006B0574">
          <w:rPr>
            <w:rStyle w:val="Hyperlink"/>
            <w:noProof/>
          </w:rPr>
          <w:t>10  Commonwealth to reimburse Fund for increases in pensions [</w:t>
        </w:r>
        <w:r w:rsidR="00B6456A" w:rsidRPr="006B0574">
          <w:rPr>
            <w:rStyle w:val="Hyperlink"/>
            <w:i/>
            <w:iCs/>
            <w:noProof/>
          </w:rPr>
          <w:t xml:space="preserve">see </w:t>
        </w:r>
        <w:r w:rsidR="00B6456A" w:rsidRPr="006B0574">
          <w:rPr>
            <w:rStyle w:val="Hyperlink"/>
            <w:noProof/>
          </w:rPr>
          <w:t>Note 2]</w:t>
        </w:r>
        <w:r w:rsidR="00B6456A">
          <w:rPr>
            <w:noProof/>
            <w:webHidden/>
          </w:rPr>
          <w:tab/>
        </w:r>
        <w:r w:rsidR="00B6456A">
          <w:rPr>
            <w:noProof/>
            <w:webHidden/>
          </w:rPr>
          <w:fldChar w:fldCharType="begin"/>
        </w:r>
        <w:r w:rsidR="00B6456A">
          <w:rPr>
            <w:noProof/>
            <w:webHidden/>
          </w:rPr>
          <w:instrText xml:space="preserve"> PAGEREF _Toc425169584 \h </w:instrText>
        </w:r>
        <w:r w:rsidR="00B6456A">
          <w:rPr>
            <w:noProof/>
            <w:webHidden/>
          </w:rPr>
        </w:r>
        <w:r w:rsidR="00B6456A">
          <w:rPr>
            <w:noProof/>
            <w:webHidden/>
          </w:rPr>
          <w:fldChar w:fldCharType="separate"/>
        </w:r>
        <w:r w:rsidR="00B6456A">
          <w:rPr>
            <w:noProof/>
            <w:webHidden/>
          </w:rPr>
          <w:t>6</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5" w:history="1">
        <w:r w:rsidR="00B6456A" w:rsidRPr="006B0574">
          <w:rPr>
            <w:rStyle w:val="Hyperlink"/>
            <w:noProof/>
          </w:rPr>
          <w:t>11  Application of former Act [</w:t>
        </w:r>
        <w:r w:rsidR="00B6456A" w:rsidRPr="006B0574">
          <w:rPr>
            <w:rStyle w:val="Hyperlink"/>
            <w:i/>
            <w:iCs/>
            <w:noProof/>
          </w:rPr>
          <w:t>see</w:t>
        </w:r>
        <w:r w:rsidR="00B6456A" w:rsidRPr="006B0574">
          <w:rPr>
            <w:rStyle w:val="Hyperlink"/>
            <w:noProof/>
          </w:rPr>
          <w:t xml:space="preserve"> Note 2]</w:t>
        </w:r>
        <w:r w:rsidR="00B6456A">
          <w:rPr>
            <w:noProof/>
            <w:webHidden/>
          </w:rPr>
          <w:tab/>
        </w:r>
        <w:r w:rsidR="00B6456A">
          <w:rPr>
            <w:noProof/>
            <w:webHidden/>
          </w:rPr>
          <w:fldChar w:fldCharType="begin"/>
        </w:r>
        <w:r w:rsidR="00B6456A">
          <w:rPr>
            <w:noProof/>
            <w:webHidden/>
          </w:rPr>
          <w:instrText xml:space="preserve"> PAGEREF _Toc425169585 \h </w:instrText>
        </w:r>
        <w:r w:rsidR="00B6456A">
          <w:rPr>
            <w:noProof/>
            <w:webHidden/>
          </w:rPr>
        </w:r>
        <w:r w:rsidR="00B6456A">
          <w:rPr>
            <w:noProof/>
            <w:webHidden/>
          </w:rPr>
          <w:fldChar w:fldCharType="separate"/>
        </w:r>
        <w:r w:rsidR="00B6456A">
          <w:rPr>
            <w:noProof/>
            <w:webHidden/>
          </w:rPr>
          <w:t>7</w:t>
        </w:r>
        <w:r w:rsidR="00B6456A">
          <w:rPr>
            <w:noProof/>
            <w:webHidden/>
          </w:rPr>
          <w:fldChar w:fldCharType="end"/>
        </w:r>
      </w:hyperlink>
    </w:p>
    <w:p w:rsidR="00B6456A" w:rsidRDefault="008B12E5">
      <w:pPr>
        <w:pStyle w:val="TOC5"/>
        <w:rPr>
          <w:rFonts w:asciiTheme="minorHAnsi" w:hAnsiTheme="minorHAnsi" w:cstheme="minorBidi"/>
          <w:noProof/>
          <w:kern w:val="0"/>
          <w:sz w:val="22"/>
          <w:szCs w:val="22"/>
        </w:rPr>
      </w:pPr>
      <w:hyperlink w:anchor="_Toc425169586" w:history="1">
        <w:r w:rsidR="00B6456A" w:rsidRPr="006B0574">
          <w:rPr>
            <w:rStyle w:val="Hyperlink"/>
            <w:noProof/>
          </w:rPr>
          <w:t>12  Application</w:t>
        </w:r>
        <w:r w:rsidR="00B6456A">
          <w:rPr>
            <w:noProof/>
            <w:webHidden/>
          </w:rPr>
          <w:tab/>
        </w:r>
        <w:r w:rsidR="00B6456A">
          <w:rPr>
            <w:noProof/>
            <w:webHidden/>
          </w:rPr>
          <w:fldChar w:fldCharType="begin"/>
        </w:r>
        <w:r w:rsidR="00B6456A">
          <w:rPr>
            <w:noProof/>
            <w:webHidden/>
          </w:rPr>
          <w:instrText xml:space="preserve"> PAGEREF _Toc425169586 \h </w:instrText>
        </w:r>
        <w:r w:rsidR="00B6456A">
          <w:rPr>
            <w:noProof/>
            <w:webHidden/>
          </w:rPr>
        </w:r>
        <w:r w:rsidR="00B6456A">
          <w:rPr>
            <w:noProof/>
            <w:webHidden/>
          </w:rPr>
          <w:fldChar w:fldCharType="separate"/>
        </w:r>
        <w:r w:rsidR="00B6456A">
          <w:rPr>
            <w:noProof/>
            <w:webHidden/>
          </w:rPr>
          <w:t>8</w:t>
        </w:r>
        <w:r w:rsidR="00B6456A">
          <w:rPr>
            <w:noProof/>
            <w:webHidden/>
          </w:rPr>
          <w:fldChar w:fldCharType="end"/>
        </w:r>
      </w:hyperlink>
    </w:p>
    <w:p w:rsidR="00831C0A" w:rsidRDefault="00B6456A">
      <w:r>
        <w:rPr>
          <w:kern w:val="28"/>
          <w:sz w:val="18"/>
          <w:szCs w:val="18"/>
        </w:rPr>
        <w:fldChar w:fldCharType="end"/>
      </w:r>
    </w:p>
    <w:p w:rsidR="00831C0A" w:rsidRDefault="00831C0A">
      <w:pPr>
        <w:sectPr w:rsidR="00831C0A" w:rsidSect="009467DD">
          <w:headerReference w:type="even" r:id="rId14"/>
          <w:headerReference w:type="default" r:id="rId15"/>
          <w:pgSz w:w="11906" w:h="16838" w:code="9"/>
          <w:pgMar w:top="2268" w:right="2410" w:bottom="3827" w:left="2410" w:header="567" w:footer="3118" w:gutter="0"/>
          <w:pgNumType w:fmt="lowerRoman" w:start="1"/>
          <w:cols w:space="709"/>
        </w:sectPr>
      </w:pPr>
    </w:p>
    <w:p w:rsidR="001D743F" w:rsidRDefault="001D743F" w:rsidP="001D743F">
      <w:r>
        <w:rPr>
          <w:noProof/>
          <w:sz w:val="20"/>
          <w:szCs w:val="20"/>
        </w:rPr>
        <w:lastRenderedPageBreak/>
        <w:drawing>
          <wp:inline distT="0" distB="0" distL="0" distR="0" wp14:anchorId="0DE67F81" wp14:editId="5EB62040">
            <wp:extent cx="17589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8950" cy="1295400"/>
                    </a:xfrm>
                    <a:prstGeom prst="rect">
                      <a:avLst/>
                    </a:prstGeom>
                    <a:noFill/>
                    <a:ln>
                      <a:noFill/>
                    </a:ln>
                  </pic:spPr>
                </pic:pic>
              </a:graphicData>
            </a:graphic>
          </wp:inline>
        </w:drawing>
      </w:r>
    </w:p>
    <w:p w:rsidR="001D743F" w:rsidRDefault="001D743F" w:rsidP="001D743F">
      <w:pPr>
        <w:spacing w:line="240" w:lineRule="auto"/>
      </w:pPr>
    </w:p>
    <w:p w:rsidR="001D743F" w:rsidRDefault="001D743F" w:rsidP="001D743F"/>
    <w:p w:rsidR="001D743F" w:rsidRDefault="001D743F" w:rsidP="001D743F">
      <w:pPr>
        <w:pStyle w:val="ShortT"/>
        <w:spacing w:before="800"/>
        <w:rPr>
          <w:color w:val="000000"/>
        </w:rPr>
      </w:pPr>
      <w:r>
        <w:rPr>
          <w:color w:val="000000"/>
        </w:rPr>
        <w:t>Parliamentary Retiring Allowances (Increases) Act 1971</w:t>
      </w:r>
    </w:p>
    <w:p w:rsidR="001D743F" w:rsidRPr="005F2760" w:rsidRDefault="001D743F" w:rsidP="001D743F"/>
    <w:p w:rsidR="001D743F" w:rsidRPr="001D743F" w:rsidRDefault="001D743F" w:rsidP="001D743F">
      <w:pPr>
        <w:pStyle w:val="Actno"/>
        <w:spacing w:before="800"/>
        <w:rPr>
          <w:color w:val="000000"/>
          <w:sz w:val="28"/>
          <w:szCs w:val="28"/>
        </w:rPr>
      </w:pPr>
      <w:r w:rsidRPr="001D743F">
        <w:rPr>
          <w:sz w:val="28"/>
          <w:szCs w:val="28"/>
        </w:rPr>
        <w:t>No. 75</w:t>
      </w:r>
      <w:r w:rsidRPr="001D743F">
        <w:rPr>
          <w:color w:val="000000"/>
          <w:sz w:val="28"/>
          <w:szCs w:val="28"/>
        </w:rPr>
        <w:t xml:space="preserve"> of 1971</w:t>
      </w:r>
    </w:p>
    <w:p w:rsidR="001D743F" w:rsidRPr="009A0728" w:rsidRDefault="001D743F" w:rsidP="001D743F">
      <w:pPr>
        <w:pBdr>
          <w:bottom w:val="single" w:sz="6" w:space="0" w:color="auto"/>
        </w:pBdr>
        <w:spacing w:before="400" w:line="240" w:lineRule="auto"/>
        <w:rPr>
          <w:rFonts w:eastAsia="Times New Roman"/>
          <w:b/>
          <w:sz w:val="28"/>
        </w:rPr>
      </w:pPr>
    </w:p>
    <w:p w:rsidR="001D743F" w:rsidRPr="009A0728" w:rsidRDefault="001D743F" w:rsidP="001D743F">
      <w:pPr>
        <w:spacing w:line="40" w:lineRule="exact"/>
        <w:rPr>
          <w:rFonts w:eastAsia="Calibri"/>
          <w:b/>
          <w:sz w:val="28"/>
        </w:rPr>
      </w:pPr>
    </w:p>
    <w:p w:rsidR="001D743F" w:rsidRPr="009A0728" w:rsidRDefault="001D743F" w:rsidP="001D743F">
      <w:pPr>
        <w:pBdr>
          <w:top w:val="single" w:sz="12" w:space="0" w:color="auto"/>
        </w:pBdr>
        <w:spacing w:line="240" w:lineRule="auto"/>
        <w:rPr>
          <w:rFonts w:eastAsia="Times New Roman"/>
          <w:b/>
          <w:sz w:val="28"/>
        </w:rPr>
      </w:pPr>
    </w:p>
    <w:p w:rsidR="00831C0A" w:rsidRDefault="0083091D" w:rsidP="001D743F">
      <w:pPr>
        <w:pStyle w:val="LongT"/>
        <w:spacing w:before="400"/>
      </w:pPr>
      <w:r>
        <w:t>An Act to provide for Increases in certain Parliamentary Retiring Allowances</w:t>
      </w:r>
    </w:p>
    <w:p w:rsidR="001D743F" w:rsidRDefault="001D743F" w:rsidP="001D743F">
      <w:pPr>
        <w:pStyle w:val="AssentDt"/>
        <w:spacing w:before="240"/>
        <w:rPr>
          <w:sz w:val="24"/>
        </w:rPr>
      </w:pPr>
      <w:bookmarkStart w:id="0" w:name="_Toc7922594"/>
      <w:r>
        <w:rPr>
          <w:sz w:val="24"/>
        </w:rPr>
        <w:t>[</w:t>
      </w:r>
      <w:r>
        <w:rPr>
          <w:i/>
          <w:sz w:val="24"/>
        </w:rPr>
        <w:t xml:space="preserve">Assented to </w:t>
      </w:r>
      <w:r w:rsidR="008B12E5">
        <w:rPr>
          <w:i/>
          <w:sz w:val="24"/>
        </w:rPr>
        <w:t>1 October 1971</w:t>
      </w:r>
      <w:bookmarkStart w:id="1" w:name="_GoBack"/>
      <w:bookmarkEnd w:id="1"/>
      <w:r>
        <w:rPr>
          <w:sz w:val="24"/>
        </w:rPr>
        <w:t>]</w:t>
      </w:r>
    </w:p>
    <w:p w:rsidR="001D743F" w:rsidRPr="00B15682" w:rsidRDefault="001D743F" w:rsidP="001D743F">
      <w:pPr>
        <w:spacing w:before="240" w:line="240" w:lineRule="auto"/>
        <w:rPr>
          <w:sz w:val="32"/>
        </w:rPr>
      </w:pPr>
      <w:r w:rsidRPr="00B15682">
        <w:rPr>
          <w:sz w:val="32"/>
        </w:rPr>
        <w:t>The Parliament of Australia enacts:</w:t>
      </w:r>
    </w:p>
    <w:p w:rsidR="00831C0A" w:rsidRDefault="0083091D">
      <w:pPr>
        <w:pStyle w:val="Heading5"/>
      </w:pPr>
      <w:bookmarkStart w:id="2" w:name="_Toc425169575"/>
      <w:r>
        <w:rPr>
          <w:rStyle w:val="CharSectno"/>
        </w:rPr>
        <w:t>1</w:t>
      </w:r>
      <w:r>
        <w:t xml:space="preserve">  Short title</w:t>
      </w:r>
      <w:bookmarkEnd w:id="0"/>
      <w:bookmarkEnd w:id="2"/>
    </w:p>
    <w:p w:rsidR="00831C0A" w:rsidRDefault="0083091D">
      <w:pPr>
        <w:pStyle w:val="Subsection"/>
      </w:pPr>
      <w:r>
        <w:tab/>
      </w:r>
      <w:r>
        <w:tab/>
        <w:t xml:space="preserve">This Act may be cited as the </w:t>
      </w:r>
      <w:r>
        <w:rPr>
          <w:i/>
          <w:iCs/>
        </w:rPr>
        <w:t>Parliamentary Retiring Allowances (Increases) Act 1971</w:t>
      </w:r>
      <w:r>
        <w:t>.</w:t>
      </w:r>
    </w:p>
    <w:p w:rsidR="00831C0A" w:rsidRDefault="0083091D">
      <w:pPr>
        <w:pStyle w:val="Heading5"/>
      </w:pPr>
      <w:bookmarkStart w:id="3" w:name="_Toc7922595"/>
      <w:bookmarkStart w:id="4" w:name="_Toc425169576"/>
      <w:r>
        <w:rPr>
          <w:rStyle w:val="CharSectno"/>
        </w:rPr>
        <w:lastRenderedPageBreak/>
        <w:t>2</w:t>
      </w:r>
      <w:r>
        <w:t xml:space="preserve">  Commencement</w:t>
      </w:r>
      <w:bookmarkEnd w:id="3"/>
      <w:bookmarkEnd w:id="4"/>
    </w:p>
    <w:p w:rsidR="00831C0A" w:rsidRDefault="0083091D">
      <w:pPr>
        <w:pStyle w:val="Subsection"/>
      </w:pPr>
      <w:r>
        <w:tab/>
      </w:r>
      <w:r>
        <w:tab/>
        <w:t>This Act shall come into operation on the day on which it receives the Royal Assent.</w:t>
      </w:r>
    </w:p>
    <w:p w:rsidR="00831C0A" w:rsidRDefault="0083091D">
      <w:pPr>
        <w:pStyle w:val="Heading5"/>
      </w:pPr>
      <w:bookmarkStart w:id="5" w:name="_Toc7922596"/>
      <w:bookmarkStart w:id="6" w:name="_Toc425169577"/>
      <w:r>
        <w:rPr>
          <w:rStyle w:val="CharSectno"/>
        </w:rPr>
        <w:t>3</w:t>
      </w:r>
      <w:r>
        <w:t xml:space="preserve">  Increases in rates of pensions in relation to persons who died or retired before 1 July 1962</w:t>
      </w:r>
      <w:bookmarkEnd w:id="5"/>
      <w:bookmarkEnd w:id="6"/>
    </w:p>
    <w:p w:rsidR="00831C0A" w:rsidRDefault="0083091D">
      <w:pPr>
        <w:pStyle w:val="Subsection"/>
      </w:pPr>
      <w:r>
        <w:tab/>
        <w:t>(1)</w:t>
      </w:r>
      <w:r>
        <w:tab/>
        <w:t>A person:</w:t>
      </w:r>
    </w:p>
    <w:p w:rsidR="00831C0A" w:rsidRDefault="0083091D">
      <w:pPr>
        <w:pStyle w:val="indenta"/>
      </w:pPr>
      <w:r>
        <w:tab/>
        <w:t>(a)</w:t>
      </w:r>
      <w:r>
        <w:tab/>
        <w:t xml:space="preserve">who was, immediately before the commencement of this Act entitled to a pension in accordance with the </w:t>
      </w:r>
      <w:r>
        <w:rPr>
          <w:i/>
          <w:iCs/>
        </w:rPr>
        <w:t>Parliamentary Retiring Allowances Act 1948</w:t>
      </w:r>
      <w:r>
        <w:rPr>
          <w:i/>
          <w:iCs/>
        </w:rPr>
        <w:noBreakHyphen/>
        <w:t>1955</w:t>
      </w:r>
      <w:r>
        <w:t xml:space="preserve">; or </w:t>
      </w:r>
    </w:p>
    <w:p w:rsidR="00831C0A" w:rsidRDefault="0083091D">
      <w:pPr>
        <w:pStyle w:val="indenta"/>
      </w:pPr>
      <w:r>
        <w:tab/>
        <w:t>(b)</w:t>
      </w:r>
      <w:r>
        <w:tab/>
        <w:t xml:space="preserve">who was, immediately before the commencement of this Act, entitled to a pension in accordance with the </w:t>
      </w:r>
      <w:r>
        <w:rPr>
          <w:i/>
          <w:iCs/>
        </w:rPr>
        <w:t>Parliamentary Retiring Allowances Act 1948</w:t>
      </w:r>
      <w:r>
        <w:rPr>
          <w:i/>
          <w:iCs/>
        </w:rPr>
        <w:noBreakHyphen/>
        <w:t>1959</w:t>
      </w:r>
      <w:r>
        <w:t xml:space="preserve"> and in relation to whom, or, in the case of a person to whom pension was payable as a widow, in relation to whose deceased husband, section 18 of the </w:t>
      </w:r>
      <w:r>
        <w:rPr>
          <w:i/>
          <w:iCs/>
        </w:rPr>
        <w:t>Parliamentary Retiring Allowances Act 1964</w:t>
      </w:r>
      <w:r>
        <w:rPr>
          <w:i/>
          <w:iCs/>
        </w:rPr>
        <w:noBreakHyphen/>
        <w:t>1966</w:t>
      </w:r>
      <w:r>
        <w:t xml:space="preserve"> applied,</w:t>
      </w:r>
    </w:p>
    <w:p w:rsidR="00831C0A" w:rsidRDefault="0083091D">
      <w:pPr>
        <w:pStyle w:val="subsection2"/>
      </w:pPr>
      <w:r>
        <w:t>is entitled to an increase in the rate of that pension in accordance with the following table:</w:t>
      </w:r>
    </w:p>
    <w:p w:rsidR="00831C0A" w:rsidRDefault="00831C0A"/>
    <w:tbl>
      <w:tblPr>
        <w:tblW w:w="0" w:type="auto"/>
        <w:tblInd w:w="1242" w:type="dxa"/>
        <w:tblLayout w:type="fixed"/>
        <w:tblLook w:val="0000" w:firstRow="0" w:lastRow="0" w:firstColumn="0" w:lastColumn="0" w:noHBand="0" w:noVBand="0"/>
      </w:tblPr>
      <w:tblGrid>
        <w:gridCol w:w="3166"/>
        <w:gridCol w:w="2788"/>
      </w:tblGrid>
      <w:tr w:rsidR="00831C0A">
        <w:tc>
          <w:tcPr>
            <w:tcW w:w="3166" w:type="dxa"/>
            <w:tcBorders>
              <w:top w:val="single" w:sz="6" w:space="0" w:color="auto"/>
              <w:left w:val="nil"/>
              <w:bottom w:val="single" w:sz="6" w:space="0" w:color="auto"/>
              <w:right w:val="nil"/>
            </w:tcBorders>
          </w:tcPr>
          <w:p w:rsidR="00831C0A" w:rsidRDefault="0083091D">
            <w:pPr>
              <w:spacing w:before="100" w:after="60"/>
              <w:jc w:val="center"/>
            </w:pPr>
            <w:r>
              <w:rPr>
                <w:color w:val="000000"/>
              </w:rPr>
              <w:br/>
            </w:r>
            <w:r>
              <w:t xml:space="preserve">Weekly amount of pension </w:t>
            </w:r>
          </w:p>
        </w:tc>
        <w:tc>
          <w:tcPr>
            <w:tcW w:w="2788" w:type="dxa"/>
            <w:tcBorders>
              <w:top w:val="single" w:sz="6" w:space="0" w:color="auto"/>
              <w:left w:val="nil"/>
              <w:bottom w:val="single" w:sz="6" w:space="0" w:color="auto"/>
              <w:right w:val="nil"/>
            </w:tcBorders>
          </w:tcPr>
          <w:p w:rsidR="00831C0A" w:rsidRDefault="0083091D">
            <w:pPr>
              <w:spacing w:before="100" w:after="60"/>
              <w:jc w:val="center"/>
            </w:pPr>
            <w:r>
              <w:t>Weekly amount of increase in pension</w:t>
            </w:r>
          </w:p>
        </w:tc>
      </w:tr>
      <w:tr w:rsidR="00831C0A">
        <w:tc>
          <w:tcPr>
            <w:tcW w:w="3166" w:type="dxa"/>
            <w:tcBorders>
              <w:top w:val="nil"/>
              <w:left w:val="nil"/>
              <w:bottom w:val="nil"/>
              <w:right w:val="nil"/>
            </w:tcBorders>
          </w:tcPr>
          <w:p w:rsidR="00831C0A" w:rsidRDefault="0083091D">
            <w:pPr>
              <w:spacing w:before="120"/>
              <w:jc w:val="center"/>
            </w:pPr>
            <w:r>
              <w:t>$</w:t>
            </w:r>
          </w:p>
        </w:tc>
        <w:tc>
          <w:tcPr>
            <w:tcW w:w="2788" w:type="dxa"/>
            <w:tcBorders>
              <w:top w:val="nil"/>
              <w:left w:val="nil"/>
              <w:bottom w:val="nil"/>
              <w:right w:val="nil"/>
            </w:tcBorders>
          </w:tcPr>
          <w:p w:rsidR="00831C0A" w:rsidRDefault="0083091D">
            <w:pPr>
              <w:spacing w:before="120"/>
              <w:jc w:val="center"/>
            </w:pPr>
            <w:r>
              <w:t>$</w:t>
            </w:r>
          </w:p>
        </w:tc>
      </w:tr>
      <w:tr w:rsidR="00831C0A">
        <w:tc>
          <w:tcPr>
            <w:tcW w:w="3166" w:type="dxa"/>
            <w:tcBorders>
              <w:top w:val="nil"/>
              <w:left w:val="nil"/>
              <w:bottom w:val="nil"/>
              <w:right w:val="nil"/>
            </w:tcBorders>
          </w:tcPr>
          <w:p w:rsidR="00831C0A" w:rsidRDefault="0083091D">
            <w:pPr>
              <w:jc w:val="center"/>
            </w:pPr>
            <w:r>
              <w:t xml:space="preserve">48.16 </w:t>
            </w:r>
          </w:p>
        </w:tc>
        <w:tc>
          <w:tcPr>
            <w:tcW w:w="2788" w:type="dxa"/>
            <w:tcBorders>
              <w:top w:val="nil"/>
              <w:left w:val="nil"/>
              <w:bottom w:val="nil"/>
              <w:right w:val="nil"/>
            </w:tcBorders>
          </w:tcPr>
          <w:p w:rsidR="00831C0A" w:rsidRDefault="0083091D">
            <w:pPr>
              <w:jc w:val="center"/>
            </w:pPr>
            <w:r>
              <w:t>13.98</w:t>
            </w:r>
          </w:p>
        </w:tc>
      </w:tr>
      <w:tr w:rsidR="00831C0A">
        <w:tc>
          <w:tcPr>
            <w:tcW w:w="3166" w:type="dxa"/>
            <w:tcBorders>
              <w:top w:val="nil"/>
              <w:left w:val="nil"/>
              <w:bottom w:val="nil"/>
              <w:right w:val="nil"/>
            </w:tcBorders>
          </w:tcPr>
          <w:p w:rsidR="00831C0A" w:rsidRDefault="0083091D">
            <w:pPr>
              <w:jc w:val="center"/>
            </w:pPr>
            <w:r>
              <w:t>56.89</w:t>
            </w:r>
          </w:p>
        </w:tc>
        <w:tc>
          <w:tcPr>
            <w:tcW w:w="2788" w:type="dxa"/>
            <w:tcBorders>
              <w:top w:val="nil"/>
              <w:left w:val="nil"/>
              <w:bottom w:val="nil"/>
              <w:right w:val="nil"/>
            </w:tcBorders>
          </w:tcPr>
          <w:p w:rsidR="00831C0A" w:rsidRDefault="0083091D">
            <w:pPr>
              <w:jc w:val="center"/>
            </w:pPr>
            <w:r>
              <w:t>16.78</w:t>
            </w:r>
          </w:p>
        </w:tc>
      </w:tr>
      <w:tr w:rsidR="00831C0A">
        <w:tc>
          <w:tcPr>
            <w:tcW w:w="3166" w:type="dxa"/>
            <w:tcBorders>
              <w:top w:val="nil"/>
              <w:left w:val="nil"/>
              <w:bottom w:val="nil"/>
              <w:right w:val="nil"/>
            </w:tcBorders>
          </w:tcPr>
          <w:p w:rsidR="00831C0A" w:rsidRDefault="0083091D">
            <w:pPr>
              <w:jc w:val="center"/>
            </w:pPr>
            <w:r>
              <w:t>57.79</w:t>
            </w:r>
          </w:p>
        </w:tc>
        <w:tc>
          <w:tcPr>
            <w:tcW w:w="2788" w:type="dxa"/>
            <w:tcBorders>
              <w:top w:val="nil"/>
              <w:left w:val="nil"/>
              <w:bottom w:val="nil"/>
              <w:right w:val="nil"/>
            </w:tcBorders>
          </w:tcPr>
          <w:p w:rsidR="00831C0A" w:rsidRDefault="0083091D">
            <w:pPr>
              <w:jc w:val="center"/>
            </w:pPr>
            <w:r>
              <w:t>16.78</w:t>
            </w:r>
          </w:p>
        </w:tc>
      </w:tr>
      <w:tr w:rsidR="00831C0A">
        <w:tc>
          <w:tcPr>
            <w:tcW w:w="3166" w:type="dxa"/>
            <w:tcBorders>
              <w:top w:val="nil"/>
              <w:left w:val="nil"/>
              <w:bottom w:val="single" w:sz="6" w:space="0" w:color="auto"/>
              <w:right w:val="nil"/>
            </w:tcBorders>
          </w:tcPr>
          <w:p w:rsidR="00831C0A" w:rsidRDefault="0083091D">
            <w:pPr>
              <w:spacing w:after="120"/>
              <w:jc w:val="center"/>
            </w:pPr>
            <w:r>
              <w:t>63.79</w:t>
            </w:r>
          </w:p>
        </w:tc>
        <w:tc>
          <w:tcPr>
            <w:tcW w:w="2788" w:type="dxa"/>
            <w:tcBorders>
              <w:top w:val="nil"/>
              <w:left w:val="nil"/>
              <w:bottom w:val="single" w:sz="6" w:space="0" w:color="auto"/>
              <w:right w:val="nil"/>
            </w:tcBorders>
          </w:tcPr>
          <w:p w:rsidR="00831C0A" w:rsidRDefault="0083091D">
            <w:pPr>
              <w:spacing w:after="120"/>
              <w:jc w:val="center"/>
            </w:pPr>
            <w:r>
              <w:t>16.78</w:t>
            </w:r>
          </w:p>
        </w:tc>
      </w:tr>
    </w:tbl>
    <w:p w:rsidR="00831C0A" w:rsidRDefault="0083091D">
      <w:pPr>
        <w:pStyle w:val="Subsection"/>
        <w:spacing w:before="360"/>
      </w:pPr>
      <w:r>
        <w:tab/>
        <w:t>(2)</w:t>
      </w:r>
      <w:r>
        <w:tab/>
        <w:t xml:space="preserve">Where a male person the rate of whose pension is increased under the last preceding subsection dies, any pension to which his widow becomes entitled in accordance with paragraph (a) of subsection (2) of section 19 of the </w:t>
      </w:r>
      <w:r>
        <w:rPr>
          <w:i/>
          <w:iCs/>
        </w:rPr>
        <w:t>Parliamentary Retiring Allowances Act 1948</w:t>
      </w:r>
      <w:r>
        <w:rPr>
          <w:i/>
          <w:iCs/>
        </w:rPr>
        <w:noBreakHyphen/>
        <w:t>1955</w:t>
      </w:r>
      <w:r>
        <w:t xml:space="preserve"> or of the </w:t>
      </w:r>
      <w:r>
        <w:rPr>
          <w:i/>
          <w:iCs/>
        </w:rPr>
        <w:t>Parliamentary Retiring Allowances Act 1948</w:t>
      </w:r>
      <w:r>
        <w:rPr>
          <w:i/>
          <w:iCs/>
        </w:rPr>
        <w:noBreakHyphen/>
        <w:t>1959</w:t>
      </w:r>
      <w:r>
        <w:t>, as the case may be, shall be at the rate of Sixty</w:t>
      </w:r>
      <w:r>
        <w:noBreakHyphen/>
        <w:t xml:space="preserve">two dollars fourteen cents a week. </w:t>
      </w:r>
    </w:p>
    <w:p w:rsidR="00831C0A" w:rsidRDefault="0083091D">
      <w:pPr>
        <w:pStyle w:val="Heading5"/>
      </w:pPr>
      <w:bookmarkStart w:id="7" w:name="_Toc7922597"/>
      <w:bookmarkStart w:id="8" w:name="_Toc425169578"/>
      <w:r>
        <w:rPr>
          <w:rStyle w:val="CharSectno"/>
        </w:rPr>
        <w:lastRenderedPageBreak/>
        <w:t>4</w:t>
      </w:r>
      <w:r>
        <w:t xml:space="preserve">  Increases in rates of pensions in relation to persons who died or retired on or after 1 July 1962 and before 1 November 1964 </w:t>
      </w:r>
      <w:r>
        <w:rPr>
          <w:b w:val="0"/>
          <w:bCs w:val="0"/>
          <w:sz w:val="18"/>
          <w:szCs w:val="18"/>
        </w:rPr>
        <w:t>[</w:t>
      </w:r>
      <w:r>
        <w:rPr>
          <w:b w:val="0"/>
          <w:bCs w:val="0"/>
          <w:i/>
          <w:iCs/>
          <w:sz w:val="18"/>
          <w:szCs w:val="18"/>
        </w:rPr>
        <w:t>see</w:t>
      </w:r>
      <w:r>
        <w:rPr>
          <w:b w:val="0"/>
          <w:bCs w:val="0"/>
          <w:sz w:val="18"/>
          <w:szCs w:val="18"/>
        </w:rPr>
        <w:t xml:space="preserve"> Note 2]</w:t>
      </w:r>
      <w:bookmarkEnd w:id="7"/>
      <w:bookmarkEnd w:id="8"/>
      <w:r>
        <w:t xml:space="preserve"> </w:t>
      </w:r>
    </w:p>
    <w:p w:rsidR="00831C0A" w:rsidRDefault="0083091D">
      <w:pPr>
        <w:pStyle w:val="Subsection"/>
      </w:pPr>
      <w:r>
        <w:tab/>
        <w:t>(1)</w:t>
      </w:r>
      <w:r>
        <w:tab/>
        <w:t xml:space="preserve">A person who was, immediately before the date of commencement of this Act, entitled to a pension in accordance with the </w:t>
      </w:r>
      <w:r>
        <w:rPr>
          <w:i/>
          <w:iCs/>
        </w:rPr>
        <w:t>Parliamentary Retiring Allowances Act 1948</w:t>
      </w:r>
      <w:r>
        <w:rPr>
          <w:i/>
          <w:iCs/>
        </w:rPr>
        <w:noBreakHyphen/>
        <w:t>1959</w:t>
      </w:r>
      <w:r>
        <w:t xml:space="preserve"> and in relation to whose pension a provision of section 17 of the </w:t>
      </w:r>
      <w:r>
        <w:rPr>
          <w:i/>
          <w:iCs/>
        </w:rPr>
        <w:t>Parliamentary Retiring Allowances Act 1964</w:t>
      </w:r>
      <w:r>
        <w:rPr>
          <w:i/>
          <w:iCs/>
        </w:rPr>
        <w:noBreakHyphen/>
        <w:t>1966</w:t>
      </w:r>
      <w:r>
        <w:t xml:space="preserve"> applied immediately before that date is entitled to an increase in the rate of that pension in accordance with the following table:</w:t>
      </w:r>
    </w:p>
    <w:p w:rsidR="00831C0A" w:rsidRDefault="00831C0A"/>
    <w:tbl>
      <w:tblPr>
        <w:tblW w:w="0" w:type="auto"/>
        <w:tblInd w:w="1242" w:type="dxa"/>
        <w:tblLayout w:type="fixed"/>
        <w:tblLook w:val="0000" w:firstRow="0" w:lastRow="0" w:firstColumn="0" w:lastColumn="0" w:noHBand="0" w:noVBand="0"/>
      </w:tblPr>
      <w:tblGrid>
        <w:gridCol w:w="3184"/>
        <w:gridCol w:w="2628"/>
      </w:tblGrid>
      <w:tr w:rsidR="00831C0A">
        <w:tc>
          <w:tcPr>
            <w:tcW w:w="3184" w:type="dxa"/>
            <w:tcBorders>
              <w:top w:val="single" w:sz="6" w:space="0" w:color="auto"/>
              <w:left w:val="nil"/>
              <w:bottom w:val="single" w:sz="6" w:space="0" w:color="auto"/>
              <w:right w:val="nil"/>
            </w:tcBorders>
          </w:tcPr>
          <w:p w:rsidR="00831C0A" w:rsidRDefault="0083091D">
            <w:pPr>
              <w:spacing w:before="100" w:after="60"/>
              <w:jc w:val="center"/>
            </w:pPr>
            <w:r>
              <w:rPr>
                <w:color w:val="000000"/>
              </w:rPr>
              <w:br/>
            </w:r>
            <w:r>
              <w:t>Annual amount of pension</w:t>
            </w:r>
          </w:p>
        </w:tc>
        <w:tc>
          <w:tcPr>
            <w:tcW w:w="2628" w:type="dxa"/>
            <w:tcBorders>
              <w:top w:val="single" w:sz="6" w:space="0" w:color="auto"/>
              <w:left w:val="nil"/>
              <w:bottom w:val="single" w:sz="6" w:space="0" w:color="auto"/>
              <w:right w:val="nil"/>
            </w:tcBorders>
          </w:tcPr>
          <w:p w:rsidR="00831C0A" w:rsidRDefault="0083091D">
            <w:pPr>
              <w:spacing w:before="100" w:after="60"/>
              <w:jc w:val="center"/>
            </w:pPr>
            <w:r>
              <w:t>Annual amount of increase in pension</w:t>
            </w:r>
          </w:p>
        </w:tc>
      </w:tr>
      <w:tr w:rsidR="00831C0A">
        <w:tc>
          <w:tcPr>
            <w:tcW w:w="3184" w:type="dxa"/>
            <w:tcBorders>
              <w:top w:val="nil"/>
              <w:left w:val="nil"/>
              <w:bottom w:val="nil"/>
              <w:right w:val="nil"/>
            </w:tcBorders>
          </w:tcPr>
          <w:p w:rsidR="00831C0A" w:rsidRDefault="0083091D">
            <w:pPr>
              <w:spacing w:before="120"/>
              <w:jc w:val="center"/>
            </w:pPr>
            <w:r>
              <w:t>$</w:t>
            </w:r>
          </w:p>
        </w:tc>
        <w:tc>
          <w:tcPr>
            <w:tcW w:w="2628" w:type="dxa"/>
            <w:tcBorders>
              <w:top w:val="nil"/>
              <w:left w:val="nil"/>
              <w:bottom w:val="nil"/>
              <w:right w:val="nil"/>
            </w:tcBorders>
          </w:tcPr>
          <w:p w:rsidR="00831C0A" w:rsidRDefault="0083091D">
            <w:pPr>
              <w:spacing w:before="120"/>
              <w:jc w:val="center"/>
            </w:pPr>
            <w:r>
              <w:t>$</w:t>
            </w:r>
          </w:p>
        </w:tc>
      </w:tr>
      <w:tr w:rsidR="00831C0A">
        <w:tc>
          <w:tcPr>
            <w:tcW w:w="3184" w:type="dxa"/>
            <w:tcBorders>
              <w:top w:val="nil"/>
              <w:left w:val="nil"/>
              <w:bottom w:val="nil"/>
              <w:right w:val="nil"/>
            </w:tcBorders>
          </w:tcPr>
          <w:p w:rsidR="00831C0A" w:rsidRDefault="0083091D">
            <w:pPr>
              <w:jc w:val="center"/>
            </w:pPr>
            <w:r>
              <w:t>2,729.17</w:t>
            </w:r>
          </w:p>
        </w:tc>
        <w:tc>
          <w:tcPr>
            <w:tcW w:w="2628" w:type="dxa"/>
            <w:tcBorders>
              <w:top w:val="nil"/>
              <w:left w:val="nil"/>
              <w:bottom w:val="nil"/>
              <w:right w:val="nil"/>
            </w:tcBorders>
          </w:tcPr>
          <w:p w:rsidR="00831C0A" w:rsidRDefault="0083091D">
            <w:pPr>
              <w:jc w:val="center"/>
            </w:pPr>
            <w:r>
              <w:t>729.16</w:t>
            </w:r>
          </w:p>
        </w:tc>
      </w:tr>
      <w:tr w:rsidR="00831C0A">
        <w:tc>
          <w:tcPr>
            <w:tcW w:w="3184" w:type="dxa"/>
            <w:tcBorders>
              <w:top w:val="nil"/>
              <w:left w:val="nil"/>
              <w:bottom w:val="nil"/>
              <w:right w:val="nil"/>
            </w:tcBorders>
          </w:tcPr>
          <w:p w:rsidR="00831C0A" w:rsidRDefault="0083091D">
            <w:pPr>
              <w:jc w:val="center"/>
            </w:pPr>
            <w:r>
              <w:t>3,275.00</w:t>
            </w:r>
          </w:p>
        </w:tc>
        <w:tc>
          <w:tcPr>
            <w:tcW w:w="2628" w:type="dxa"/>
            <w:tcBorders>
              <w:top w:val="nil"/>
              <w:left w:val="nil"/>
              <w:bottom w:val="nil"/>
              <w:right w:val="nil"/>
            </w:tcBorders>
          </w:tcPr>
          <w:p w:rsidR="00831C0A" w:rsidRDefault="0083091D">
            <w:pPr>
              <w:jc w:val="center"/>
            </w:pPr>
            <w:r>
              <w:t>875.00</w:t>
            </w:r>
          </w:p>
        </w:tc>
      </w:tr>
      <w:tr w:rsidR="00831C0A">
        <w:tc>
          <w:tcPr>
            <w:tcW w:w="3184" w:type="dxa"/>
            <w:tcBorders>
              <w:top w:val="nil"/>
              <w:left w:val="nil"/>
              <w:bottom w:val="single" w:sz="6" w:space="0" w:color="auto"/>
              <w:right w:val="nil"/>
            </w:tcBorders>
          </w:tcPr>
          <w:p w:rsidR="00831C0A" w:rsidRDefault="0083091D">
            <w:pPr>
              <w:spacing w:after="120"/>
              <w:jc w:val="center"/>
            </w:pPr>
            <w:r>
              <w:t>3,587.86</w:t>
            </w:r>
          </w:p>
        </w:tc>
        <w:tc>
          <w:tcPr>
            <w:tcW w:w="2628" w:type="dxa"/>
            <w:tcBorders>
              <w:top w:val="nil"/>
              <w:left w:val="nil"/>
              <w:bottom w:val="single" w:sz="6" w:space="0" w:color="auto"/>
              <w:right w:val="nil"/>
            </w:tcBorders>
          </w:tcPr>
          <w:p w:rsidR="00831C0A" w:rsidRDefault="0083091D">
            <w:pPr>
              <w:spacing w:after="100"/>
              <w:jc w:val="center"/>
            </w:pPr>
            <w:r>
              <w:t>875.00</w:t>
            </w:r>
          </w:p>
        </w:tc>
      </w:tr>
    </w:tbl>
    <w:p w:rsidR="00831C0A" w:rsidRDefault="00831C0A"/>
    <w:p w:rsidR="00831C0A" w:rsidRDefault="0083091D">
      <w:pPr>
        <w:pStyle w:val="Subsection"/>
      </w:pPr>
      <w:r>
        <w:tab/>
        <w:t>(2)</w:t>
      </w:r>
      <w:r>
        <w:tab/>
        <w:t xml:space="preserve">Where a male person the rate of whose pension is increased under the last preceding subsection dies, any pension to which his widow becomes entitled in accordance with paragraph (a) of subsection (2) of section 19 of the </w:t>
      </w:r>
      <w:r>
        <w:rPr>
          <w:i/>
          <w:iCs/>
        </w:rPr>
        <w:t>Parliamentary Retiring Allowances Act 1948</w:t>
      </w:r>
      <w:r>
        <w:rPr>
          <w:i/>
          <w:iCs/>
        </w:rPr>
        <w:noBreakHyphen/>
        <w:t>1959</w:t>
      </w:r>
      <w:r>
        <w:t xml:space="preserve"> shall be at the rate of Three thousand four hundred and fifty</w:t>
      </w:r>
      <w:r>
        <w:noBreakHyphen/>
        <w:t>eight dollars thirty</w:t>
      </w:r>
      <w:r>
        <w:noBreakHyphen/>
        <w:t>three cents a year.</w:t>
      </w:r>
    </w:p>
    <w:p w:rsidR="00831C0A" w:rsidRDefault="0083091D">
      <w:pPr>
        <w:pStyle w:val="Heading5"/>
      </w:pPr>
      <w:bookmarkStart w:id="9" w:name="_Toc7922598"/>
      <w:bookmarkStart w:id="10" w:name="_Toc425169579"/>
      <w:r>
        <w:rPr>
          <w:rStyle w:val="CharSectno"/>
        </w:rPr>
        <w:t>5</w:t>
      </w:r>
      <w:r>
        <w:t xml:space="preserve">  Increases in rates of pensions of persons who died or retired on or after 1 November 1964 and before 1 December 1968 </w:t>
      </w:r>
      <w:r>
        <w:rPr>
          <w:color w:val="000000"/>
        </w:rPr>
        <w:br/>
      </w:r>
      <w:r>
        <w:rPr>
          <w:b w:val="0"/>
          <w:bCs w:val="0"/>
          <w:sz w:val="18"/>
          <w:szCs w:val="18"/>
        </w:rPr>
        <w:t>[</w:t>
      </w:r>
      <w:r>
        <w:rPr>
          <w:b w:val="0"/>
          <w:bCs w:val="0"/>
          <w:i/>
          <w:iCs/>
          <w:sz w:val="18"/>
          <w:szCs w:val="18"/>
        </w:rPr>
        <w:t xml:space="preserve">see </w:t>
      </w:r>
      <w:r>
        <w:rPr>
          <w:b w:val="0"/>
          <w:bCs w:val="0"/>
          <w:sz w:val="18"/>
          <w:szCs w:val="18"/>
        </w:rPr>
        <w:t>Note 2]</w:t>
      </w:r>
      <w:bookmarkEnd w:id="9"/>
      <w:bookmarkEnd w:id="10"/>
    </w:p>
    <w:p w:rsidR="00831C0A" w:rsidRDefault="0083091D">
      <w:pPr>
        <w:pStyle w:val="Subsection"/>
      </w:pPr>
      <w:r>
        <w:tab/>
        <w:t>(1)</w:t>
      </w:r>
      <w:r>
        <w:tab/>
        <w:t xml:space="preserve">A person who was, immediately before the commencement of this Act, entitled to a pension in accordance with section 18 or section 19 of the </w:t>
      </w:r>
      <w:r>
        <w:rPr>
          <w:i/>
          <w:iCs/>
        </w:rPr>
        <w:t>Parliamentary Retiring Allowances Act 1948</w:t>
      </w:r>
      <w:r>
        <w:rPr>
          <w:i/>
          <w:iCs/>
        </w:rPr>
        <w:noBreakHyphen/>
        <w:t>1968</w:t>
      </w:r>
      <w:r>
        <w:t>, being a pension to which the person became entitled before the first day of December, One thousand nine hundred and sixty</w:t>
      </w:r>
      <w:r>
        <w:noBreakHyphen/>
        <w:t>eight, or to which the person became entitled on or after that date by reason of the death of a person who was in receipt of a pension immediately before that date, is entitled to an increase in the rate of that pension in accordance with the following table:</w:t>
      </w:r>
    </w:p>
    <w:p w:rsidR="00831C0A" w:rsidRDefault="00831C0A"/>
    <w:tbl>
      <w:tblPr>
        <w:tblW w:w="0" w:type="auto"/>
        <w:tblInd w:w="1242" w:type="dxa"/>
        <w:tblLayout w:type="fixed"/>
        <w:tblLook w:val="0000" w:firstRow="0" w:lastRow="0" w:firstColumn="0" w:lastColumn="0" w:noHBand="0" w:noVBand="0"/>
      </w:tblPr>
      <w:tblGrid>
        <w:gridCol w:w="3172"/>
        <w:gridCol w:w="2640"/>
      </w:tblGrid>
      <w:tr w:rsidR="00831C0A">
        <w:tc>
          <w:tcPr>
            <w:tcW w:w="3172" w:type="dxa"/>
            <w:tcBorders>
              <w:top w:val="single" w:sz="6" w:space="0" w:color="auto"/>
              <w:left w:val="nil"/>
              <w:bottom w:val="single" w:sz="6" w:space="0" w:color="auto"/>
              <w:right w:val="nil"/>
            </w:tcBorders>
          </w:tcPr>
          <w:p w:rsidR="00831C0A" w:rsidRDefault="0083091D">
            <w:pPr>
              <w:spacing w:before="100" w:after="60"/>
              <w:jc w:val="center"/>
            </w:pPr>
            <w:r>
              <w:rPr>
                <w:color w:val="000000"/>
              </w:rPr>
              <w:br/>
            </w:r>
            <w:r>
              <w:t>Annual amount of pension</w:t>
            </w:r>
          </w:p>
        </w:tc>
        <w:tc>
          <w:tcPr>
            <w:tcW w:w="2640" w:type="dxa"/>
            <w:tcBorders>
              <w:top w:val="single" w:sz="6" w:space="0" w:color="auto"/>
              <w:left w:val="nil"/>
              <w:bottom w:val="single" w:sz="6" w:space="0" w:color="auto"/>
              <w:right w:val="nil"/>
            </w:tcBorders>
          </w:tcPr>
          <w:p w:rsidR="00831C0A" w:rsidRDefault="0083091D">
            <w:pPr>
              <w:spacing w:before="100" w:after="60"/>
              <w:jc w:val="center"/>
            </w:pPr>
            <w:r>
              <w:t xml:space="preserve">Annual amount of increase in pension </w:t>
            </w:r>
          </w:p>
        </w:tc>
      </w:tr>
      <w:tr w:rsidR="00831C0A">
        <w:tc>
          <w:tcPr>
            <w:tcW w:w="3172" w:type="dxa"/>
            <w:tcBorders>
              <w:top w:val="nil"/>
              <w:left w:val="nil"/>
              <w:bottom w:val="nil"/>
              <w:right w:val="nil"/>
            </w:tcBorders>
          </w:tcPr>
          <w:p w:rsidR="00831C0A" w:rsidRDefault="0083091D">
            <w:pPr>
              <w:spacing w:before="120"/>
              <w:jc w:val="center"/>
            </w:pPr>
            <w:r>
              <w:t>$</w:t>
            </w:r>
          </w:p>
        </w:tc>
        <w:tc>
          <w:tcPr>
            <w:tcW w:w="2640" w:type="dxa"/>
            <w:tcBorders>
              <w:top w:val="nil"/>
              <w:left w:val="nil"/>
              <w:bottom w:val="nil"/>
              <w:right w:val="nil"/>
            </w:tcBorders>
          </w:tcPr>
          <w:p w:rsidR="00831C0A" w:rsidRDefault="0083091D">
            <w:pPr>
              <w:spacing w:before="120"/>
              <w:jc w:val="center"/>
            </w:pPr>
            <w:r>
              <w:t>$</w:t>
            </w:r>
          </w:p>
        </w:tc>
      </w:tr>
      <w:tr w:rsidR="00831C0A">
        <w:tc>
          <w:tcPr>
            <w:tcW w:w="3172" w:type="dxa"/>
            <w:tcBorders>
              <w:top w:val="nil"/>
              <w:left w:val="nil"/>
              <w:bottom w:val="nil"/>
              <w:right w:val="nil"/>
            </w:tcBorders>
          </w:tcPr>
          <w:p w:rsidR="00831C0A" w:rsidRDefault="0083091D">
            <w:pPr>
              <w:jc w:val="center"/>
            </w:pPr>
            <w:r>
              <w:t>2,916.67</w:t>
            </w:r>
          </w:p>
        </w:tc>
        <w:tc>
          <w:tcPr>
            <w:tcW w:w="2640" w:type="dxa"/>
            <w:tcBorders>
              <w:top w:val="nil"/>
              <w:left w:val="nil"/>
              <w:bottom w:val="nil"/>
              <w:right w:val="nil"/>
            </w:tcBorders>
          </w:tcPr>
          <w:p w:rsidR="00831C0A" w:rsidRDefault="0083091D">
            <w:pPr>
              <w:jc w:val="center"/>
            </w:pPr>
            <w:r>
              <w:t>729.16</w:t>
            </w:r>
          </w:p>
        </w:tc>
      </w:tr>
      <w:tr w:rsidR="00831C0A">
        <w:tc>
          <w:tcPr>
            <w:tcW w:w="3172" w:type="dxa"/>
            <w:tcBorders>
              <w:top w:val="nil"/>
              <w:left w:val="nil"/>
              <w:bottom w:val="nil"/>
              <w:right w:val="nil"/>
            </w:tcBorders>
          </w:tcPr>
          <w:p w:rsidR="00831C0A" w:rsidRDefault="0083091D">
            <w:pPr>
              <w:jc w:val="center"/>
            </w:pPr>
            <w:r>
              <w:t>3,500.00</w:t>
            </w:r>
          </w:p>
        </w:tc>
        <w:tc>
          <w:tcPr>
            <w:tcW w:w="2640" w:type="dxa"/>
            <w:tcBorders>
              <w:top w:val="nil"/>
              <w:left w:val="nil"/>
              <w:bottom w:val="nil"/>
              <w:right w:val="nil"/>
            </w:tcBorders>
          </w:tcPr>
          <w:p w:rsidR="00831C0A" w:rsidRDefault="0083091D">
            <w:pPr>
              <w:jc w:val="center"/>
            </w:pPr>
            <w:r>
              <w:t>875.00</w:t>
            </w:r>
          </w:p>
        </w:tc>
      </w:tr>
      <w:tr w:rsidR="00831C0A">
        <w:tc>
          <w:tcPr>
            <w:tcW w:w="3172" w:type="dxa"/>
            <w:tcBorders>
              <w:top w:val="nil"/>
              <w:left w:val="nil"/>
              <w:bottom w:val="single" w:sz="6" w:space="0" w:color="auto"/>
              <w:right w:val="nil"/>
            </w:tcBorders>
          </w:tcPr>
          <w:p w:rsidR="00831C0A" w:rsidRDefault="0083091D">
            <w:pPr>
              <w:spacing w:after="120"/>
              <w:jc w:val="center"/>
            </w:pPr>
            <w:r>
              <w:t>3,812.86</w:t>
            </w:r>
          </w:p>
        </w:tc>
        <w:tc>
          <w:tcPr>
            <w:tcW w:w="2640" w:type="dxa"/>
            <w:tcBorders>
              <w:top w:val="nil"/>
              <w:left w:val="nil"/>
              <w:bottom w:val="single" w:sz="6" w:space="0" w:color="auto"/>
              <w:right w:val="nil"/>
            </w:tcBorders>
          </w:tcPr>
          <w:p w:rsidR="00831C0A" w:rsidRDefault="0083091D">
            <w:pPr>
              <w:spacing w:after="120"/>
              <w:jc w:val="center"/>
            </w:pPr>
            <w:r>
              <w:t>875.00</w:t>
            </w:r>
          </w:p>
        </w:tc>
      </w:tr>
    </w:tbl>
    <w:p w:rsidR="00831C0A" w:rsidRDefault="00831C0A"/>
    <w:p w:rsidR="00831C0A" w:rsidRDefault="0083091D">
      <w:pPr>
        <w:pStyle w:val="Subsection"/>
      </w:pPr>
      <w:r>
        <w:tab/>
        <w:t>(2)</w:t>
      </w:r>
      <w:r>
        <w:tab/>
        <w:t xml:space="preserve">Where a male person the rate of whose pension is increased under the last preceding subsection dies, any pension to which his widow becomes entitled in accordance with paragraph (a) of subsection (2) of section 19 of the </w:t>
      </w:r>
      <w:r>
        <w:rPr>
          <w:i/>
          <w:iCs/>
        </w:rPr>
        <w:t>Parliamentary Retiring Allowances Act 1948</w:t>
      </w:r>
      <w:r>
        <w:rPr>
          <w:i/>
          <w:iCs/>
        </w:rPr>
        <w:noBreakHyphen/>
        <w:t>1968</w:t>
      </w:r>
      <w:r>
        <w:t xml:space="preserve"> shall be at the rate of Three thousand six hundred and forty</w:t>
      </w:r>
      <w:r>
        <w:noBreakHyphen/>
        <w:t>five dollars eighty</w:t>
      </w:r>
      <w:r>
        <w:noBreakHyphen/>
        <w:t>three cents a year.</w:t>
      </w:r>
    </w:p>
    <w:p w:rsidR="00831C0A" w:rsidRDefault="0083091D">
      <w:pPr>
        <w:pStyle w:val="Heading5"/>
      </w:pPr>
      <w:bookmarkStart w:id="11" w:name="_Toc7922599"/>
      <w:bookmarkStart w:id="12" w:name="_Toc425169580"/>
      <w:r>
        <w:rPr>
          <w:rStyle w:val="CharSectno"/>
        </w:rPr>
        <w:t>6</w:t>
      </w:r>
      <w:r>
        <w:t xml:space="preserve">  Increases in rates of pensions in relation to certain office</w:t>
      </w:r>
      <w:r>
        <w:noBreakHyphen/>
        <w:t xml:space="preserve">holders </w:t>
      </w:r>
      <w:r>
        <w:rPr>
          <w:b w:val="0"/>
          <w:bCs w:val="0"/>
          <w:sz w:val="18"/>
          <w:szCs w:val="18"/>
        </w:rPr>
        <w:t>[</w:t>
      </w:r>
      <w:r>
        <w:rPr>
          <w:b w:val="0"/>
          <w:bCs w:val="0"/>
          <w:i/>
          <w:iCs/>
          <w:sz w:val="18"/>
          <w:szCs w:val="18"/>
        </w:rPr>
        <w:t>see</w:t>
      </w:r>
      <w:r>
        <w:rPr>
          <w:b w:val="0"/>
          <w:bCs w:val="0"/>
          <w:sz w:val="18"/>
          <w:szCs w:val="18"/>
        </w:rPr>
        <w:t xml:space="preserve"> Note 2</w:t>
      </w:r>
      <w:r>
        <w:rPr>
          <w:b w:val="0"/>
          <w:bCs w:val="0"/>
        </w:rPr>
        <w:t>]</w:t>
      </w:r>
      <w:bookmarkEnd w:id="11"/>
      <w:bookmarkEnd w:id="12"/>
    </w:p>
    <w:p w:rsidR="00831C0A" w:rsidRDefault="0083091D">
      <w:pPr>
        <w:pStyle w:val="Subsection"/>
      </w:pPr>
      <w:r>
        <w:tab/>
        <w:t>(1)</w:t>
      </w:r>
      <w:r>
        <w:tab/>
        <w:t xml:space="preserve">A person who was, immediately before the commencement of this Act, entitled to a pension in accordance with section 22H or section 22K of the </w:t>
      </w:r>
      <w:r>
        <w:rPr>
          <w:i/>
          <w:iCs/>
        </w:rPr>
        <w:t>Parliamentary Retiring Allowances Act 1948</w:t>
      </w:r>
      <w:r>
        <w:rPr>
          <w:i/>
          <w:iCs/>
        </w:rPr>
        <w:noBreakHyphen/>
        <w:t>1966</w:t>
      </w:r>
      <w:r>
        <w:t xml:space="preserve"> is entitled to an increase in the rate of that pension in accordance with the following table:</w:t>
      </w:r>
    </w:p>
    <w:p w:rsidR="00831C0A" w:rsidRDefault="00831C0A"/>
    <w:tbl>
      <w:tblPr>
        <w:tblW w:w="0" w:type="auto"/>
        <w:tblInd w:w="1242" w:type="dxa"/>
        <w:tblLayout w:type="fixed"/>
        <w:tblLook w:val="0000" w:firstRow="0" w:lastRow="0" w:firstColumn="0" w:lastColumn="0" w:noHBand="0" w:noVBand="0"/>
      </w:tblPr>
      <w:tblGrid>
        <w:gridCol w:w="3172"/>
        <w:gridCol w:w="2782"/>
      </w:tblGrid>
      <w:tr w:rsidR="00831C0A">
        <w:tc>
          <w:tcPr>
            <w:tcW w:w="3172" w:type="dxa"/>
            <w:tcBorders>
              <w:top w:val="single" w:sz="6" w:space="0" w:color="auto"/>
              <w:left w:val="nil"/>
              <w:bottom w:val="single" w:sz="6" w:space="0" w:color="auto"/>
              <w:right w:val="nil"/>
            </w:tcBorders>
          </w:tcPr>
          <w:p w:rsidR="00831C0A" w:rsidRDefault="0083091D">
            <w:pPr>
              <w:keepNext/>
              <w:spacing w:before="100" w:after="60"/>
              <w:jc w:val="center"/>
            </w:pPr>
            <w:r>
              <w:rPr>
                <w:color w:val="000000"/>
              </w:rPr>
              <w:br/>
            </w:r>
            <w:r>
              <w:t>Weekly amount of pension</w:t>
            </w:r>
          </w:p>
        </w:tc>
        <w:tc>
          <w:tcPr>
            <w:tcW w:w="2782" w:type="dxa"/>
            <w:tcBorders>
              <w:top w:val="single" w:sz="6" w:space="0" w:color="auto"/>
              <w:left w:val="nil"/>
              <w:bottom w:val="single" w:sz="6" w:space="0" w:color="auto"/>
              <w:right w:val="nil"/>
            </w:tcBorders>
          </w:tcPr>
          <w:p w:rsidR="00831C0A" w:rsidRDefault="0083091D">
            <w:pPr>
              <w:spacing w:before="100" w:after="60"/>
              <w:jc w:val="center"/>
            </w:pPr>
            <w:r>
              <w:t>Weekly amount of increase in pension</w:t>
            </w:r>
          </w:p>
        </w:tc>
      </w:tr>
      <w:tr w:rsidR="00831C0A">
        <w:tc>
          <w:tcPr>
            <w:tcW w:w="3172" w:type="dxa"/>
            <w:tcBorders>
              <w:top w:val="nil"/>
              <w:left w:val="nil"/>
              <w:bottom w:val="nil"/>
              <w:right w:val="nil"/>
            </w:tcBorders>
          </w:tcPr>
          <w:p w:rsidR="00831C0A" w:rsidRDefault="0083091D">
            <w:pPr>
              <w:keepNext/>
              <w:spacing w:before="120"/>
              <w:jc w:val="center"/>
            </w:pPr>
            <w:r>
              <w:t>$</w:t>
            </w:r>
          </w:p>
        </w:tc>
        <w:tc>
          <w:tcPr>
            <w:tcW w:w="2782" w:type="dxa"/>
            <w:tcBorders>
              <w:top w:val="nil"/>
              <w:left w:val="nil"/>
              <w:bottom w:val="nil"/>
              <w:right w:val="nil"/>
            </w:tcBorders>
          </w:tcPr>
          <w:p w:rsidR="00831C0A" w:rsidRDefault="0083091D">
            <w:pPr>
              <w:spacing w:before="120"/>
              <w:jc w:val="center"/>
            </w:pPr>
            <w:r>
              <w:t>$</w:t>
            </w:r>
          </w:p>
        </w:tc>
      </w:tr>
      <w:tr w:rsidR="00831C0A">
        <w:tc>
          <w:tcPr>
            <w:tcW w:w="3172" w:type="dxa"/>
            <w:tcBorders>
              <w:top w:val="nil"/>
              <w:left w:val="nil"/>
              <w:bottom w:val="nil"/>
              <w:right w:val="nil"/>
            </w:tcBorders>
          </w:tcPr>
          <w:p w:rsidR="00831C0A" w:rsidRDefault="0083091D">
            <w:pPr>
              <w:jc w:val="center"/>
            </w:pPr>
            <w:r>
              <w:t>15.00</w:t>
            </w:r>
          </w:p>
        </w:tc>
        <w:tc>
          <w:tcPr>
            <w:tcW w:w="2782" w:type="dxa"/>
            <w:tcBorders>
              <w:top w:val="nil"/>
              <w:left w:val="nil"/>
              <w:bottom w:val="nil"/>
              <w:right w:val="nil"/>
            </w:tcBorders>
          </w:tcPr>
          <w:p w:rsidR="00831C0A" w:rsidRDefault="0083091D">
            <w:pPr>
              <w:jc w:val="center"/>
            </w:pPr>
            <w:r>
              <w:t>7.12</w:t>
            </w:r>
          </w:p>
        </w:tc>
      </w:tr>
      <w:tr w:rsidR="00831C0A">
        <w:tc>
          <w:tcPr>
            <w:tcW w:w="3172" w:type="dxa"/>
            <w:tcBorders>
              <w:top w:val="nil"/>
              <w:left w:val="nil"/>
              <w:bottom w:val="nil"/>
              <w:right w:val="nil"/>
            </w:tcBorders>
          </w:tcPr>
          <w:p w:rsidR="00831C0A" w:rsidRDefault="0083091D">
            <w:pPr>
              <w:jc w:val="center"/>
            </w:pPr>
            <w:r>
              <w:t>18.00</w:t>
            </w:r>
          </w:p>
        </w:tc>
        <w:tc>
          <w:tcPr>
            <w:tcW w:w="2782" w:type="dxa"/>
            <w:tcBorders>
              <w:top w:val="nil"/>
              <w:left w:val="nil"/>
              <w:bottom w:val="nil"/>
              <w:right w:val="nil"/>
            </w:tcBorders>
          </w:tcPr>
          <w:p w:rsidR="00831C0A" w:rsidRDefault="0083091D">
            <w:pPr>
              <w:jc w:val="center"/>
            </w:pPr>
            <w:r>
              <w:t>8.54</w:t>
            </w:r>
          </w:p>
        </w:tc>
      </w:tr>
      <w:tr w:rsidR="00831C0A">
        <w:tc>
          <w:tcPr>
            <w:tcW w:w="3172" w:type="dxa"/>
            <w:tcBorders>
              <w:top w:val="nil"/>
              <w:left w:val="nil"/>
              <w:bottom w:val="nil"/>
              <w:right w:val="nil"/>
            </w:tcBorders>
          </w:tcPr>
          <w:p w:rsidR="00831C0A" w:rsidRDefault="0083091D">
            <w:pPr>
              <w:jc w:val="center"/>
            </w:pPr>
            <w:r>
              <w:t>20.00</w:t>
            </w:r>
          </w:p>
        </w:tc>
        <w:tc>
          <w:tcPr>
            <w:tcW w:w="2782" w:type="dxa"/>
            <w:tcBorders>
              <w:top w:val="nil"/>
              <w:left w:val="nil"/>
              <w:bottom w:val="nil"/>
              <w:right w:val="nil"/>
            </w:tcBorders>
          </w:tcPr>
          <w:p w:rsidR="00831C0A" w:rsidRDefault="0083091D">
            <w:pPr>
              <w:jc w:val="center"/>
            </w:pPr>
            <w:r>
              <w:t>10.33</w:t>
            </w:r>
          </w:p>
        </w:tc>
      </w:tr>
      <w:tr w:rsidR="00831C0A">
        <w:tc>
          <w:tcPr>
            <w:tcW w:w="3172" w:type="dxa"/>
            <w:tcBorders>
              <w:top w:val="nil"/>
              <w:left w:val="nil"/>
              <w:bottom w:val="nil"/>
              <w:right w:val="nil"/>
            </w:tcBorders>
          </w:tcPr>
          <w:p w:rsidR="00831C0A" w:rsidRDefault="0083091D">
            <w:pPr>
              <w:jc w:val="center"/>
            </w:pPr>
            <w:r>
              <w:t>23.33</w:t>
            </w:r>
          </w:p>
        </w:tc>
        <w:tc>
          <w:tcPr>
            <w:tcW w:w="2782" w:type="dxa"/>
            <w:tcBorders>
              <w:top w:val="nil"/>
              <w:left w:val="nil"/>
              <w:bottom w:val="nil"/>
              <w:right w:val="nil"/>
            </w:tcBorders>
          </w:tcPr>
          <w:p w:rsidR="00831C0A" w:rsidRDefault="0083091D">
            <w:pPr>
              <w:jc w:val="center"/>
            </w:pPr>
            <w:r>
              <w:t>11.36</w:t>
            </w:r>
          </w:p>
        </w:tc>
      </w:tr>
      <w:tr w:rsidR="00831C0A">
        <w:tc>
          <w:tcPr>
            <w:tcW w:w="3172" w:type="dxa"/>
            <w:tcBorders>
              <w:top w:val="nil"/>
              <w:left w:val="nil"/>
              <w:bottom w:val="single" w:sz="6" w:space="0" w:color="auto"/>
              <w:right w:val="nil"/>
            </w:tcBorders>
          </w:tcPr>
          <w:p w:rsidR="00831C0A" w:rsidRDefault="0083091D">
            <w:pPr>
              <w:spacing w:after="120"/>
              <w:jc w:val="center"/>
            </w:pPr>
            <w:r>
              <w:t>28.00</w:t>
            </w:r>
          </w:p>
        </w:tc>
        <w:tc>
          <w:tcPr>
            <w:tcW w:w="2782" w:type="dxa"/>
            <w:tcBorders>
              <w:top w:val="nil"/>
              <w:left w:val="nil"/>
              <w:bottom w:val="single" w:sz="6" w:space="0" w:color="auto"/>
              <w:right w:val="nil"/>
            </w:tcBorders>
          </w:tcPr>
          <w:p w:rsidR="00831C0A" w:rsidRDefault="0083091D">
            <w:pPr>
              <w:spacing w:after="120"/>
              <w:jc w:val="center"/>
            </w:pPr>
            <w:r>
              <w:t>13.63</w:t>
            </w:r>
          </w:p>
        </w:tc>
      </w:tr>
    </w:tbl>
    <w:p w:rsidR="00831C0A" w:rsidRDefault="00831C0A"/>
    <w:p w:rsidR="00831C0A" w:rsidRDefault="0083091D">
      <w:pPr>
        <w:pStyle w:val="Subsection"/>
      </w:pPr>
      <w:r>
        <w:tab/>
        <w:t>(2)</w:t>
      </w:r>
      <w:r>
        <w:tab/>
        <w:t xml:space="preserve">Where a male person the rate of whose pension is increased under the last preceding subsection dies, the rate of any pension to which </w:t>
      </w:r>
      <w:r>
        <w:lastRenderedPageBreak/>
        <w:t xml:space="preserve">his widow becomes entitled in accordance with subparagraph (i) of paragraph (a) of subsection (2) of section 22K of the </w:t>
      </w:r>
      <w:r>
        <w:rPr>
          <w:i/>
          <w:iCs/>
        </w:rPr>
        <w:t>Parliamentary Retiring Allowances Act 1948</w:t>
      </w:r>
      <w:r>
        <w:rPr>
          <w:i/>
          <w:iCs/>
        </w:rPr>
        <w:noBreakHyphen/>
        <w:t>1966</w:t>
      </w:r>
      <w:r>
        <w:t xml:space="preserve"> shall be increased by five</w:t>
      </w:r>
      <w:r>
        <w:noBreakHyphen/>
        <w:t xml:space="preserve">sixths of the rate at which her deceased husband’s pension was increased by virtue of the last preceding subsection. </w:t>
      </w:r>
    </w:p>
    <w:p w:rsidR="00831C0A" w:rsidRDefault="0083091D">
      <w:pPr>
        <w:pStyle w:val="Heading5"/>
      </w:pPr>
      <w:bookmarkStart w:id="13" w:name="_Toc7922600"/>
      <w:bookmarkStart w:id="14" w:name="_Toc425169581"/>
      <w:r>
        <w:rPr>
          <w:rStyle w:val="CharSectno"/>
        </w:rPr>
        <w:t>7</w:t>
      </w:r>
      <w:r>
        <w:t xml:space="preserve">  Increases in rates of pension in relation to certain other office</w:t>
      </w:r>
      <w:r>
        <w:noBreakHyphen/>
        <w:t xml:space="preserve">holders </w:t>
      </w:r>
      <w:r>
        <w:rPr>
          <w:b w:val="0"/>
          <w:bCs w:val="0"/>
          <w:sz w:val="18"/>
          <w:szCs w:val="18"/>
        </w:rPr>
        <w:t>[</w:t>
      </w:r>
      <w:r>
        <w:rPr>
          <w:b w:val="0"/>
          <w:bCs w:val="0"/>
          <w:i/>
          <w:iCs/>
          <w:sz w:val="18"/>
          <w:szCs w:val="18"/>
        </w:rPr>
        <w:t xml:space="preserve">see </w:t>
      </w:r>
      <w:r>
        <w:rPr>
          <w:b w:val="0"/>
          <w:bCs w:val="0"/>
          <w:sz w:val="18"/>
          <w:szCs w:val="18"/>
        </w:rPr>
        <w:t>Note 2]</w:t>
      </w:r>
      <w:bookmarkEnd w:id="13"/>
      <w:bookmarkEnd w:id="14"/>
    </w:p>
    <w:p w:rsidR="00831C0A" w:rsidRDefault="0083091D">
      <w:pPr>
        <w:pStyle w:val="Subsection"/>
      </w:pPr>
      <w:r>
        <w:tab/>
      </w:r>
      <w:r>
        <w:tab/>
        <w:t xml:space="preserve">Where a person has become entitled before the commencement of this Act, or becomes entitled after the commencement of this Act, to a pension in accordance with section 22H or section 22K of the </w:t>
      </w:r>
      <w:r>
        <w:rPr>
          <w:i/>
          <w:iCs/>
        </w:rPr>
        <w:t>Parliamentary Retiring Allowances Act 1948</w:t>
      </w:r>
      <w:r>
        <w:rPr>
          <w:i/>
          <w:iCs/>
        </w:rPr>
        <w:noBreakHyphen/>
        <w:t>1968</w:t>
      </w:r>
      <w:r>
        <w:t>, being a person who:</w:t>
      </w:r>
    </w:p>
    <w:p w:rsidR="00831C0A" w:rsidRDefault="0083091D">
      <w:pPr>
        <w:pStyle w:val="indenta"/>
      </w:pPr>
      <w:r>
        <w:tab/>
        <w:t>(a)</w:t>
      </w:r>
      <w:r>
        <w:tab/>
        <w:t>ceased to be an office</w:t>
      </w:r>
      <w:r>
        <w:noBreakHyphen/>
        <w:t>holder within the meaning of Part VA of that Act, or, if he has been such an office</w:t>
      </w:r>
      <w:r>
        <w:noBreakHyphen/>
        <w:t>holder more than once, last ceased to be such an office</w:t>
      </w:r>
      <w:r>
        <w:noBreakHyphen/>
        <w:t>holder, before the first day of December, One thousand nine hundred and sixty</w:t>
      </w:r>
      <w:r>
        <w:noBreakHyphen/>
        <w:t>eight; or</w:t>
      </w:r>
    </w:p>
    <w:p w:rsidR="00831C0A" w:rsidRDefault="0083091D">
      <w:pPr>
        <w:pStyle w:val="indenta"/>
      </w:pPr>
      <w:r>
        <w:tab/>
        <w:t>(b)</w:t>
      </w:r>
      <w:r>
        <w:tab/>
        <w:t>is the widow of a person who so ceased or last ceased to be an office</w:t>
      </w:r>
      <w:r>
        <w:noBreakHyphen/>
        <w:t>holder,</w:t>
      </w:r>
    </w:p>
    <w:p w:rsidR="00831C0A" w:rsidRDefault="0083091D">
      <w:pPr>
        <w:pStyle w:val="subsection2"/>
      </w:pPr>
      <w:r>
        <w:t xml:space="preserve">the rate of that pension is increased in accordance with the following table: </w:t>
      </w:r>
    </w:p>
    <w:p w:rsidR="00831C0A" w:rsidRDefault="00831C0A"/>
    <w:tbl>
      <w:tblPr>
        <w:tblW w:w="0" w:type="auto"/>
        <w:tblInd w:w="1242" w:type="dxa"/>
        <w:tblLayout w:type="fixed"/>
        <w:tblLook w:val="0000" w:firstRow="0" w:lastRow="0" w:firstColumn="0" w:lastColumn="0" w:noHBand="0" w:noVBand="0"/>
      </w:tblPr>
      <w:tblGrid>
        <w:gridCol w:w="3172"/>
        <w:gridCol w:w="2640"/>
      </w:tblGrid>
      <w:tr w:rsidR="00831C0A">
        <w:tc>
          <w:tcPr>
            <w:tcW w:w="3172" w:type="dxa"/>
            <w:tcBorders>
              <w:top w:val="single" w:sz="6" w:space="0" w:color="auto"/>
              <w:left w:val="nil"/>
              <w:bottom w:val="single" w:sz="6" w:space="0" w:color="auto"/>
              <w:right w:val="nil"/>
            </w:tcBorders>
          </w:tcPr>
          <w:p w:rsidR="00831C0A" w:rsidRDefault="0083091D">
            <w:pPr>
              <w:keepNext/>
              <w:spacing w:before="100" w:after="60"/>
              <w:jc w:val="center"/>
            </w:pPr>
            <w:r>
              <w:rPr>
                <w:color w:val="000000"/>
              </w:rPr>
              <w:br/>
            </w:r>
            <w:r>
              <w:t>Annual amount of pension</w:t>
            </w:r>
          </w:p>
        </w:tc>
        <w:tc>
          <w:tcPr>
            <w:tcW w:w="2640" w:type="dxa"/>
            <w:tcBorders>
              <w:top w:val="single" w:sz="6" w:space="0" w:color="auto"/>
              <w:left w:val="nil"/>
              <w:bottom w:val="single" w:sz="6" w:space="0" w:color="auto"/>
              <w:right w:val="nil"/>
            </w:tcBorders>
          </w:tcPr>
          <w:p w:rsidR="00831C0A" w:rsidRDefault="0083091D">
            <w:pPr>
              <w:spacing w:before="100" w:after="60"/>
              <w:jc w:val="center"/>
            </w:pPr>
            <w:r>
              <w:t>Annual amount of increase in pension</w:t>
            </w:r>
          </w:p>
        </w:tc>
      </w:tr>
      <w:tr w:rsidR="00831C0A">
        <w:tc>
          <w:tcPr>
            <w:tcW w:w="3172" w:type="dxa"/>
            <w:tcBorders>
              <w:top w:val="nil"/>
              <w:left w:val="nil"/>
              <w:bottom w:val="nil"/>
              <w:right w:val="nil"/>
            </w:tcBorders>
          </w:tcPr>
          <w:p w:rsidR="00831C0A" w:rsidRDefault="0083091D">
            <w:pPr>
              <w:keepNext/>
              <w:spacing w:before="120"/>
              <w:jc w:val="center"/>
            </w:pPr>
            <w:r>
              <w:t>$</w:t>
            </w:r>
          </w:p>
        </w:tc>
        <w:tc>
          <w:tcPr>
            <w:tcW w:w="2640" w:type="dxa"/>
            <w:tcBorders>
              <w:top w:val="nil"/>
              <w:left w:val="nil"/>
              <w:bottom w:val="nil"/>
              <w:right w:val="nil"/>
            </w:tcBorders>
          </w:tcPr>
          <w:p w:rsidR="00831C0A" w:rsidRDefault="0083091D">
            <w:pPr>
              <w:spacing w:before="120"/>
              <w:jc w:val="center"/>
            </w:pPr>
            <w:r>
              <w:t>$</w:t>
            </w:r>
          </w:p>
        </w:tc>
      </w:tr>
      <w:tr w:rsidR="00831C0A">
        <w:tc>
          <w:tcPr>
            <w:tcW w:w="3172" w:type="dxa"/>
            <w:tcBorders>
              <w:top w:val="nil"/>
              <w:left w:val="nil"/>
              <w:bottom w:val="nil"/>
              <w:right w:val="nil"/>
            </w:tcBorders>
          </w:tcPr>
          <w:p w:rsidR="00831C0A" w:rsidRDefault="0083091D">
            <w:pPr>
              <w:jc w:val="center"/>
            </w:pPr>
            <w:r>
              <w:t>1,050</w:t>
            </w:r>
          </w:p>
        </w:tc>
        <w:tc>
          <w:tcPr>
            <w:tcW w:w="2640" w:type="dxa"/>
            <w:tcBorders>
              <w:top w:val="nil"/>
              <w:left w:val="nil"/>
              <w:bottom w:val="nil"/>
              <w:right w:val="nil"/>
            </w:tcBorders>
          </w:tcPr>
          <w:p w:rsidR="00831C0A" w:rsidRDefault="0083091D">
            <w:pPr>
              <w:jc w:val="center"/>
            </w:pPr>
            <w:r>
              <w:t>183.75</w:t>
            </w:r>
          </w:p>
        </w:tc>
      </w:tr>
      <w:tr w:rsidR="00831C0A">
        <w:tc>
          <w:tcPr>
            <w:tcW w:w="3172" w:type="dxa"/>
            <w:tcBorders>
              <w:top w:val="nil"/>
              <w:left w:val="nil"/>
              <w:bottom w:val="nil"/>
              <w:right w:val="nil"/>
            </w:tcBorders>
          </w:tcPr>
          <w:p w:rsidR="00831C0A" w:rsidRDefault="0083091D">
            <w:pPr>
              <w:jc w:val="center"/>
            </w:pPr>
            <w:r>
              <w:t>1,260</w:t>
            </w:r>
          </w:p>
        </w:tc>
        <w:tc>
          <w:tcPr>
            <w:tcW w:w="2640" w:type="dxa"/>
            <w:tcBorders>
              <w:top w:val="nil"/>
              <w:left w:val="nil"/>
              <w:bottom w:val="nil"/>
              <w:right w:val="nil"/>
            </w:tcBorders>
          </w:tcPr>
          <w:p w:rsidR="00831C0A" w:rsidRDefault="0083091D">
            <w:pPr>
              <w:jc w:val="center"/>
            </w:pPr>
            <w:r>
              <w:t>220.50</w:t>
            </w:r>
          </w:p>
        </w:tc>
      </w:tr>
      <w:tr w:rsidR="00831C0A">
        <w:tc>
          <w:tcPr>
            <w:tcW w:w="3172" w:type="dxa"/>
            <w:tcBorders>
              <w:top w:val="nil"/>
              <w:left w:val="nil"/>
              <w:bottom w:val="nil"/>
              <w:right w:val="nil"/>
            </w:tcBorders>
          </w:tcPr>
          <w:p w:rsidR="00831C0A" w:rsidRDefault="0083091D">
            <w:pPr>
              <w:jc w:val="center"/>
            </w:pPr>
            <w:r>
              <w:t>2,500</w:t>
            </w:r>
          </w:p>
        </w:tc>
        <w:tc>
          <w:tcPr>
            <w:tcW w:w="2640" w:type="dxa"/>
            <w:tcBorders>
              <w:top w:val="nil"/>
              <w:left w:val="nil"/>
              <w:bottom w:val="nil"/>
              <w:right w:val="nil"/>
            </w:tcBorders>
          </w:tcPr>
          <w:p w:rsidR="00831C0A" w:rsidRDefault="0083091D">
            <w:pPr>
              <w:jc w:val="center"/>
            </w:pPr>
            <w:r>
              <w:t>437.50</w:t>
            </w:r>
          </w:p>
        </w:tc>
      </w:tr>
      <w:tr w:rsidR="00831C0A">
        <w:tc>
          <w:tcPr>
            <w:tcW w:w="3172" w:type="dxa"/>
            <w:tcBorders>
              <w:top w:val="nil"/>
              <w:left w:val="nil"/>
              <w:bottom w:val="single" w:sz="6" w:space="0" w:color="auto"/>
              <w:right w:val="nil"/>
            </w:tcBorders>
          </w:tcPr>
          <w:p w:rsidR="00831C0A" w:rsidRDefault="0083091D">
            <w:pPr>
              <w:spacing w:after="120"/>
              <w:jc w:val="center"/>
            </w:pPr>
            <w:r>
              <w:t>3,000</w:t>
            </w:r>
          </w:p>
        </w:tc>
        <w:tc>
          <w:tcPr>
            <w:tcW w:w="2640" w:type="dxa"/>
            <w:tcBorders>
              <w:top w:val="nil"/>
              <w:left w:val="nil"/>
              <w:bottom w:val="single" w:sz="6" w:space="0" w:color="auto"/>
              <w:right w:val="nil"/>
            </w:tcBorders>
          </w:tcPr>
          <w:p w:rsidR="00831C0A" w:rsidRDefault="0083091D">
            <w:pPr>
              <w:spacing w:after="120"/>
              <w:jc w:val="center"/>
            </w:pPr>
            <w:r>
              <w:t>525.00</w:t>
            </w:r>
          </w:p>
        </w:tc>
      </w:tr>
    </w:tbl>
    <w:p w:rsidR="00831C0A" w:rsidRDefault="00831C0A"/>
    <w:p w:rsidR="00831C0A" w:rsidRDefault="0083091D">
      <w:pPr>
        <w:pStyle w:val="Heading5"/>
      </w:pPr>
      <w:bookmarkStart w:id="15" w:name="_Toc7922601"/>
      <w:bookmarkStart w:id="16" w:name="_Toc425169582"/>
      <w:r>
        <w:rPr>
          <w:rStyle w:val="CharSectno"/>
        </w:rPr>
        <w:t>8</w:t>
      </w:r>
      <w:r>
        <w:t xml:space="preserve">  Increases in rates of pensions payable to widows of certain former Prime Ministers </w:t>
      </w:r>
      <w:r>
        <w:rPr>
          <w:b w:val="0"/>
          <w:bCs w:val="0"/>
          <w:sz w:val="18"/>
          <w:szCs w:val="18"/>
        </w:rPr>
        <w:t>[</w:t>
      </w:r>
      <w:r>
        <w:rPr>
          <w:b w:val="0"/>
          <w:bCs w:val="0"/>
          <w:i/>
          <w:iCs/>
          <w:sz w:val="18"/>
          <w:szCs w:val="18"/>
        </w:rPr>
        <w:t>see</w:t>
      </w:r>
      <w:r>
        <w:rPr>
          <w:b w:val="0"/>
          <w:bCs w:val="0"/>
          <w:sz w:val="18"/>
          <w:szCs w:val="18"/>
        </w:rPr>
        <w:t xml:space="preserve"> Note 2]</w:t>
      </w:r>
      <w:bookmarkEnd w:id="15"/>
      <w:bookmarkEnd w:id="16"/>
    </w:p>
    <w:p w:rsidR="00831C0A" w:rsidRDefault="0083091D">
      <w:pPr>
        <w:pStyle w:val="Subsection"/>
      </w:pPr>
      <w:r>
        <w:tab/>
      </w:r>
      <w:r>
        <w:tab/>
        <w:t xml:space="preserve">The rate of a pension payable under subsection (2) of section 19A of the </w:t>
      </w:r>
      <w:r>
        <w:rPr>
          <w:i/>
          <w:iCs/>
        </w:rPr>
        <w:t>Parliamentary Retiring Allowances Act 1948</w:t>
      </w:r>
      <w:r>
        <w:rPr>
          <w:i/>
          <w:iCs/>
        </w:rPr>
        <w:noBreakHyphen/>
        <w:t>1968</w:t>
      </w:r>
      <w:r>
        <w:t xml:space="preserve">, being a </w:t>
      </w:r>
      <w:r>
        <w:lastRenderedPageBreak/>
        <w:t>pension that became payable before the first day of March, One thousand nine hundred and fifty</w:t>
      </w:r>
      <w:r>
        <w:noBreakHyphen/>
        <w:t>nine, is increased by one</w:t>
      </w:r>
      <w:r>
        <w:noBreakHyphen/>
        <w:t>half.</w:t>
      </w:r>
    </w:p>
    <w:p w:rsidR="00831C0A" w:rsidRDefault="0083091D">
      <w:pPr>
        <w:pStyle w:val="Heading5"/>
      </w:pPr>
      <w:bookmarkStart w:id="17" w:name="_Toc7922602"/>
      <w:bookmarkStart w:id="18" w:name="_Toc425169583"/>
      <w:r>
        <w:rPr>
          <w:rStyle w:val="CharSectno"/>
        </w:rPr>
        <w:t>9</w:t>
      </w:r>
      <w:r>
        <w:t xml:space="preserve">  Pension increases deemed to be payable under Parliamentary Retiring Allowances Act </w:t>
      </w:r>
      <w:r>
        <w:rPr>
          <w:b w:val="0"/>
          <w:bCs w:val="0"/>
          <w:sz w:val="18"/>
          <w:szCs w:val="18"/>
        </w:rPr>
        <w:t>[</w:t>
      </w:r>
      <w:r>
        <w:rPr>
          <w:b w:val="0"/>
          <w:bCs w:val="0"/>
          <w:i/>
          <w:iCs/>
          <w:sz w:val="18"/>
          <w:szCs w:val="18"/>
        </w:rPr>
        <w:t>see</w:t>
      </w:r>
      <w:r>
        <w:rPr>
          <w:b w:val="0"/>
          <w:bCs w:val="0"/>
          <w:sz w:val="18"/>
          <w:szCs w:val="18"/>
        </w:rPr>
        <w:t xml:space="preserve"> Note 2]</w:t>
      </w:r>
      <w:bookmarkEnd w:id="17"/>
      <w:bookmarkEnd w:id="18"/>
    </w:p>
    <w:p w:rsidR="00831C0A" w:rsidRDefault="0083091D">
      <w:pPr>
        <w:pStyle w:val="Subsection"/>
      </w:pPr>
      <w:r>
        <w:tab/>
      </w:r>
      <w:r>
        <w:tab/>
        <w:t xml:space="preserve">Where the rate of any pension payable in accordance with the </w:t>
      </w:r>
      <w:r>
        <w:rPr>
          <w:i/>
          <w:iCs/>
        </w:rPr>
        <w:t>Parliamentary Retiring Allowances Act 1948</w:t>
      </w:r>
      <w:r>
        <w:t xml:space="preserve"> or that Act as amended and in force at any time has been increased by virtue of the operation of this Act or of any Act passed before the commencement of this Act, the increase shall, for the purposes of the </w:t>
      </w:r>
      <w:r>
        <w:rPr>
          <w:i/>
          <w:iCs/>
        </w:rPr>
        <w:t>Parliamentary Retiring Allowances Act 1948</w:t>
      </w:r>
      <w:r>
        <w:rPr>
          <w:i/>
          <w:iCs/>
        </w:rPr>
        <w:noBreakHyphen/>
        <w:t>1968</w:t>
      </w:r>
      <w:r>
        <w:t xml:space="preserve">, be deemed to be, and to have been at all times, payable under that Act. </w:t>
      </w:r>
    </w:p>
    <w:p w:rsidR="00831C0A" w:rsidRDefault="0083091D">
      <w:pPr>
        <w:pStyle w:val="Heading5"/>
      </w:pPr>
      <w:bookmarkStart w:id="19" w:name="_Toc7922603"/>
      <w:bookmarkStart w:id="20" w:name="_Toc425169584"/>
      <w:r>
        <w:rPr>
          <w:rStyle w:val="CharSectno"/>
        </w:rPr>
        <w:t>10</w:t>
      </w:r>
      <w:r>
        <w:t xml:space="preserve">  Commonwealth to reimburse Fund for increases in pensions</w:t>
      </w:r>
      <w:r>
        <w:rPr>
          <w:color w:val="000000"/>
        </w:rPr>
        <w:br/>
      </w:r>
      <w:r>
        <w:rPr>
          <w:b w:val="0"/>
          <w:bCs w:val="0"/>
          <w:sz w:val="18"/>
          <w:szCs w:val="18"/>
        </w:rPr>
        <w:t>[</w:t>
      </w:r>
      <w:r>
        <w:rPr>
          <w:b w:val="0"/>
          <w:bCs w:val="0"/>
          <w:i/>
          <w:iCs/>
          <w:sz w:val="18"/>
          <w:szCs w:val="18"/>
        </w:rPr>
        <w:t xml:space="preserve">see </w:t>
      </w:r>
      <w:r>
        <w:rPr>
          <w:b w:val="0"/>
          <w:bCs w:val="0"/>
          <w:sz w:val="18"/>
          <w:szCs w:val="18"/>
        </w:rPr>
        <w:t>Note 2]</w:t>
      </w:r>
      <w:bookmarkEnd w:id="19"/>
      <w:bookmarkEnd w:id="20"/>
      <w:r>
        <w:t xml:space="preserve"> </w:t>
      </w:r>
    </w:p>
    <w:p w:rsidR="00831C0A" w:rsidRDefault="0083091D">
      <w:pPr>
        <w:pStyle w:val="Subsection"/>
      </w:pPr>
      <w:r>
        <w:tab/>
        <w:t>(1)</w:t>
      </w:r>
      <w:r>
        <w:tab/>
        <w:t>Where an amount of pension paid to a person (including a pension that becomes payable to the widow of a person who dies after the commencement of this Act) is, by virtue of this Act, greater than it would otherwise be:</w:t>
      </w:r>
    </w:p>
    <w:p w:rsidR="00831C0A" w:rsidRDefault="0083091D">
      <w:pPr>
        <w:pStyle w:val="indenta"/>
      </w:pPr>
      <w:r>
        <w:tab/>
        <w:t>(a)</w:t>
      </w:r>
      <w:r>
        <w:tab/>
        <w:t xml:space="preserve">in the case of a pension payable under Part V of the </w:t>
      </w:r>
      <w:r>
        <w:rPr>
          <w:i/>
          <w:iCs/>
        </w:rPr>
        <w:t>Parliamentary Retiring Allowances Act 1948</w:t>
      </w:r>
      <w:r>
        <w:rPr>
          <w:i/>
          <w:iCs/>
        </w:rPr>
        <w:noBreakHyphen/>
        <w:t>1968</w:t>
      </w:r>
      <w:r>
        <w:t>:</w:t>
      </w:r>
    </w:p>
    <w:p w:rsidR="00831C0A" w:rsidRDefault="0083091D">
      <w:pPr>
        <w:pStyle w:val="indentii"/>
      </w:pPr>
      <w:r>
        <w:tab/>
        <w:t>(i)</w:t>
      </w:r>
      <w:r>
        <w:tab/>
        <w:t xml:space="preserve">the amount by which the amount of pension so paid is greater (in this paragraph referred to as </w:t>
      </w:r>
      <w:r>
        <w:rPr>
          <w:b/>
          <w:bCs/>
          <w:i/>
          <w:iCs/>
        </w:rPr>
        <w:t>the amount of the increase</w:t>
      </w:r>
      <w:r>
        <w:t xml:space="preserve">) shall, for the purposes of paragraphs (a) and (b) of section 14 of that Act, be deemed not to have been paid; and </w:t>
      </w:r>
    </w:p>
    <w:p w:rsidR="00831C0A" w:rsidRDefault="0083091D">
      <w:pPr>
        <w:pStyle w:val="indentii"/>
      </w:pPr>
      <w:r>
        <w:tab/>
        <w:t>(ii)</w:t>
      </w:r>
      <w:r>
        <w:tab/>
        <w:t>the Commonwealth shall pay to the Parliamentary Retiring Allowances Fund an amount equal to the amount of the increase; and</w:t>
      </w:r>
    </w:p>
    <w:p w:rsidR="00831C0A" w:rsidRDefault="0083091D">
      <w:pPr>
        <w:pStyle w:val="indenta"/>
      </w:pPr>
      <w:r>
        <w:tab/>
        <w:t>(b)</w:t>
      </w:r>
      <w:r>
        <w:tab/>
        <w:t xml:space="preserve">in the case of a pension payable under Part VA of the </w:t>
      </w:r>
      <w:r>
        <w:rPr>
          <w:i/>
          <w:iCs/>
        </w:rPr>
        <w:t>Parliamentary Retiring Allowances Act 1948</w:t>
      </w:r>
      <w:r>
        <w:rPr>
          <w:i/>
          <w:iCs/>
        </w:rPr>
        <w:noBreakHyphen/>
        <w:t>1968</w:t>
      </w:r>
      <w:r>
        <w:t>:</w:t>
      </w:r>
    </w:p>
    <w:p w:rsidR="00831C0A" w:rsidRDefault="0083091D">
      <w:pPr>
        <w:pStyle w:val="indentii"/>
      </w:pPr>
      <w:r>
        <w:tab/>
        <w:t>(i)</w:t>
      </w:r>
      <w:r>
        <w:tab/>
        <w:t xml:space="preserve">the amount by which the amount of pension so paid is greater (in this paragraph referred to as </w:t>
      </w:r>
      <w:r>
        <w:rPr>
          <w:b/>
          <w:bCs/>
          <w:i/>
          <w:iCs/>
        </w:rPr>
        <w:t>the amount of the increase</w:t>
      </w:r>
      <w:r>
        <w:t>) shall, for the purposes of section 22F of that Act, be deemed not to have been paid; and</w:t>
      </w:r>
    </w:p>
    <w:p w:rsidR="00831C0A" w:rsidRDefault="0083091D">
      <w:pPr>
        <w:pStyle w:val="indentii"/>
      </w:pPr>
      <w:r>
        <w:tab/>
        <w:t>(ii)</w:t>
      </w:r>
      <w:r>
        <w:tab/>
        <w:t>the Commonwealth shall pay to the Ministerial Fund an amount equal to the amount of the increase.</w:t>
      </w:r>
    </w:p>
    <w:p w:rsidR="00831C0A" w:rsidRDefault="0083091D">
      <w:pPr>
        <w:pStyle w:val="Subsection"/>
      </w:pPr>
      <w:r>
        <w:lastRenderedPageBreak/>
        <w:tab/>
        <w:t>(2)</w:t>
      </w:r>
      <w:r>
        <w:tab/>
        <w:t xml:space="preserve">The Consolidated Revenue Fund is, to the necessary extent, appropriated for the purposes of subparagraph (ii) of paragraph (a), and subparagraph (ii) of paragraph (b), of the last preceding subsection. </w:t>
      </w:r>
    </w:p>
    <w:p w:rsidR="00831C0A" w:rsidRDefault="0083091D">
      <w:pPr>
        <w:pStyle w:val="Heading5"/>
      </w:pPr>
      <w:bookmarkStart w:id="21" w:name="_Toc7922604"/>
      <w:bookmarkStart w:id="22" w:name="_Toc425169585"/>
      <w:r>
        <w:rPr>
          <w:rStyle w:val="CharSectno"/>
        </w:rPr>
        <w:t>11</w:t>
      </w:r>
      <w:r>
        <w:t xml:space="preserve">  Application of former Act </w:t>
      </w:r>
      <w:r>
        <w:rPr>
          <w:b w:val="0"/>
          <w:bCs w:val="0"/>
          <w:sz w:val="18"/>
          <w:szCs w:val="18"/>
        </w:rPr>
        <w:t>[</w:t>
      </w:r>
      <w:r>
        <w:rPr>
          <w:b w:val="0"/>
          <w:bCs w:val="0"/>
          <w:i/>
          <w:iCs/>
          <w:sz w:val="18"/>
          <w:szCs w:val="18"/>
        </w:rPr>
        <w:t>see</w:t>
      </w:r>
      <w:r>
        <w:rPr>
          <w:b w:val="0"/>
          <w:bCs w:val="0"/>
          <w:sz w:val="18"/>
          <w:szCs w:val="18"/>
        </w:rPr>
        <w:t xml:space="preserve"> Note 2]</w:t>
      </w:r>
      <w:bookmarkEnd w:id="21"/>
      <w:bookmarkEnd w:id="22"/>
    </w:p>
    <w:p w:rsidR="00831C0A" w:rsidRDefault="0083091D">
      <w:pPr>
        <w:pStyle w:val="Subsection"/>
      </w:pPr>
      <w:r>
        <w:tab/>
        <w:t>(1)</w:t>
      </w:r>
      <w:r>
        <w:tab/>
        <w:t xml:space="preserve">The reference in subsection (2) of section 9 of the </w:t>
      </w:r>
      <w:r>
        <w:rPr>
          <w:i/>
          <w:iCs/>
        </w:rPr>
        <w:t>Parliamentary Retiring Allowances Act 1948</w:t>
      </w:r>
      <w:r>
        <w:rPr>
          <w:i/>
          <w:iCs/>
        </w:rPr>
        <w:noBreakHyphen/>
        <w:t>1968</w:t>
      </w:r>
      <w:r>
        <w:t xml:space="preserve"> to moneys paid into the Parliamentary Retiring Allowances Fund by the Commonwealth in pursuance of that Act shall be read as including a reference to moneys paid to that Fund by the Commonwealth in pursuance of this Act.</w:t>
      </w:r>
    </w:p>
    <w:p w:rsidR="00831C0A" w:rsidRDefault="0083091D">
      <w:pPr>
        <w:pStyle w:val="Subsection"/>
      </w:pPr>
      <w:r>
        <w:tab/>
        <w:t>(2)</w:t>
      </w:r>
      <w:r>
        <w:tab/>
        <w:t xml:space="preserve">The reference in subsection (3) of section 9 of the </w:t>
      </w:r>
      <w:r>
        <w:rPr>
          <w:i/>
          <w:iCs/>
        </w:rPr>
        <w:t>Parliamentary Retiring Allowances Act 1948</w:t>
      </w:r>
      <w:r>
        <w:rPr>
          <w:i/>
          <w:iCs/>
        </w:rPr>
        <w:noBreakHyphen/>
        <w:t>1968</w:t>
      </w:r>
      <w:r>
        <w:t xml:space="preserve"> to pensions and other benefits provided by that Act shall be read as including a reference to increases in pensions under Part V of that Act payable by virtue of this Act.</w:t>
      </w:r>
    </w:p>
    <w:p w:rsidR="00831C0A" w:rsidRDefault="0083091D">
      <w:pPr>
        <w:pStyle w:val="Subsection"/>
      </w:pPr>
      <w:r>
        <w:tab/>
        <w:t>(3)</w:t>
      </w:r>
      <w:r>
        <w:tab/>
        <w:t xml:space="preserve">The reference in section 9B of the </w:t>
      </w:r>
      <w:r>
        <w:rPr>
          <w:i/>
          <w:iCs/>
        </w:rPr>
        <w:t>Parliamentary Retiring Allowances Act 1948</w:t>
      </w:r>
      <w:r>
        <w:rPr>
          <w:i/>
          <w:iCs/>
        </w:rPr>
        <w:noBreakHyphen/>
        <w:t>1968</w:t>
      </w:r>
      <w:r>
        <w:t xml:space="preserve"> to payments by the Commonwealth to the Fund under that Act shall:</w:t>
      </w:r>
    </w:p>
    <w:p w:rsidR="00831C0A" w:rsidRDefault="0083091D">
      <w:pPr>
        <w:pStyle w:val="indenta"/>
      </w:pPr>
      <w:r>
        <w:tab/>
        <w:t>(a)</w:t>
      </w:r>
      <w:r>
        <w:tab/>
        <w:t>except in a case to which paragraph (b) of this subsection applies, be read as including a reference to payments by the Commonwealth to the Parliamentary Retiring Allowances Fund under this Act; and</w:t>
      </w:r>
    </w:p>
    <w:p w:rsidR="00831C0A" w:rsidRDefault="0083091D">
      <w:pPr>
        <w:pStyle w:val="indenta"/>
      </w:pPr>
      <w:r>
        <w:tab/>
        <w:t>(b)</w:t>
      </w:r>
      <w:r>
        <w:tab/>
        <w:t xml:space="preserve">in the application of that section to and in relation to the Ministerial Fund by virtue of section 22C of that Act—be read as including a reference to payments by the Commonwealth to the Ministerial Fund under this Act. </w:t>
      </w:r>
    </w:p>
    <w:p w:rsidR="00831C0A" w:rsidRDefault="0083091D">
      <w:pPr>
        <w:pStyle w:val="Subsection"/>
      </w:pPr>
      <w:r>
        <w:tab/>
        <w:t>(4)</w:t>
      </w:r>
      <w:r>
        <w:tab/>
        <w:t xml:space="preserve">The reference in subsection (2) of section 22B of the </w:t>
      </w:r>
      <w:r>
        <w:rPr>
          <w:i/>
          <w:iCs/>
        </w:rPr>
        <w:t>Parliamentary Retiring Allowances Act 1948</w:t>
      </w:r>
      <w:r>
        <w:rPr>
          <w:i/>
          <w:iCs/>
        </w:rPr>
        <w:noBreakHyphen/>
        <w:t>1968</w:t>
      </w:r>
      <w:r>
        <w:t xml:space="preserve"> to moneys paid into the Ministerial Fund by the Commonwealth in pursuance of Part VA of that Act shall be read as including a reference to moneys paid to that Fund by the Commonwealth in pursuance of this Act.</w:t>
      </w:r>
    </w:p>
    <w:p w:rsidR="00831C0A" w:rsidRDefault="0083091D">
      <w:pPr>
        <w:pStyle w:val="Subsection"/>
      </w:pPr>
      <w:r>
        <w:tab/>
        <w:t>(5)</w:t>
      </w:r>
      <w:r>
        <w:tab/>
        <w:t xml:space="preserve">The reference in subsection (3) of section 22B of the </w:t>
      </w:r>
      <w:r>
        <w:rPr>
          <w:i/>
          <w:iCs/>
        </w:rPr>
        <w:t>Parliamentary Retiring Allowances Act 1948</w:t>
      </w:r>
      <w:r>
        <w:rPr>
          <w:i/>
          <w:iCs/>
        </w:rPr>
        <w:noBreakHyphen/>
        <w:t>1968</w:t>
      </w:r>
      <w:r>
        <w:t xml:space="preserve"> to pensions provided by Part VA of that Act shall be read as including a reference to increases in pensions under that Part payable by virtue of this Act. </w:t>
      </w:r>
    </w:p>
    <w:p w:rsidR="00831C0A" w:rsidRDefault="0083091D">
      <w:pPr>
        <w:pStyle w:val="Heading5"/>
      </w:pPr>
      <w:bookmarkStart w:id="23" w:name="_Toc7922605"/>
      <w:bookmarkStart w:id="24" w:name="_Toc425169586"/>
      <w:r>
        <w:rPr>
          <w:rStyle w:val="CharSectno"/>
        </w:rPr>
        <w:lastRenderedPageBreak/>
        <w:t>12</w:t>
      </w:r>
      <w:r>
        <w:t xml:space="preserve">  Application</w:t>
      </w:r>
      <w:bookmarkEnd w:id="23"/>
      <w:bookmarkEnd w:id="24"/>
      <w:r>
        <w:t xml:space="preserve"> </w:t>
      </w:r>
    </w:p>
    <w:p w:rsidR="00831C0A" w:rsidRDefault="0083091D">
      <w:pPr>
        <w:pStyle w:val="Subsection"/>
      </w:pPr>
      <w:r>
        <w:tab/>
        <w:t>(1)</w:t>
      </w:r>
      <w:r>
        <w:tab/>
        <w:t>Increases in pensions payable by virtue of subsection (1) of section 3, subsection (1) of section 4, subsection (1) of section 5, subsection (1) of section 6 and section 8 of this Act have effect from and including the first fortnightly payment of pensions made after the date of commencement of this Act.</w:t>
      </w:r>
    </w:p>
    <w:p w:rsidR="00831C0A" w:rsidRDefault="0083091D" w:rsidP="00086CC7">
      <w:pPr>
        <w:pStyle w:val="Subsection"/>
      </w:pPr>
      <w:r>
        <w:tab/>
        <w:t>(2)</w:t>
      </w:r>
      <w:r>
        <w:tab/>
        <w:t>Any increase payable by virtue of section 7 of this Act in a pension to which a person became entitled before the date of commencement of this Act has effect from and including the first fortnightly payment of that pension made after that date.</w:t>
      </w:r>
    </w:p>
    <w:p w:rsidR="00086CC7" w:rsidRDefault="00086CC7" w:rsidP="00086CC7">
      <w:pPr>
        <w:pStyle w:val="Subsection"/>
      </w:pPr>
    </w:p>
    <w:p w:rsidR="00086CC7" w:rsidRDefault="00086CC7" w:rsidP="00086CC7">
      <w:pPr>
        <w:pStyle w:val="Subsection"/>
      </w:pPr>
    </w:p>
    <w:p w:rsidR="00086CC7" w:rsidRDefault="00086CC7" w:rsidP="00086CC7">
      <w:pPr>
        <w:pStyle w:val="Subsection"/>
      </w:pPr>
    </w:p>
    <w:p w:rsidR="00086CC7" w:rsidRDefault="00086CC7" w:rsidP="00086CC7">
      <w:pPr>
        <w:pStyle w:val="Subsection"/>
        <w:sectPr w:rsidR="00086CC7" w:rsidSect="00086CC7">
          <w:headerReference w:type="even" r:id="rId16"/>
          <w:headerReference w:type="default" r:id="rId17"/>
          <w:footerReference w:type="even" r:id="rId18"/>
          <w:footerReference w:type="default" r:id="rId19"/>
          <w:footerReference w:type="first" r:id="rId20"/>
          <w:type w:val="oddPage"/>
          <w:pgSz w:w="11901" w:h="16840"/>
          <w:pgMar w:top="2268" w:right="2410" w:bottom="3827" w:left="2410" w:header="567" w:footer="3119" w:gutter="0"/>
          <w:pgNumType w:start="1"/>
          <w:cols w:space="709"/>
          <w:titlePg/>
          <w:docGrid w:linePitch="299"/>
        </w:sectPr>
      </w:pPr>
    </w:p>
    <w:p w:rsidR="00831C0A" w:rsidRDefault="00831C0A"/>
    <w:sectPr w:rsidR="00831C0A">
      <w:type w:val="continuous"/>
      <w:pgSz w:w="11901" w:h="16840"/>
      <w:pgMar w:top="2268" w:right="2410" w:bottom="3827" w:left="2410" w:header="567" w:footer="3118"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0A" w:rsidRDefault="0083091D">
      <w:pPr>
        <w:spacing w:line="240" w:lineRule="auto"/>
      </w:pPr>
      <w:r>
        <w:separator/>
      </w:r>
    </w:p>
  </w:endnote>
  <w:endnote w:type="continuationSeparator" w:id="0">
    <w:p w:rsidR="00831C0A" w:rsidRDefault="0083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pBdr>
        <w:top w:val="single" w:sz="6" w:space="1" w:color="auto"/>
      </w:pBdr>
      <w:rPr>
        <w:sz w:val="18"/>
        <w:szCs w:val="18"/>
      </w:rPr>
    </w:pPr>
  </w:p>
  <w:p w:rsidR="00831C0A" w:rsidRDefault="0083091D">
    <w:pPr>
      <w:rPr>
        <w:i/>
        <w:iCs/>
      </w:rPr>
    </w:pPr>
    <w:r>
      <w:rPr>
        <w:i/>
        <w:iCs/>
      </w:rPr>
      <w:fldChar w:fldCharType="begin"/>
    </w:r>
    <w:r>
      <w:rPr>
        <w:i/>
        <w:iCs/>
      </w:rPr>
      <w:instrText xml:space="preserve"> PAGE </w:instrText>
    </w:r>
    <w:r>
      <w:rPr>
        <w:i/>
        <w:iCs/>
      </w:rPr>
      <w:fldChar w:fldCharType="separate"/>
    </w:r>
    <w:r w:rsidR="00086CC7">
      <w:rPr>
        <w:i/>
        <w:iCs/>
        <w:noProof/>
      </w:rPr>
      <w:t>2</w:t>
    </w:r>
    <w:r>
      <w:rPr>
        <w:i/>
        <w:iCs/>
      </w:rPr>
      <w:fldChar w:fldCharType="end"/>
    </w:r>
    <w:r>
      <w:rPr>
        <w:i/>
        <w:iCs/>
      </w:rPr>
      <w:t xml:space="preserve">            </w:t>
    </w:r>
    <w:r>
      <w:rPr>
        <w:i/>
        <w:iCs/>
      </w:rPr>
      <w:fldChar w:fldCharType="begin"/>
    </w:r>
    <w:r>
      <w:rPr>
        <w:i/>
        <w:iCs/>
      </w:rPr>
      <w:instrText xml:space="preserve"> STYLEREF ShortT </w:instrText>
    </w:r>
    <w:r>
      <w:rPr>
        <w:i/>
        <w:iCs/>
      </w:rPr>
      <w:fldChar w:fldCharType="separate"/>
    </w:r>
    <w:r w:rsidR="00086CC7">
      <w:rPr>
        <w:i/>
        <w:iCs/>
        <w:noProof/>
      </w:rPr>
      <w:t>Parliamentary Retiring Allowances (Increases) Act 1971</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pBdr>
        <w:top w:val="single" w:sz="6" w:space="1" w:color="auto"/>
      </w:pBdr>
      <w:rPr>
        <w:sz w:val="18"/>
        <w:szCs w:val="18"/>
      </w:rPr>
    </w:pPr>
  </w:p>
  <w:p w:rsidR="00831C0A" w:rsidRPr="009467DD" w:rsidRDefault="009467DD">
    <w:pPr>
      <w:jc w:val="right"/>
      <w:rPr>
        <w:i/>
        <w:iCs/>
        <w:sz w:val="18"/>
        <w:szCs w:val="18"/>
      </w:rPr>
    </w:pPr>
    <w:r w:rsidRPr="009467DD">
      <w:rPr>
        <w:i/>
        <w:iCs/>
        <w:sz w:val="18"/>
        <w:szCs w:val="18"/>
      </w:rPr>
      <w:fldChar w:fldCharType="begin"/>
    </w:r>
    <w:r w:rsidRPr="009467DD">
      <w:rPr>
        <w:i/>
        <w:iCs/>
        <w:sz w:val="18"/>
        <w:szCs w:val="18"/>
      </w:rPr>
      <w:instrText xml:space="preserve"> STYLEREF  Actno </w:instrText>
    </w:r>
    <w:r w:rsidRPr="009467DD">
      <w:rPr>
        <w:i/>
        <w:iCs/>
        <w:sz w:val="18"/>
        <w:szCs w:val="18"/>
      </w:rPr>
      <w:fldChar w:fldCharType="separate"/>
    </w:r>
    <w:r w:rsidR="008B12E5">
      <w:rPr>
        <w:i/>
        <w:iCs/>
        <w:noProof/>
        <w:sz w:val="18"/>
        <w:szCs w:val="18"/>
      </w:rPr>
      <w:t>No. 75 of 1971</w:t>
    </w:r>
    <w:r w:rsidRPr="009467DD">
      <w:rPr>
        <w:i/>
        <w:iCs/>
        <w:sz w:val="18"/>
        <w:szCs w:val="18"/>
      </w:rPr>
      <w:fldChar w:fldCharType="end"/>
    </w:r>
    <w:r w:rsidR="001D743F">
      <w:rPr>
        <w:i/>
        <w:iCs/>
        <w:sz w:val="18"/>
        <w:szCs w:val="18"/>
      </w:rPr>
      <w:t xml:space="preserve">        </w:t>
    </w:r>
    <w:r w:rsidR="0083091D" w:rsidRPr="009467DD">
      <w:rPr>
        <w:i/>
        <w:iCs/>
        <w:sz w:val="18"/>
        <w:szCs w:val="18"/>
      </w:rPr>
      <w:fldChar w:fldCharType="begin"/>
    </w:r>
    <w:r w:rsidR="0083091D" w:rsidRPr="009467DD">
      <w:rPr>
        <w:i/>
        <w:iCs/>
        <w:sz w:val="18"/>
        <w:szCs w:val="18"/>
      </w:rPr>
      <w:instrText xml:space="preserve"> STYLEREF ShortT </w:instrText>
    </w:r>
    <w:r w:rsidR="0083091D" w:rsidRPr="009467DD">
      <w:rPr>
        <w:i/>
        <w:iCs/>
        <w:sz w:val="18"/>
        <w:szCs w:val="18"/>
      </w:rPr>
      <w:fldChar w:fldCharType="separate"/>
    </w:r>
    <w:r w:rsidR="008B12E5">
      <w:rPr>
        <w:i/>
        <w:iCs/>
        <w:noProof/>
        <w:sz w:val="18"/>
        <w:szCs w:val="18"/>
      </w:rPr>
      <w:t>Parliamentary Retiring Allowances (Increases) Act 1971</w:t>
    </w:r>
    <w:r w:rsidR="0083091D" w:rsidRPr="009467DD">
      <w:rPr>
        <w:i/>
        <w:iCs/>
        <w:sz w:val="18"/>
        <w:szCs w:val="18"/>
      </w:rPr>
      <w:fldChar w:fldCharType="end"/>
    </w:r>
    <w:r>
      <w:rPr>
        <w:i/>
        <w:iCs/>
        <w:sz w:val="18"/>
        <w:szCs w:val="18"/>
      </w:rPr>
      <w:t xml:space="preserve">  </w:t>
    </w:r>
    <w:r w:rsidR="0083091D" w:rsidRPr="009467DD">
      <w:rPr>
        <w:i/>
        <w:iCs/>
        <w:sz w:val="18"/>
        <w:szCs w:val="18"/>
      </w:rPr>
      <w:t xml:space="preserve">           </w:t>
    </w:r>
    <w:r w:rsidR="0083091D" w:rsidRPr="009467DD">
      <w:rPr>
        <w:i/>
        <w:iCs/>
        <w:sz w:val="18"/>
        <w:szCs w:val="18"/>
      </w:rPr>
      <w:fldChar w:fldCharType="begin"/>
    </w:r>
    <w:r w:rsidR="0083091D" w:rsidRPr="009467DD">
      <w:rPr>
        <w:i/>
        <w:iCs/>
        <w:sz w:val="18"/>
        <w:szCs w:val="18"/>
      </w:rPr>
      <w:instrText xml:space="preserve"> PAGE </w:instrText>
    </w:r>
    <w:r w:rsidR="0083091D" w:rsidRPr="009467DD">
      <w:rPr>
        <w:i/>
        <w:iCs/>
        <w:sz w:val="18"/>
        <w:szCs w:val="18"/>
      </w:rPr>
      <w:fldChar w:fldCharType="separate"/>
    </w:r>
    <w:r w:rsidR="008B12E5">
      <w:rPr>
        <w:i/>
        <w:iCs/>
        <w:noProof/>
        <w:sz w:val="18"/>
        <w:szCs w:val="18"/>
      </w:rPr>
      <w:t>i</w:t>
    </w:r>
    <w:r w:rsidR="0083091D" w:rsidRPr="009467DD">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C7" w:rsidRDefault="00086CC7">
    <w:pPr>
      <w:pBdr>
        <w:top w:val="single" w:sz="6" w:space="1" w:color="auto"/>
      </w:pBdr>
      <w:rPr>
        <w:sz w:val="18"/>
        <w:szCs w:val="18"/>
      </w:rPr>
    </w:pPr>
  </w:p>
  <w:p w:rsidR="00086CC7" w:rsidRPr="00086CC7" w:rsidRDefault="00086CC7">
    <w:pPr>
      <w:rPr>
        <w:i/>
        <w:iCs/>
        <w:sz w:val="18"/>
        <w:szCs w:val="18"/>
      </w:rPr>
    </w:pPr>
    <w:r w:rsidRPr="00086CC7">
      <w:rPr>
        <w:i/>
        <w:iCs/>
        <w:sz w:val="18"/>
        <w:szCs w:val="18"/>
      </w:rPr>
      <w:fldChar w:fldCharType="begin"/>
    </w:r>
    <w:r w:rsidRPr="00086CC7">
      <w:rPr>
        <w:i/>
        <w:iCs/>
        <w:sz w:val="18"/>
        <w:szCs w:val="18"/>
      </w:rPr>
      <w:instrText xml:space="preserve"> PAGE </w:instrText>
    </w:r>
    <w:r w:rsidRPr="00086CC7">
      <w:rPr>
        <w:i/>
        <w:iCs/>
        <w:sz w:val="18"/>
        <w:szCs w:val="18"/>
      </w:rPr>
      <w:fldChar w:fldCharType="separate"/>
    </w:r>
    <w:r w:rsidR="008B12E5">
      <w:rPr>
        <w:i/>
        <w:iCs/>
        <w:noProof/>
        <w:sz w:val="18"/>
        <w:szCs w:val="18"/>
      </w:rPr>
      <w:t>2</w:t>
    </w:r>
    <w:r w:rsidRPr="00086CC7">
      <w:rPr>
        <w:i/>
        <w:iCs/>
        <w:sz w:val="18"/>
        <w:szCs w:val="18"/>
      </w:rPr>
      <w:fldChar w:fldCharType="end"/>
    </w:r>
    <w:r w:rsidRPr="00086CC7">
      <w:rPr>
        <w:i/>
        <w:iCs/>
        <w:sz w:val="18"/>
        <w:szCs w:val="18"/>
      </w:rPr>
      <w:t xml:space="preserve">            </w:t>
    </w:r>
    <w:r w:rsidRPr="00086CC7">
      <w:rPr>
        <w:i/>
        <w:iCs/>
        <w:sz w:val="18"/>
        <w:szCs w:val="18"/>
      </w:rPr>
      <w:fldChar w:fldCharType="begin"/>
    </w:r>
    <w:r w:rsidRPr="00086CC7">
      <w:rPr>
        <w:i/>
        <w:iCs/>
        <w:sz w:val="18"/>
        <w:szCs w:val="18"/>
      </w:rPr>
      <w:instrText xml:space="preserve"> STYLEREF ShortT </w:instrText>
    </w:r>
    <w:r w:rsidRPr="00086CC7">
      <w:rPr>
        <w:i/>
        <w:iCs/>
        <w:sz w:val="18"/>
        <w:szCs w:val="18"/>
      </w:rPr>
      <w:fldChar w:fldCharType="separate"/>
    </w:r>
    <w:r w:rsidR="008B12E5">
      <w:rPr>
        <w:i/>
        <w:iCs/>
        <w:noProof/>
        <w:sz w:val="18"/>
        <w:szCs w:val="18"/>
      </w:rPr>
      <w:t>Parliamentary Retiring Allowances (Increases) Act 1971</w:t>
    </w:r>
    <w:r w:rsidRPr="00086CC7">
      <w:rPr>
        <w:i/>
        <w:iCs/>
        <w:sz w:val="18"/>
        <w:szCs w:val="18"/>
      </w:rPr>
      <w:fldChar w:fldCharType="end"/>
    </w:r>
    <w:r w:rsidRPr="00086CC7">
      <w:rPr>
        <w:i/>
        <w:iCs/>
        <w:sz w:val="18"/>
        <w:szCs w:val="18"/>
      </w:rPr>
      <w:t xml:space="preserve">       </w:t>
    </w:r>
    <w:r w:rsidRPr="00F44ED6">
      <w:rPr>
        <w:i/>
        <w:iCs/>
        <w:sz w:val="18"/>
        <w:szCs w:val="18"/>
      </w:rPr>
      <w:fldChar w:fldCharType="begin"/>
    </w:r>
    <w:r w:rsidRPr="00F44ED6">
      <w:rPr>
        <w:i/>
        <w:iCs/>
        <w:sz w:val="18"/>
        <w:szCs w:val="18"/>
      </w:rPr>
      <w:instrText xml:space="preserve"> STYLEREF  Actno </w:instrText>
    </w:r>
    <w:r w:rsidRPr="00F44ED6">
      <w:rPr>
        <w:i/>
        <w:iCs/>
        <w:sz w:val="18"/>
        <w:szCs w:val="18"/>
      </w:rPr>
      <w:fldChar w:fldCharType="separate"/>
    </w:r>
    <w:r w:rsidR="008B12E5">
      <w:rPr>
        <w:i/>
        <w:iCs/>
        <w:noProof/>
        <w:sz w:val="18"/>
        <w:szCs w:val="18"/>
      </w:rPr>
      <w:t>No. 75 of 1971</w:t>
    </w:r>
    <w:r w:rsidRPr="00F44ED6">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C7" w:rsidRDefault="00086CC7">
    <w:pPr>
      <w:pBdr>
        <w:top w:val="single" w:sz="6" w:space="1" w:color="auto"/>
      </w:pBdr>
      <w:rPr>
        <w:sz w:val="18"/>
        <w:szCs w:val="18"/>
      </w:rPr>
    </w:pPr>
  </w:p>
  <w:p w:rsidR="00086CC7" w:rsidRPr="009467DD" w:rsidRDefault="00086CC7">
    <w:pPr>
      <w:jc w:val="right"/>
      <w:rPr>
        <w:i/>
        <w:iCs/>
        <w:sz w:val="18"/>
        <w:szCs w:val="18"/>
      </w:rPr>
    </w:pPr>
    <w:r w:rsidRPr="009467DD">
      <w:rPr>
        <w:i/>
        <w:iCs/>
        <w:sz w:val="18"/>
        <w:szCs w:val="18"/>
      </w:rPr>
      <w:fldChar w:fldCharType="begin"/>
    </w:r>
    <w:r w:rsidRPr="009467DD">
      <w:rPr>
        <w:i/>
        <w:iCs/>
        <w:sz w:val="18"/>
        <w:szCs w:val="18"/>
      </w:rPr>
      <w:instrText xml:space="preserve"> STYLEREF  Actno </w:instrText>
    </w:r>
    <w:r w:rsidRPr="009467DD">
      <w:rPr>
        <w:i/>
        <w:iCs/>
        <w:sz w:val="18"/>
        <w:szCs w:val="18"/>
      </w:rPr>
      <w:fldChar w:fldCharType="separate"/>
    </w:r>
    <w:r w:rsidR="008B12E5">
      <w:rPr>
        <w:i/>
        <w:iCs/>
        <w:noProof/>
        <w:sz w:val="18"/>
        <w:szCs w:val="18"/>
      </w:rPr>
      <w:t>No. 75 of 1971</w:t>
    </w:r>
    <w:r w:rsidRPr="009467DD">
      <w:rPr>
        <w:i/>
        <w:iCs/>
        <w:sz w:val="18"/>
        <w:szCs w:val="18"/>
      </w:rPr>
      <w:fldChar w:fldCharType="end"/>
    </w:r>
    <w:r>
      <w:rPr>
        <w:i/>
        <w:iCs/>
        <w:sz w:val="18"/>
        <w:szCs w:val="18"/>
      </w:rPr>
      <w:t xml:space="preserve">        </w:t>
    </w:r>
    <w:r w:rsidRPr="009467DD">
      <w:rPr>
        <w:i/>
        <w:iCs/>
        <w:sz w:val="18"/>
        <w:szCs w:val="18"/>
      </w:rPr>
      <w:fldChar w:fldCharType="begin"/>
    </w:r>
    <w:r w:rsidRPr="009467DD">
      <w:rPr>
        <w:i/>
        <w:iCs/>
        <w:sz w:val="18"/>
        <w:szCs w:val="18"/>
      </w:rPr>
      <w:instrText xml:space="preserve"> STYLEREF ShortT </w:instrText>
    </w:r>
    <w:r w:rsidRPr="009467DD">
      <w:rPr>
        <w:i/>
        <w:iCs/>
        <w:sz w:val="18"/>
        <w:szCs w:val="18"/>
      </w:rPr>
      <w:fldChar w:fldCharType="separate"/>
    </w:r>
    <w:r w:rsidR="008B12E5">
      <w:rPr>
        <w:i/>
        <w:iCs/>
        <w:noProof/>
        <w:sz w:val="18"/>
        <w:szCs w:val="18"/>
      </w:rPr>
      <w:t>Parliamentary Retiring Allowances (Increases) Act 1971</w:t>
    </w:r>
    <w:r w:rsidRPr="009467DD">
      <w:rPr>
        <w:i/>
        <w:iCs/>
        <w:sz w:val="18"/>
        <w:szCs w:val="18"/>
      </w:rPr>
      <w:fldChar w:fldCharType="end"/>
    </w:r>
    <w:r>
      <w:rPr>
        <w:i/>
        <w:iCs/>
        <w:sz w:val="18"/>
        <w:szCs w:val="18"/>
      </w:rPr>
      <w:t xml:space="preserve">  </w:t>
    </w:r>
    <w:r w:rsidRPr="009467DD">
      <w:rPr>
        <w:i/>
        <w:iCs/>
        <w:sz w:val="18"/>
        <w:szCs w:val="18"/>
      </w:rPr>
      <w:t xml:space="preserve">           </w:t>
    </w:r>
    <w:r w:rsidRPr="009467DD">
      <w:rPr>
        <w:i/>
        <w:iCs/>
        <w:sz w:val="18"/>
        <w:szCs w:val="18"/>
      </w:rPr>
      <w:fldChar w:fldCharType="begin"/>
    </w:r>
    <w:r w:rsidRPr="009467DD">
      <w:rPr>
        <w:i/>
        <w:iCs/>
        <w:sz w:val="18"/>
        <w:szCs w:val="18"/>
      </w:rPr>
      <w:instrText xml:space="preserve"> PAGE </w:instrText>
    </w:r>
    <w:r w:rsidRPr="009467DD">
      <w:rPr>
        <w:i/>
        <w:iCs/>
        <w:sz w:val="18"/>
        <w:szCs w:val="18"/>
      </w:rPr>
      <w:fldChar w:fldCharType="separate"/>
    </w:r>
    <w:r w:rsidR="008B12E5">
      <w:rPr>
        <w:i/>
        <w:iCs/>
        <w:noProof/>
        <w:sz w:val="18"/>
        <w:szCs w:val="18"/>
      </w:rPr>
      <w:t>3</w:t>
    </w:r>
    <w:r w:rsidRPr="009467DD">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C7" w:rsidRDefault="00086CC7" w:rsidP="00086CC7">
    <w:pPr>
      <w:pBdr>
        <w:top w:val="single" w:sz="6" w:space="1" w:color="auto"/>
      </w:pBdr>
      <w:jc w:val="right"/>
      <w:rPr>
        <w:i/>
        <w:iCs/>
        <w:sz w:val="18"/>
        <w:szCs w:val="18"/>
      </w:rPr>
    </w:pPr>
  </w:p>
  <w:p w:rsidR="00086CC7" w:rsidRPr="00086CC7" w:rsidRDefault="00086CC7" w:rsidP="00086CC7">
    <w:pPr>
      <w:pBdr>
        <w:top w:val="single" w:sz="6" w:space="1" w:color="auto"/>
      </w:pBdr>
      <w:jc w:val="right"/>
      <w:rPr>
        <w:i/>
        <w:iCs/>
        <w:sz w:val="18"/>
        <w:szCs w:val="18"/>
      </w:rPr>
    </w:pPr>
    <w:r w:rsidRPr="00F44ED6">
      <w:rPr>
        <w:i/>
        <w:iCs/>
        <w:sz w:val="18"/>
        <w:szCs w:val="18"/>
      </w:rPr>
      <w:fldChar w:fldCharType="begin"/>
    </w:r>
    <w:r w:rsidRPr="00F44ED6">
      <w:rPr>
        <w:i/>
        <w:iCs/>
        <w:sz w:val="18"/>
        <w:szCs w:val="18"/>
      </w:rPr>
      <w:instrText xml:space="preserve"> STYLEREF ShortT </w:instrText>
    </w:r>
    <w:r w:rsidRPr="00F44ED6">
      <w:rPr>
        <w:i/>
        <w:iCs/>
        <w:sz w:val="18"/>
        <w:szCs w:val="18"/>
      </w:rPr>
      <w:fldChar w:fldCharType="separate"/>
    </w:r>
    <w:r w:rsidR="008B12E5">
      <w:rPr>
        <w:i/>
        <w:iCs/>
        <w:noProof/>
        <w:sz w:val="18"/>
        <w:szCs w:val="18"/>
      </w:rPr>
      <w:t>Parliamentary Retiring Allowances (Increases) Act 1971</w:t>
    </w:r>
    <w:r w:rsidRPr="00F44ED6">
      <w:rPr>
        <w:i/>
        <w:iCs/>
        <w:sz w:val="18"/>
        <w:szCs w:val="18"/>
      </w:rPr>
      <w:fldChar w:fldCharType="end"/>
    </w:r>
    <w:r w:rsidRPr="00F44ED6">
      <w:rPr>
        <w:i/>
        <w:iCs/>
        <w:sz w:val="18"/>
        <w:szCs w:val="18"/>
      </w:rPr>
      <w:t xml:space="preserve">    </w:t>
    </w:r>
    <w:r w:rsidRPr="00F44ED6">
      <w:rPr>
        <w:i/>
        <w:iCs/>
        <w:sz w:val="18"/>
        <w:szCs w:val="18"/>
      </w:rPr>
      <w:fldChar w:fldCharType="begin"/>
    </w:r>
    <w:r w:rsidRPr="00F44ED6">
      <w:rPr>
        <w:i/>
        <w:iCs/>
        <w:sz w:val="18"/>
        <w:szCs w:val="18"/>
      </w:rPr>
      <w:instrText xml:space="preserve"> STYLEREF  Actno </w:instrText>
    </w:r>
    <w:r w:rsidRPr="00F44ED6">
      <w:rPr>
        <w:i/>
        <w:iCs/>
        <w:sz w:val="18"/>
        <w:szCs w:val="18"/>
      </w:rPr>
      <w:fldChar w:fldCharType="separate"/>
    </w:r>
    <w:r w:rsidR="008B12E5">
      <w:rPr>
        <w:i/>
        <w:iCs/>
        <w:noProof/>
        <w:sz w:val="18"/>
        <w:szCs w:val="18"/>
      </w:rPr>
      <w:t>No. 75 of 1971</w:t>
    </w:r>
    <w:r w:rsidRPr="00F44ED6">
      <w:rPr>
        <w:i/>
        <w:iCs/>
        <w:sz w:val="18"/>
        <w:szCs w:val="18"/>
      </w:rPr>
      <w:fldChar w:fldCharType="end"/>
    </w:r>
    <w:r w:rsidRPr="00F44ED6">
      <w:rPr>
        <w:i/>
        <w:iCs/>
        <w:sz w:val="18"/>
        <w:szCs w:val="18"/>
      </w:rPr>
      <w:t xml:space="preserve">               </w:t>
    </w:r>
    <w:r w:rsidRPr="00F44ED6">
      <w:rPr>
        <w:i/>
        <w:iCs/>
        <w:sz w:val="18"/>
        <w:szCs w:val="18"/>
      </w:rPr>
      <w:fldChar w:fldCharType="begin"/>
    </w:r>
    <w:r w:rsidRPr="00F44ED6">
      <w:rPr>
        <w:i/>
        <w:iCs/>
        <w:sz w:val="18"/>
        <w:szCs w:val="18"/>
      </w:rPr>
      <w:instrText xml:space="preserve"> PAGE </w:instrText>
    </w:r>
    <w:r w:rsidRPr="00F44ED6">
      <w:rPr>
        <w:i/>
        <w:iCs/>
        <w:sz w:val="18"/>
        <w:szCs w:val="18"/>
      </w:rPr>
      <w:fldChar w:fldCharType="separate"/>
    </w:r>
    <w:r w:rsidR="008B12E5">
      <w:rPr>
        <w:i/>
        <w:iCs/>
        <w:noProof/>
        <w:sz w:val="18"/>
        <w:szCs w:val="18"/>
      </w:rPr>
      <w:t>1</w:t>
    </w:r>
    <w:r w:rsidRPr="00F44ED6">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0A" w:rsidRDefault="0083091D">
      <w:pPr>
        <w:spacing w:line="240" w:lineRule="auto"/>
      </w:pPr>
      <w:r>
        <w:separator/>
      </w:r>
    </w:p>
  </w:footnote>
  <w:footnote w:type="continuationSeparator" w:id="0">
    <w:p w:rsidR="00831C0A" w:rsidRDefault="008309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jc w:val="right"/>
    </w:pPr>
  </w:p>
  <w:p w:rsidR="00831C0A" w:rsidRDefault="00831C0A">
    <w:pPr>
      <w:jc w:val="right"/>
      <w:rPr>
        <w:i/>
        <w:iCs/>
      </w:rPr>
    </w:pPr>
  </w:p>
  <w:p w:rsidR="00831C0A" w:rsidRDefault="00831C0A">
    <w:pPr>
      <w:jc w:val="right"/>
    </w:pPr>
  </w:p>
  <w:p w:rsidR="00831C0A" w:rsidRDefault="00831C0A">
    <w:pPr>
      <w:jc w:val="right"/>
    </w:pPr>
  </w:p>
  <w:p w:rsidR="00831C0A" w:rsidRDefault="00831C0A">
    <w:pPr>
      <w:pBdr>
        <w:bottom w:val="single" w:sz="12" w:space="1" w:color="auto"/>
      </w:pBdr>
      <w:jc w:val="right"/>
      <w:rPr>
        <w:i/>
        <w:iCs/>
      </w:rPr>
    </w:pPr>
  </w:p>
  <w:p w:rsidR="00831C0A" w:rsidRDefault="00831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jc w:val="right"/>
    </w:pPr>
  </w:p>
  <w:p w:rsidR="00831C0A" w:rsidRDefault="00831C0A">
    <w:pPr>
      <w:jc w:val="right"/>
      <w:rPr>
        <w:i/>
        <w:iCs/>
      </w:rPr>
    </w:pPr>
  </w:p>
  <w:p w:rsidR="00831C0A" w:rsidRDefault="00831C0A">
    <w:pPr>
      <w:jc w:val="right"/>
    </w:pPr>
  </w:p>
  <w:p w:rsidR="00831C0A" w:rsidRDefault="00831C0A">
    <w:pPr>
      <w:jc w:val="right"/>
    </w:pPr>
  </w:p>
  <w:p w:rsidR="00831C0A" w:rsidRDefault="00831C0A">
    <w:pPr>
      <w:pBdr>
        <w:bottom w:val="single" w:sz="12" w:space="1" w:color="auto"/>
      </w:pBdr>
      <w:jc w:val="right"/>
      <w:rPr>
        <w:i/>
        <w:iCs/>
      </w:rPr>
    </w:pPr>
  </w:p>
  <w:p w:rsidR="00831C0A" w:rsidRDefault="00831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jc w:val="right"/>
    </w:pPr>
  </w:p>
  <w:p w:rsidR="00831C0A" w:rsidRDefault="00831C0A">
    <w:pPr>
      <w:jc w:val="right"/>
      <w:rPr>
        <w:i/>
        <w:iCs/>
      </w:rPr>
    </w:pPr>
  </w:p>
  <w:p w:rsidR="00831C0A" w:rsidRDefault="00831C0A">
    <w:pPr>
      <w:jc w:val="right"/>
    </w:pPr>
  </w:p>
  <w:p w:rsidR="00831C0A" w:rsidRDefault="00831C0A">
    <w:pPr>
      <w:jc w:val="right"/>
    </w:pPr>
  </w:p>
  <w:p w:rsidR="00831C0A" w:rsidRDefault="00831C0A">
    <w:pPr>
      <w:pBdr>
        <w:bottom w:val="single" w:sz="12" w:space="1" w:color="auto"/>
      </w:pBdr>
      <w:jc w:val="right"/>
      <w:rPr>
        <w:i/>
        <w:iCs/>
      </w:rPr>
    </w:pPr>
  </w:p>
  <w:p w:rsidR="00831C0A" w:rsidRDefault="00831C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0A" w:rsidRDefault="00831C0A">
    <w:pPr>
      <w:jc w:val="right"/>
    </w:pPr>
  </w:p>
  <w:p w:rsidR="00831C0A" w:rsidRDefault="00831C0A">
    <w:pPr>
      <w:jc w:val="right"/>
      <w:rPr>
        <w:i/>
        <w:iCs/>
      </w:rPr>
    </w:pPr>
  </w:p>
  <w:p w:rsidR="00831C0A" w:rsidRDefault="00831C0A">
    <w:pPr>
      <w:jc w:val="right"/>
    </w:pPr>
  </w:p>
  <w:p w:rsidR="00831C0A" w:rsidRDefault="00831C0A">
    <w:pPr>
      <w:jc w:val="right"/>
    </w:pPr>
  </w:p>
  <w:p w:rsidR="00831C0A" w:rsidRDefault="00831C0A">
    <w:pPr>
      <w:pBdr>
        <w:bottom w:val="single" w:sz="12" w:space="1" w:color="auto"/>
      </w:pBdr>
      <w:jc w:val="right"/>
      <w:rPr>
        <w:i/>
        <w:iCs/>
      </w:rPr>
    </w:pPr>
  </w:p>
  <w:p w:rsidR="00831C0A" w:rsidRDefault="00831C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C7" w:rsidRDefault="00086CC7" w:rsidP="00086CC7"/>
  <w:p w:rsidR="00086CC7" w:rsidRDefault="00086CC7" w:rsidP="00086CC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86CC7" w:rsidRDefault="00086CC7" w:rsidP="00086CC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86CC7" w:rsidRPr="007A1328" w:rsidRDefault="00086CC7" w:rsidP="00086C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6CC7" w:rsidRPr="007A1328" w:rsidRDefault="00086CC7" w:rsidP="00086CC7">
    <w:pPr>
      <w:rPr>
        <w:b/>
        <w:sz w:val="24"/>
      </w:rPr>
    </w:pPr>
  </w:p>
  <w:p w:rsidR="00086CC7" w:rsidRPr="007A1328" w:rsidRDefault="00086CC7" w:rsidP="00086CC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B12E5">
      <w:rPr>
        <w:noProof/>
        <w:sz w:val="24"/>
      </w:rPr>
      <w:t>2</w:t>
    </w:r>
    <w:r w:rsidRPr="007A1328">
      <w:rPr>
        <w:sz w:val="24"/>
      </w:rPr>
      <w:fldChar w:fldCharType="end"/>
    </w:r>
  </w:p>
  <w:p w:rsidR="00831C0A" w:rsidRPr="00086CC7" w:rsidRDefault="00831C0A" w:rsidP="00086C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C7" w:rsidRPr="007A1328" w:rsidRDefault="00086CC7" w:rsidP="00086CC7">
    <w:pPr>
      <w:jc w:val="right"/>
      <w:rPr>
        <w:sz w:val="20"/>
      </w:rPr>
    </w:pPr>
  </w:p>
  <w:p w:rsidR="00086CC7" w:rsidRPr="007A1328" w:rsidRDefault="00086CC7" w:rsidP="00086CC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86CC7" w:rsidRPr="007A1328" w:rsidRDefault="00086CC7" w:rsidP="00086CC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6CC7" w:rsidRPr="007A1328" w:rsidRDefault="00086CC7" w:rsidP="00086CC7">
    <w:pPr>
      <w:jc w:val="right"/>
      <w:rPr>
        <w:b/>
        <w:sz w:val="24"/>
      </w:rPr>
    </w:pPr>
  </w:p>
  <w:p w:rsidR="00086CC7" w:rsidRPr="007A1328" w:rsidRDefault="00086CC7" w:rsidP="00086CC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B12E5">
      <w:rPr>
        <w:noProof/>
        <w:sz w:val="24"/>
      </w:rPr>
      <w:t>4</w:t>
    </w:r>
    <w:r w:rsidRPr="007A1328">
      <w:rPr>
        <w:sz w:val="24"/>
      </w:rPr>
      <w:fldChar w:fldCharType="end"/>
    </w:r>
  </w:p>
  <w:p w:rsidR="00831C0A" w:rsidRPr="00086CC7" w:rsidRDefault="00831C0A" w:rsidP="00086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lvlText w:val="%1."/>
      <w:lvlJc w:val="left"/>
      <w:pPr>
        <w:tabs>
          <w:tab w:val="num" w:pos="926"/>
        </w:tabs>
        <w:ind w:left="926" w:hanging="360"/>
      </w:pPr>
    </w:lvl>
  </w:abstractNum>
  <w:abstractNum w:abstractNumId="3">
    <w:nsid w:val="FFFFFF7F"/>
    <w:multiLevelType w:val="singleLevel"/>
    <w:tmpl w:val="59A8DBD6"/>
    <w:lvl w:ilvl="0">
      <w:start w:val="1"/>
      <w:numFmt w:val="decimal"/>
      <w:lvlText w:val="%1."/>
      <w:lvlJc w:val="left"/>
      <w:pPr>
        <w:tabs>
          <w:tab w:val="num" w:pos="643"/>
        </w:tabs>
        <w:ind w:left="643" w:hanging="360"/>
      </w:pPr>
    </w:lvl>
  </w:abstractNum>
  <w:abstractNum w:abstractNumId="4">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lvlText w:val="%1."/>
      <w:lvlJc w:val="left"/>
      <w:pPr>
        <w:tabs>
          <w:tab w:val="num" w:pos="360"/>
        </w:tabs>
        <w:ind w:left="360" w:hanging="360"/>
      </w:pPr>
    </w:lvl>
  </w:abstractNum>
  <w:abstractNum w:abstractNumId="9">
    <w:nsid w:val="FFFFFF89"/>
    <w:multiLevelType w:val="singleLevel"/>
    <w:tmpl w:val="230AA58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FractionalCharacterWidth/>
  <w:embedSystemFonts/>
  <w:mirrorMargins/>
  <w:attachedTemplate r:id="rId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A6"/>
    <w:rsid w:val="00086CC7"/>
    <w:rsid w:val="001D743F"/>
    <w:rsid w:val="002466A6"/>
    <w:rsid w:val="005F2760"/>
    <w:rsid w:val="0083091D"/>
    <w:rsid w:val="00831C0A"/>
    <w:rsid w:val="008B12E5"/>
    <w:rsid w:val="009122C3"/>
    <w:rsid w:val="009467DD"/>
    <w:rsid w:val="00B64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tabs>
        <w:tab w:val="left" w:pos="709"/>
      </w:tabs>
      <w:ind w:left="709" w:hanging="709"/>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EndNote">
    <w:name w:val="EndNote"/>
    <w:basedOn w:val="Normal"/>
    <w:uiPriority w:val="99"/>
    <w:pPr>
      <w:spacing w:before="180"/>
    </w:p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TOAmRenumbered">
    <w:name w:val="TOAmRenumbered"/>
    <w:basedOn w:val="TableOfAmend"/>
    <w:uiPriority w:val="99"/>
    <w:pPr>
      <w:ind w:left="0" w:firstLine="0"/>
    </w:p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pPr>
    <w:rPr>
      <w:b/>
      <w:bCs/>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2"/>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Formula">
    <w:name w:val="Formula"/>
    <w:basedOn w:val="Normal"/>
    <w:uiPriority w:val="99"/>
    <w:pPr>
      <w:ind w:left="1134"/>
    </w:pPr>
    <w:rPr>
      <w:sz w:val="20"/>
      <w:szCs w:val="20"/>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verActNo">
    <w:name w:val="CoverActNo"/>
    <w:basedOn w:val="UpdateDate"/>
    <w:uiPriority w:val="99"/>
    <w:rPr>
      <w:b/>
      <w:b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styleId="BalloonText">
    <w:name w:val="Balloon Text"/>
    <w:basedOn w:val="Normal"/>
    <w:link w:val="BalloonTextChar"/>
    <w:uiPriority w:val="99"/>
    <w:semiHidden/>
    <w:unhideWhenUsed/>
    <w:rsid w:val="005F2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60"/>
    <w:rPr>
      <w:rFonts w:ascii="Tahoma" w:hAnsi="Tahoma" w:cs="Tahoma"/>
      <w:sz w:val="16"/>
      <w:szCs w:val="16"/>
    </w:rPr>
  </w:style>
  <w:style w:type="paragraph" w:customStyle="1" w:styleId="AssentDt">
    <w:name w:val="AssentDt"/>
    <w:basedOn w:val="Normal"/>
    <w:rsid w:val="001D743F"/>
    <w:pPr>
      <w:autoSpaceDE/>
      <w:autoSpaceDN/>
      <w:spacing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45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tabs>
        <w:tab w:val="left" w:pos="709"/>
      </w:tabs>
      <w:ind w:left="709" w:hanging="709"/>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3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rFonts w:ascii="Palatino" w:hAnsi="Palatino" w:cs="Palatino"/>
      <w:smallCaps/>
      <w:vertAlign w:val="superscript"/>
    </w:rPr>
  </w:style>
  <w:style w:type="paragraph" w:customStyle="1" w:styleId="EndNote">
    <w:name w:val="EndNote"/>
    <w:basedOn w:val="Normal"/>
    <w:uiPriority w:val="99"/>
    <w:pPr>
      <w:spacing w:before="180"/>
    </w:p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TOAmRenumbered">
    <w:name w:val="TOAmRenumbered"/>
    <w:basedOn w:val="TableOfAmend"/>
    <w:uiPriority w:val="99"/>
    <w:pPr>
      <w:ind w:left="0" w:firstLine="0"/>
    </w:p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styleId="Caption">
    <w:name w:val="caption"/>
    <w:basedOn w:val="Normal"/>
    <w:next w:val="Normal"/>
    <w:uiPriority w:val="99"/>
    <w:qFormat/>
    <w:pPr>
      <w:spacing w:before="120" w:after="120"/>
    </w:pPr>
    <w:rPr>
      <w:b/>
      <w:bCs/>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notebullet">
    <w:name w:val="note(bullet)"/>
    <w:basedOn w:val="Normal"/>
    <w:uiPriority w:val="99"/>
    <w:pPr>
      <w:numPr>
        <w:numId w:val="22"/>
      </w:numPr>
      <w:tabs>
        <w:tab w:val="left" w:pos="2268"/>
      </w:tabs>
    </w:pPr>
    <w:rPr>
      <w:sz w:val="18"/>
      <w:szCs w:val="18"/>
    </w:rPr>
  </w:style>
  <w:style w:type="paragraph" w:customStyle="1" w:styleId="Contents">
    <w:name w:val="Contents"/>
    <w:basedOn w:val="Normal"/>
    <w:next w:val="Normal"/>
    <w:uiPriority w:val="99"/>
    <w:pPr>
      <w:spacing w:line="240" w:lineRule="auto"/>
    </w:pPr>
    <w:rPr>
      <w:sz w:val="36"/>
      <w:szCs w:val="36"/>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UpdateDate">
    <w:name w:val="UpdateDate"/>
    <w:basedOn w:val="Normal"/>
    <w:uiPriority w:val="99"/>
    <w:pPr>
      <w:spacing w:before="24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TableA">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Actno">
    <w:name w:val="Actno"/>
    <w:basedOn w:val="UpdateDate"/>
    <w:next w:val="Normal"/>
    <w:uiPriority w:val="99"/>
    <w:rPr>
      <w:b/>
      <w:bCs/>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Formula">
    <w:name w:val="Formula"/>
    <w:basedOn w:val="Normal"/>
    <w:uiPriority w:val="99"/>
    <w:pPr>
      <w:ind w:left="1134"/>
    </w:pPr>
    <w:rPr>
      <w:sz w:val="20"/>
      <w:szCs w:val="20"/>
    </w:rPr>
  </w:style>
  <w:style w:type="paragraph" w:styleId="ListBullet">
    <w:name w:val="List Bullet"/>
    <w:basedOn w:val="Normal"/>
    <w:autoRedefine/>
    <w:uiPriority w:val="99"/>
    <w:pPr>
      <w:numPr>
        <w:numId w:val="6"/>
      </w:numPr>
      <w:tabs>
        <w:tab w:val="clear" w:pos="360"/>
      </w:tabs>
      <w:ind w:left="284" w:hanging="284"/>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1">
    <w:name w:val="Page1"/>
    <w:basedOn w:val="Normal"/>
    <w:uiPriority w:val="99"/>
    <w:pPr>
      <w:spacing w:before="5600" w:line="240" w:lineRule="auto"/>
    </w:pPr>
    <w:rPr>
      <w:b/>
      <w:bCs/>
      <w:sz w:val="32"/>
      <w:szCs w:val="32"/>
    </w:r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0">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CoverActNo">
    <w:name w:val="CoverActNo"/>
    <w:basedOn w:val="UpdateDate"/>
    <w:uiPriority w:val="99"/>
    <w:rPr>
      <w:b/>
      <w:bCs/>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 w:type="paragraph" w:styleId="BalloonText">
    <w:name w:val="Balloon Text"/>
    <w:basedOn w:val="Normal"/>
    <w:link w:val="BalloonTextChar"/>
    <w:uiPriority w:val="99"/>
    <w:semiHidden/>
    <w:unhideWhenUsed/>
    <w:rsid w:val="005F2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60"/>
    <w:rPr>
      <w:rFonts w:ascii="Tahoma" w:hAnsi="Tahoma" w:cs="Tahoma"/>
      <w:sz w:val="16"/>
      <w:szCs w:val="16"/>
    </w:rPr>
  </w:style>
  <w:style w:type="paragraph" w:customStyle="1" w:styleId="AssentDt">
    <w:name w:val="AssentDt"/>
    <w:basedOn w:val="Normal"/>
    <w:rsid w:val="001D743F"/>
    <w:pPr>
      <w:autoSpaceDE/>
      <w:autoSpaceDN/>
      <w:spacing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45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fp40\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B25D-82B6-4245-A27A-54B8AF13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1</TotalTime>
  <Pages>12</Pages>
  <Words>2007</Words>
  <Characters>10418</Characters>
  <Application>Microsoft Office Word</Application>
  <DocSecurity>0</DocSecurity>
  <Lines>1488</Lines>
  <Paragraphs>887</Paragraphs>
  <ScaleCrop>false</ScaleCrop>
  <HeadingPairs>
    <vt:vector size="2" baseType="variant">
      <vt:variant>
        <vt:lpstr>Title</vt:lpstr>
      </vt:variant>
      <vt:variant>
        <vt:i4>1</vt:i4>
      </vt:variant>
    </vt:vector>
  </HeadingPairs>
  <TitlesOfParts>
    <vt:vector size="1" baseType="lpstr">
      <vt:lpstr>Parliamentary Retiring Allowances (Increases) Act 1971</vt:lpstr>
    </vt:vector>
  </TitlesOfParts>
  <Company>Attorney-General's Department</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Retiring Allowances (Increases) Act 1971</dc:title>
  <dc:creator>First Name Surname</dc:creator>
  <cp:lastModifiedBy>Coles, Deslyn</cp:lastModifiedBy>
  <cp:revision>3</cp:revision>
  <cp:lastPrinted>2002-04-30T02:10:00Z</cp:lastPrinted>
  <dcterms:created xsi:type="dcterms:W3CDTF">2015-07-20T05:31:00Z</dcterms:created>
  <dcterms:modified xsi:type="dcterms:W3CDTF">2015-07-20T05:33:00Z</dcterms:modified>
</cp:coreProperties>
</file>