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16" w:rsidRDefault="00680650">
      <w:r>
        <w:rPr>
          <w:noProof/>
        </w:rPr>
        <w:drawing>
          <wp:inline distT="0" distB="0" distL="0" distR="0">
            <wp:extent cx="144145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0" cy="1066800"/>
                    </a:xfrm>
                    <a:prstGeom prst="rect">
                      <a:avLst/>
                    </a:prstGeom>
                    <a:noFill/>
                    <a:ln>
                      <a:noFill/>
                    </a:ln>
                  </pic:spPr>
                </pic:pic>
              </a:graphicData>
            </a:graphic>
          </wp:inline>
        </w:drawing>
      </w:r>
    </w:p>
    <w:p w:rsidR="004659C0" w:rsidRDefault="004659C0" w:rsidP="004659C0"/>
    <w:p w:rsidR="004659C0" w:rsidRDefault="004659C0" w:rsidP="004659C0">
      <w:pPr>
        <w:spacing w:line="240" w:lineRule="auto"/>
      </w:pPr>
    </w:p>
    <w:p w:rsidR="004659C0" w:rsidRDefault="004659C0" w:rsidP="004659C0"/>
    <w:p w:rsidR="004659C0" w:rsidRDefault="004659C0" w:rsidP="004659C0"/>
    <w:p w:rsidR="004659C0" w:rsidRDefault="004659C0" w:rsidP="004659C0"/>
    <w:p w:rsidR="004659C0" w:rsidRDefault="004659C0" w:rsidP="004659C0"/>
    <w:p w:rsidR="00E44716" w:rsidRDefault="00357146" w:rsidP="004659C0">
      <w:pPr>
        <w:pStyle w:val="ShortT"/>
        <w:spacing w:before="0"/>
        <w:rPr>
          <w:sz w:val="36"/>
          <w:szCs w:val="36"/>
        </w:rPr>
      </w:pPr>
      <w:r>
        <w:t>S</w:t>
      </w:r>
      <w:r>
        <w:rPr>
          <w:sz w:val="36"/>
          <w:szCs w:val="36"/>
        </w:rPr>
        <w:t>tates Grants (Science Laboratories) Act 1971</w:t>
      </w:r>
    </w:p>
    <w:p w:rsidR="004659C0" w:rsidRPr="004659C0" w:rsidRDefault="004659C0" w:rsidP="004659C0"/>
    <w:p w:rsidR="00E44716" w:rsidRPr="004659C0" w:rsidRDefault="00357146" w:rsidP="00C0078F">
      <w:pPr>
        <w:pStyle w:val="Actno"/>
        <w:spacing w:before="400"/>
        <w:rPr>
          <w:color w:val="000000"/>
          <w:sz w:val="40"/>
          <w:szCs w:val="40"/>
        </w:rPr>
      </w:pPr>
      <w:r w:rsidRPr="004659C0">
        <w:rPr>
          <w:sz w:val="40"/>
          <w:szCs w:val="40"/>
        </w:rPr>
        <w:t>No. 65</w:t>
      </w:r>
      <w:r w:rsidRPr="004659C0">
        <w:rPr>
          <w:color w:val="000000"/>
          <w:sz w:val="40"/>
          <w:szCs w:val="40"/>
        </w:rPr>
        <w:t xml:space="preserve"> of 1971</w:t>
      </w:r>
    </w:p>
    <w:p w:rsidR="004659C0" w:rsidRPr="00C917C7" w:rsidRDefault="004659C0" w:rsidP="004659C0"/>
    <w:p w:rsidR="004659C0" w:rsidRDefault="004659C0" w:rsidP="004659C0"/>
    <w:p w:rsidR="004659C0" w:rsidRDefault="004659C0" w:rsidP="004659C0"/>
    <w:p w:rsidR="004659C0" w:rsidRDefault="004659C0" w:rsidP="004659C0"/>
    <w:p w:rsidR="00423C80" w:rsidRDefault="00423C80" w:rsidP="004659C0"/>
    <w:p w:rsidR="00423C80" w:rsidRDefault="00423C80" w:rsidP="00423C80">
      <w:pPr>
        <w:pStyle w:val="LongT"/>
      </w:pPr>
      <w:r>
        <w:t>An Act to grant Financial Assistance to the States for Science Laboratories and Equipment in Schools</w:t>
      </w:r>
    </w:p>
    <w:p w:rsidR="00E44716" w:rsidRDefault="00357146">
      <w:pPr>
        <w:pStyle w:val="Header"/>
      </w:pPr>
      <w:r>
        <w:rPr>
          <w:rStyle w:val="CharChapNo"/>
        </w:rPr>
        <w:t xml:space="preserve"> </w:t>
      </w:r>
      <w:r>
        <w:rPr>
          <w:rStyle w:val="CharChapText"/>
        </w:rPr>
        <w:t xml:space="preserve"> </w:t>
      </w:r>
    </w:p>
    <w:p w:rsidR="00E44716" w:rsidRDefault="00357146">
      <w:pPr>
        <w:pStyle w:val="Header"/>
      </w:pPr>
      <w:r>
        <w:rPr>
          <w:rStyle w:val="CharPartNo"/>
        </w:rPr>
        <w:t xml:space="preserve"> </w:t>
      </w:r>
      <w:r>
        <w:rPr>
          <w:rStyle w:val="CharPartText"/>
        </w:rPr>
        <w:t xml:space="preserve"> </w:t>
      </w:r>
    </w:p>
    <w:p w:rsidR="00E44716" w:rsidRDefault="00357146">
      <w:pPr>
        <w:pStyle w:val="Header"/>
      </w:pPr>
      <w:r>
        <w:rPr>
          <w:rStyle w:val="CharDivNo"/>
        </w:rPr>
        <w:t xml:space="preserve"> </w:t>
      </w:r>
      <w:r>
        <w:rPr>
          <w:rStyle w:val="CharDivText"/>
        </w:rPr>
        <w:t xml:space="preserve"> </w:t>
      </w:r>
    </w:p>
    <w:p w:rsidR="00E44716" w:rsidRDefault="00E44716">
      <w:pPr>
        <w:sectPr w:rsidR="00E44716">
          <w:headerReference w:type="even" r:id="rId10"/>
          <w:headerReference w:type="default" r:id="rId11"/>
          <w:footerReference w:type="even" r:id="rId12"/>
          <w:footerReference w:type="default" r:id="rId13"/>
          <w:pgSz w:w="11906" w:h="16838" w:code="9"/>
          <w:pgMar w:top="2268" w:right="2410" w:bottom="3827" w:left="2410" w:header="567" w:footer="3118" w:gutter="0"/>
          <w:pgNumType w:start="1"/>
          <w:cols w:space="709"/>
          <w:titlePg/>
        </w:sectPr>
      </w:pPr>
    </w:p>
    <w:p w:rsidR="00E44716" w:rsidRDefault="00357146">
      <w:pPr>
        <w:pStyle w:val="Contents"/>
      </w:pPr>
      <w:r>
        <w:lastRenderedPageBreak/>
        <w:t>Contents</w:t>
      </w:r>
    </w:p>
    <w:p w:rsidR="00357146" w:rsidRDefault="00357146">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7161346" w:history="1">
        <w:r w:rsidRPr="004849A0">
          <w:rPr>
            <w:rStyle w:val="Hyperlink"/>
            <w:noProof/>
          </w:rPr>
          <w:t>1  Short title</w:t>
        </w:r>
        <w:r>
          <w:rPr>
            <w:noProof/>
            <w:webHidden/>
          </w:rPr>
          <w:tab/>
        </w:r>
        <w:r>
          <w:rPr>
            <w:noProof/>
            <w:webHidden/>
          </w:rPr>
          <w:fldChar w:fldCharType="begin"/>
        </w:r>
        <w:r>
          <w:rPr>
            <w:noProof/>
            <w:webHidden/>
          </w:rPr>
          <w:instrText xml:space="preserve"> PAGEREF _Toc427161346 \h </w:instrText>
        </w:r>
        <w:r>
          <w:rPr>
            <w:noProof/>
            <w:webHidden/>
          </w:rPr>
        </w:r>
        <w:r>
          <w:rPr>
            <w:noProof/>
            <w:webHidden/>
          </w:rPr>
          <w:fldChar w:fldCharType="separate"/>
        </w:r>
        <w:r>
          <w:rPr>
            <w:noProof/>
            <w:webHidden/>
          </w:rPr>
          <w:t>1</w:t>
        </w:r>
        <w:r>
          <w:rPr>
            <w:noProof/>
            <w:webHidden/>
          </w:rPr>
          <w:fldChar w:fldCharType="end"/>
        </w:r>
      </w:hyperlink>
    </w:p>
    <w:p w:rsidR="00357146" w:rsidRDefault="00926333">
      <w:pPr>
        <w:pStyle w:val="TOC5"/>
        <w:rPr>
          <w:rFonts w:asciiTheme="minorHAnsi" w:hAnsiTheme="minorHAnsi" w:cstheme="minorBidi"/>
          <w:noProof/>
          <w:kern w:val="0"/>
          <w:sz w:val="22"/>
          <w:szCs w:val="22"/>
        </w:rPr>
      </w:pPr>
      <w:hyperlink w:anchor="_Toc427161347" w:history="1">
        <w:r w:rsidR="00357146" w:rsidRPr="004849A0">
          <w:rPr>
            <w:rStyle w:val="Hyperlink"/>
            <w:noProof/>
          </w:rPr>
          <w:t>2  Interpretation</w:t>
        </w:r>
        <w:r w:rsidR="00357146">
          <w:rPr>
            <w:noProof/>
            <w:webHidden/>
          </w:rPr>
          <w:tab/>
        </w:r>
        <w:r w:rsidR="00357146">
          <w:rPr>
            <w:noProof/>
            <w:webHidden/>
          </w:rPr>
          <w:fldChar w:fldCharType="begin"/>
        </w:r>
        <w:r w:rsidR="00357146">
          <w:rPr>
            <w:noProof/>
            <w:webHidden/>
          </w:rPr>
          <w:instrText xml:space="preserve"> PAGEREF _Toc427161347 \h </w:instrText>
        </w:r>
        <w:r w:rsidR="00357146">
          <w:rPr>
            <w:noProof/>
            <w:webHidden/>
          </w:rPr>
        </w:r>
        <w:r w:rsidR="00357146">
          <w:rPr>
            <w:noProof/>
            <w:webHidden/>
          </w:rPr>
          <w:fldChar w:fldCharType="separate"/>
        </w:r>
        <w:r w:rsidR="00357146">
          <w:rPr>
            <w:noProof/>
            <w:webHidden/>
          </w:rPr>
          <w:t>1</w:t>
        </w:r>
        <w:r w:rsidR="00357146">
          <w:rPr>
            <w:noProof/>
            <w:webHidden/>
          </w:rPr>
          <w:fldChar w:fldCharType="end"/>
        </w:r>
      </w:hyperlink>
    </w:p>
    <w:p w:rsidR="00357146" w:rsidRDefault="00926333">
      <w:pPr>
        <w:pStyle w:val="TOC5"/>
        <w:rPr>
          <w:rFonts w:asciiTheme="minorHAnsi" w:hAnsiTheme="minorHAnsi" w:cstheme="minorBidi"/>
          <w:noProof/>
          <w:kern w:val="0"/>
          <w:sz w:val="22"/>
          <w:szCs w:val="22"/>
        </w:rPr>
      </w:pPr>
      <w:hyperlink w:anchor="_Toc427161348" w:history="1">
        <w:r w:rsidR="00357146" w:rsidRPr="004849A0">
          <w:rPr>
            <w:rStyle w:val="Hyperlink"/>
            <w:noProof/>
          </w:rPr>
          <w:t>3  Grants for science laboratories and equipment</w:t>
        </w:r>
        <w:r w:rsidR="00357146">
          <w:rPr>
            <w:noProof/>
            <w:webHidden/>
          </w:rPr>
          <w:tab/>
        </w:r>
        <w:r w:rsidR="00357146">
          <w:rPr>
            <w:noProof/>
            <w:webHidden/>
          </w:rPr>
          <w:fldChar w:fldCharType="begin"/>
        </w:r>
        <w:r w:rsidR="00357146">
          <w:rPr>
            <w:noProof/>
            <w:webHidden/>
          </w:rPr>
          <w:instrText xml:space="preserve"> PAGEREF _Toc427161348 \h </w:instrText>
        </w:r>
        <w:r w:rsidR="00357146">
          <w:rPr>
            <w:noProof/>
            <w:webHidden/>
          </w:rPr>
        </w:r>
        <w:r w:rsidR="00357146">
          <w:rPr>
            <w:noProof/>
            <w:webHidden/>
          </w:rPr>
          <w:fldChar w:fldCharType="separate"/>
        </w:r>
        <w:r w:rsidR="00357146">
          <w:rPr>
            <w:noProof/>
            <w:webHidden/>
          </w:rPr>
          <w:t>2</w:t>
        </w:r>
        <w:r w:rsidR="00357146">
          <w:rPr>
            <w:noProof/>
            <w:webHidden/>
          </w:rPr>
          <w:fldChar w:fldCharType="end"/>
        </w:r>
      </w:hyperlink>
    </w:p>
    <w:p w:rsidR="00357146" w:rsidRDefault="00926333">
      <w:pPr>
        <w:pStyle w:val="TOC5"/>
        <w:rPr>
          <w:rFonts w:asciiTheme="minorHAnsi" w:hAnsiTheme="minorHAnsi" w:cstheme="minorBidi"/>
          <w:noProof/>
          <w:kern w:val="0"/>
          <w:sz w:val="22"/>
          <w:szCs w:val="22"/>
        </w:rPr>
      </w:pPr>
      <w:hyperlink w:anchor="_Toc427161349" w:history="1">
        <w:r w:rsidR="00357146" w:rsidRPr="004849A0">
          <w:rPr>
            <w:rStyle w:val="Hyperlink"/>
            <w:noProof/>
          </w:rPr>
          <w:t>4  Regulations may vary amounts</w:t>
        </w:r>
        <w:r w:rsidR="00357146">
          <w:rPr>
            <w:noProof/>
            <w:webHidden/>
          </w:rPr>
          <w:tab/>
        </w:r>
        <w:r w:rsidR="00357146">
          <w:rPr>
            <w:noProof/>
            <w:webHidden/>
          </w:rPr>
          <w:fldChar w:fldCharType="begin"/>
        </w:r>
        <w:r w:rsidR="00357146">
          <w:rPr>
            <w:noProof/>
            <w:webHidden/>
          </w:rPr>
          <w:instrText xml:space="preserve"> PAGEREF _Toc427161349 \h </w:instrText>
        </w:r>
        <w:r w:rsidR="00357146">
          <w:rPr>
            <w:noProof/>
            <w:webHidden/>
          </w:rPr>
        </w:r>
        <w:r w:rsidR="00357146">
          <w:rPr>
            <w:noProof/>
            <w:webHidden/>
          </w:rPr>
          <w:fldChar w:fldCharType="separate"/>
        </w:r>
        <w:r w:rsidR="00357146">
          <w:rPr>
            <w:noProof/>
            <w:webHidden/>
          </w:rPr>
          <w:t>3</w:t>
        </w:r>
        <w:r w:rsidR="00357146">
          <w:rPr>
            <w:noProof/>
            <w:webHidden/>
          </w:rPr>
          <w:fldChar w:fldCharType="end"/>
        </w:r>
      </w:hyperlink>
    </w:p>
    <w:p w:rsidR="00357146" w:rsidRDefault="00926333">
      <w:pPr>
        <w:pStyle w:val="TOC5"/>
        <w:rPr>
          <w:rFonts w:asciiTheme="minorHAnsi" w:hAnsiTheme="minorHAnsi" w:cstheme="minorBidi"/>
          <w:noProof/>
          <w:kern w:val="0"/>
          <w:sz w:val="22"/>
          <w:szCs w:val="22"/>
        </w:rPr>
      </w:pPr>
      <w:hyperlink w:anchor="_Toc427161350" w:history="1">
        <w:r w:rsidR="00357146" w:rsidRPr="004849A0">
          <w:rPr>
            <w:rStyle w:val="Hyperlink"/>
            <w:noProof/>
          </w:rPr>
          <w:t>5  Annual statement by Minister</w:t>
        </w:r>
        <w:r w:rsidR="00357146">
          <w:rPr>
            <w:noProof/>
            <w:webHidden/>
          </w:rPr>
          <w:tab/>
        </w:r>
        <w:r w:rsidR="00357146">
          <w:rPr>
            <w:noProof/>
            <w:webHidden/>
          </w:rPr>
          <w:fldChar w:fldCharType="begin"/>
        </w:r>
        <w:r w:rsidR="00357146">
          <w:rPr>
            <w:noProof/>
            <w:webHidden/>
          </w:rPr>
          <w:instrText xml:space="preserve"> PAGEREF _Toc427161350 \h </w:instrText>
        </w:r>
        <w:r w:rsidR="00357146">
          <w:rPr>
            <w:noProof/>
            <w:webHidden/>
          </w:rPr>
        </w:r>
        <w:r w:rsidR="00357146">
          <w:rPr>
            <w:noProof/>
            <w:webHidden/>
          </w:rPr>
          <w:fldChar w:fldCharType="separate"/>
        </w:r>
        <w:r w:rsidR="00357146">
          <w:rPr>
            <w:noProof/>
            <w:webHidden/>
          </w:rPr>
          <w:t>3</w:t>
        </w:r>
        <w:r w:rsidR="00357146">
          <w:rPr>
            <w:noProof/>
            <w:webHidden/>
          </w:rPr>
          <w:fldChar w:fldCharType="end"/>
        </w:r>
      </w:hyperlink>
    </w:p>
    <w:p w:rsidR="00357146" w:rsidRDefault="00926333">
      <w:pPr>
        <w:pStyle w:val="TOC5"/>
        <w:rPr>
          <w:rFonts w:asciiTheme="minorHAnsi" w:hAnsiTheme="minorHAnsi" w:cstheme="minorBidi"/>
          <w:noProof/>
          <w:kern w:val="0"/>
          <w:sz w:val="22"/>
          <w:szCs w:val="22"/>
        </w:rPr>
      </w:pPr>
      <w:hyperlink w:anchor="_Toc427161351" w:history="1">
        <w:r w:rsidR="00357146" w:rsidRPr="004849A0">
          <w:rPr>
            <w:rStyle w:val="Hyperlink"/>
            <w:noProof/>
          </w:rPr>
          <w:t>6  Appropriation</w:t>
        </w:r>
        <w:r w:rsidR="00357146">
          <w:rPr>
            <w:noProof/>
            <w:webHidden/>
          </w:rPr>
          <w:tab/>
        </w:r>
        <w:r w:rsidR="00357146">
          <w:rPr>
            <w:noProof/>
            <w:webHidden/>
          </w:rPr>
          <w:fldChar w:fldCharType="begin"/>
        </w:r>
        <w:r w:rsidR="00357146">
          <w:rPr>
            <w:noProof/>
            <w:webHidden/>
          </w:rPr>
          <w:instrText xml:space="preserve"> PAGEREF _Toc427161351 \h </w:instrText>
        </w:r>
        <w:r w:rsidR="00357146">
          <w:rPr>
            <w:noProof/>
            <w:webHidden/>
          </w:rPr>
        </w:r>
        <w:r w:rsidR="00357146">
          <w:rPr>
            <w:noProof/>
            <w:webHidden/>
          </w:rPr>
          <w:fldChar w:fldCharType="separate"/>
        </w:r>
        <w:r w:rsidR="00357146">
          <w:rPr>
            <w:noProof/>
            <w:webHidden/>
          </w:rPr>
          <w:t>4</w:t>
        </w:r>
        <w:r w:rsidR="00357146">
          <w:rPr>
            <w:noProof/>
            <w:webHidden/>
          </w:rPr>
          <w:fldChar w:fldCharType="end"/>
        </w:r>
      </w:hyperlink>
    </w:p>
    <w:p w:rsidR="00357146" w:rsidRDefault="00926333">
      <w:pPr>
        <w:pStyle w:val="TOC5"/>
        <w:rPr>
          <w:rFonts w:asciiTheme="minorHAnsi" w:hAnsiTheme="minorHAnsi" w:cstheme="minorBidi"/>
          <w:noProof/>
          <w:kern w:val="0"/>
          <w:sz w:val="22"/>
          <w:szCs w:val="22"/>
        </w:rPr>
      </w:pPr>
      <w:hyperlink w:anchor="_Toc427161352" w:history="1">
        <w:r w:rsidR="00357146" w:rsidRPr="004849A0">
          <w:rPr>
            <w:rStyle w:val="Hyperlink"/>
            <w:noProof/>
          </w:rPr>
          <w:t>7  Regulations</w:t>
        </w:r>
        <w:r w:rsidR="00357146">
          <w:rPr>
            <w:noProof/>
            <w:webHidden/>
          </w:rPr>
          <w:tab/>
        </w:r>
        <w:r w:rsidR="00357146">
          <w:rPr>
            <w:noProof/>
            <w:webHidden/>
          </w:rPr>
          <w:fldChar w:fldCharType="begin"/>
        </w:r>
        <w:r w:rsidR="00357146">
          <w:rPr>
            <w:noProof/>
            <w:webHidden/>
          </w:rPr>
          <w:instrText xml:space="preserve"> PAGEREF _Toc427161352 \h </w:instrText>
        </w:r>
        <w:r w:rsidR="00357146">
          <w:rPr>
            <w:noProof/>
            <w:webHidden/>
          </w:rPr>
        </w:r>
        <w:r w:rsidR="00357146">
          <w:rPr>
            <w:noProof/>
            <w:webHidden/>
          </w:rPr>
          <w:fldChar w:fldCharType="separate"/>
        </w:r>
        <w:r w:rsidR="00357146">
          <w:rPr>
            <w:noProof/>
            <w:webHidden/>
          </w:rPr>
          <w:t>4</w:t>
        </w:r>
        <w:r w:rsidR="00357146">
          <w:rPr>
            <w:noProof/>
            <w:webHidden/>
          </w:rPr>
          <w:fldChar w:fldCharType="end"/>
        </w:r>
      </w:hyperlink>
    </w:p>
    <w:p w:rsidR="00357146" w:rsidRDefault="00926333">
      <w:pPr>
        <w:pStyle w:val="TOC1"/>
        <w:rPr>
          <w:rFonts w:asciiTheme="minorHAnsi" w:hAnsiTheme="minorHAnsi" w:cstheme="minorBidi"/>
          <w:b w:val="0"/>
          <w:bCs w:val="0"/>
          <w:noProof/>
          <w:kern w:val="0"/>
          <w:sz w:val="22"/>
          <w:szCs w:val="22"/>
        </w:rPr>
      </w:pPr>
      <w:hyperlink w:anchor="_Toc427161353" w:history="1">
        <w:r w:rsidR="00357146" w:rsidRPr="004849A0">
          <w:rPr>
            <w:rStyle w:val="Hyperlink"/>
            <w:noProof/>
          </w:rPr>
          <w:t>Schedule 1—Limit of grants</w:t>
        </w:r>
        <w:r w:rsidR="00357146">
          <w:rPr>
            <w:noProof/>
            <w:webHidden/>
          </w:rPr>
          <w:tab/>
        </w:r>
        <w:r w:rsidR="00357146">
          <w:rPr>
            <w:noProof/>
            <w:webHidden/>
          </w:rPr>
          <w:fldChar w:fldCharType="begin"/>
        </w:r>
        <w:r w:rsidR="00357146">
          <w:rPr>
            <w:noProof/>
            <w:webHidden/>
          </w:rPr>
          <w:instrText xml:space="preserve"> PAGEREF _Toc427161353 \h </w:instrText>
        </w:r>
        <w:r w:rsidR="00357146">
          <w:rPr>
            <w:noProof/>
            <w:webHidden/>
          </w:rPr>
        </w:r>
        <w:r w:rsidR="00357146">
          <w:rPr>
            <w:noProof/>
            <w:webHidden/>
          </w:rPr>
          <w:fldChar w:fldCharType="separate"/>
        </w:r>
        <w:r w:rsidR="00357146">
          <w:rPr>
            <w:noProof/>
            <w:webHidden/>
          </w:rPr>
          <w:t>5</w:t>
        </w:r>
        <w:r w:rsidR="00357146">
          <w:rPr>
            <w:noProof/>
            <w:webHidden/>
          </w:rPr>
          <w:fldChar w:fldCharType="end"/>
        </w:r>
      </w:hyperlink>
    </w:p>
    <w:p w:rsidR="00E44716" w:rsidRDefault="00357146">
      <w:r>
        <w:rPr>
          <w:kern w:val="28"/>
          <w:sz w:val="18"/>
          <w:szCs w:val="18"/>
        </w:rPr>
        <w:fldChar w:fldCharType="end"/>
      </w:r>
    </w:p>
    <w:p w:rsidR="00E44716" w:rsidRDefault="00E44716">
      <w:pPr>
        <w:sectPr w:rsidR="00E44716" w:rsidSect="00357146">
          <w:headerReference w:type="even" r:id="rId14"/>
          <w:headerReference w:type="default" r:id="rId15"/>
          <w:pgSz w:w="11906" w:h="16838" w:code="9"/>
          <w:pgMar w:top="2268" w:right="2410" w:bottom="3827" w:left="2410" w:header="567" w:footer="3118" w:gutter="0"/>
          <w:pgNumType w:fmt="lowerRoman" w:start="1"/>
          <w:cols w:space="709"/>
        </w:sectPr>
      </w:pPr>
    </w:p>
    <w:p w:rsidR="00423C80" w:rsidRDefault="00423C80" w:rsidP="00423C80">
      <w:r>
        <w:rPr>
          <w:noProof/>
        </w:rPr>
        <w:lastRenderedPageBreak/>
        <w:drawing>
          <wp:inline distT="0" distB="0" distL="0" distR="0" wp14:anchorId="3A0115FB" wp14:editId="56B510FA">
            <wp:extent cx="1441450" cy="1066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0" cy="1066800"/>
                    </a:xfrm>
                    <a:prstGeom prst="rect">
                      <a:avLst/>
                    </a:prstGeom>
                    <a:noFill/>
                    <a:ln>
                      <a:noFill/>
                    </a:ln>
                  </pic:spPr>
                </pic:pic>
              </a:graphicData>
            </a:graphic>
          </wp:inline>
        </w:drawing>
      </w:r>
    </w:p>
    <w:p w:rsidR="00423C80" w:rsidRDefault="00423C80" w:rsidP="00423C80"/>
    <w:p w:rsidR="00423C80" w:rsidRDefault="00423C80" w:rsidP="00423C80"/>
    <w:p w:rsidR="00423C80" w:rsidRDefault="00423C80" w:rsidP="00423C80">
      <w:pPr>
        <w:pStyle w:val="ShortT"/>
        <w:spacing w:before="800"/>
        <w:rPr>
          <w:sz w:val="36"/>
          <w:szCs w:val="36"/>
        </w:rPr>
      </w:pPr>
      <w:r>
        <w:t>S</w:t>
      </w:r>
      <w:r>
        <w:rPr>
          <w:sz w:val="36"/>
          <w:szCs w:val="36"/>
        </w:rPr>
        <w:t>tates Grants (Science Laboratories) Act 1971</w:t>
      </w:r>
    </w:p>
    <w:p w:rsidR="00423C80" w:rsidRDefault="00423C80" w:rsidP="00423C80">
      <w:pPr>
        <w:pStyle w:val="Actno"/>
        <w:spacing w:before="800"/>
        <w:rPr>
          <w:color w:val="000000"/>
          <w:sz w:val="28"/>
          <w:szCs w:val="28"/>
        </w:rPr>
      </w:pPr>
      <w:r w:rsidRPr="00423C80">
        <w:rPr>
          <w:sz w:val="28"/>
          <w:szCs w:val="28"/>
        </w:rPr>
        <w:t>No. 65</w:t>
      </w:r>
      <w:r w:rsidRPr="00423C80">
        <w:rPr>
          <w:color w:val="000000"/>
          <w:sz w:val="28"/>
          <w:szCs w:val="28"/>
        </w:rPr>
        <w:t xml:space="preserve"> of 1971</w:t>
      </w:r>
    </w:p>
    <w:p w:rsidR="00423C80" w:rsidRPr="009A0728" w:rsidRDefault="00423C80" w:rsidP="00423C80">
      <w:pPr>
        <w:pBdr>
          <w:bottom w:val="single" w:sz="6" w:space="0" w:color="auto"/>
        </w:pBdr>
        <w:spacing w:before="400" w:line="240" w:lineRule="auto"/>
        <w:rPr>
          <w:rFonts w:eastAsia="Times New Roman"/>
          <w:b/>
          <w:sz w:val="28"/>
        </w:rPr>
      </w:pPr>
    </w:p>
    <w:p w:rsidR="00423C80" w:rsidRPr="009A0728" w:rsidRDefault="00423C80" w:rsidP="00423C80">
      <w:pPr>
        <w:spacing w:line="40" w:lineRule="exact"/>
        <w:rPr>
          <w:rFonts w:eastAsia="Calibri"/>
          <w:b/>
          <w:sz w:val="28"/>
        </w:rPr>
      </w:pPr>
    </w:p>
    <w:p w:rsidR="00423C80" w:rsidRPr="009A0728" w:rsidRDefault="00423C80" w:rsidP="00423C80">
      <w:pPr>
        <w:pBdr>
          <w:top w:val="single" w:sz="12" w:space="0" w:color="auto"/>
        </w:pBdr>
        <w:spacing w:line="240" w:lineRule="auto"/>
        <w:rPr>
          <w:rFonts w:eastAsia="Times New Roman"/>
          <w:b/>
          <w:sz w:val="28"/>
        </w:rPr>
      </w:pPr>
    </w:p>
    <w:p w:rsidR="00E44716" w:rsidRDefault="00357146" w:rsidP="00423C80">
      <w:pPr>
        <w:pStyle w:val="LongT"/>
        <w:spacing w:before="400"/>
      </w:pPr>
      <w:r>
        <w:t>An Act to grant Financial Assistance to the States for Science Laboratories and Equipment in Schools</w:t>
      </w:r>
    </w:p>
    <w:p w:rsidR="00423C80" w:rsidRDefault="00423C80" w:rsidP="00423C80">
      <w:pPr>
        <w:pStyle w:val="AssentDt"/>
        <w:spacing w:before="240"/>
        <w:rPr>
          <w:sz w:val="24"/>
        </w:rPr>
      </w:pPr>
      <w:bookmarkStart w:id="0" w:name="_Toc499948016"/>
      <w:r>
        <w:rPr>
          <w:sz w:val="24"/>
        </w:rPr>
        <w:t>[</w:t>
      </w:r>
      <w:r>
        <w:rPr>
          <w:i/>
          <w:sz w:val="24"/>
        </w:rPr>
        <w:t>Assented to 25 May 1971</w:t>
      </w:r>
      <w:r>
        <w:rPr>
          <w:sz w:val="24"/>
        </w:rPr>
        <w:t>]</w:t>
      </w:r>
    </w:p>
    <w:p w:rsidR="00423C80" w:rsidRPr="00C917C7" w:rsidRDefault="00423C80" w:rsidP="00423C80">
      <w:pPr>
        <w:spacing w:before="240" w:line="240" w:lineRule="auto"/>
        <w:rPr>
          <w:sz w:val="32"/>
        </w:rPr>
      </w:pPr>
      <w:r w:rsidRPr="00C917C7">
        <w:rPr>
          <w:sz w:val="32"/>
        </w:rPr>
        <w:t>The Parliament of Australia enacts:</w:t>
      </w:r>
    </w:p>
    <w:p w:rsidR="00E44716" w:rsidRDefault="00357146">
      <w:pPr>
        <w:pStyle w:val="Heading5"/>
      </w:pPr>
      <w:bookmarkStart w:id="1" w:name="_Toc427161346"/>
      <w:r>
        <w:rPr>
          <w:rStyle w:val="CharSectno"/>
        </w:rPr>
        <w:t>1</w:t>
      </w:r>
      <w:r>
        <w:t xml:space="preserve">  Short title</w:t>
      </w:r>
      <w:bookmarkEnd w:id="0"/>
      <w:bookmarkEnd w:id="1"/>
    </w:p>
    <w:p w:rsidR="00E44716" w:rsidRDefault="00357146">
      <w:pPr>
        <w:pStyle w:val="Subsection"/>
      </w:pPr>
      <w:r>
        <w:tab/>
      </w:r>
      <w:r>
        <w:tab/>
        <w:t xml:space="preserve">This Act may be cited as the </w:t>
      </w:r>
      <w:r>
        <w:rPr>
          <w:i/>
          <w:iCs/>
        </w:rPr>
        <w:t xml:space="preserve">States Grants </w:t>
      </w:r>
      <w:r w:rsidRPr="00926333">
        <w:rPr>
          <w:iCs/>
        </w:rPr>
        <w:t>(</w:t>
      </w:r>
      <w:r>
        <w:rPr>
          <w:i/>
          <w:iCs/>
        </w:rPr>
        <w:t>Science Laboratories</w:t>
      </w:r>
      <w:r w:rsidRPr="00926333">
        <w:rPr>
          <w:iCs/>
        </w:rPr>
        <w:t>)</w:t>
      </w:r>
      <w:r>
        <w:rPr>
          <w:i/>
          <w:iCs/>
        </w:rPr>
        <w:t xml:space="preserve"> Act </w:t>
      </w:r>
      <w:r w:rsidRPr="00926333">
        <w:rPr>
          <w:iCs/>
        </w:rPr>
        <w:t>1971</w:t>
      </w:r>
      <w:r>
        <w:t>.</w:t>
      </w:r>
    </w:p>
    <w:p w:rsidR="00E44716" w:rsidRDefault="00357146">
      <w:pPr>
        <w:pStyle w:val="Heading5"/>
      </w:pPr>
      <w:bookmarkStart w:id="2" w:name="_Toc499948017"/>
      <w:bookmarkStart w:id="3" w:name="_Toc427161347"/>
      <w:r>
        <w:rPr>
          <w:rStyle w:val="CharSectno"/>
        </w:rPr>
        <w:t>2</w:t>
      </w:r>
      <w:r>
        <w:t xml:space="preserve">  Interpretation</w:t>
      </w:r>
      <w:bookmarkEnd w:id="2"/>
      <w:bookmarkEnd w:id="3"/>
    </w:p>
    <w:p w:rsidR="00E44716" w:rsidRDefault="00357146">
      <w:pPr>
        <w:pStyle w:val="Subsection"/>
      </w:pPr>
      <w:r>
        <w:tab/>
      </w:r>
      <w:r>
        <w:tab/>
        <w:t>In this Act, unless the contrary intention appears:</w:t>
      </w:r>
      <w:bookmarkStart w:id="4" w:name="_GoBack"/>
      <w:bookmarkEnd w:id="4"/>
    </w:p>
    <w:p w:rsidR="00E44716" w:rsidRDefault="00357146">
      <w:pPr>
        <w:pStyle w:val="Definition"/>
      </w:pPr>
      <w:r>
        <w:rPr>
          <w:b/>
          <w:bCs/>
          <w:i/>
          <w:iCs/>
        </w:rPr>
        <w:lastRenderedPageBreak/>
        <w:t>school</w:t>
      </w:r>
      <w:r>
        <w:t xml:space="preserve"> means a school or a similar institution, whether conducted by a State or not.</w:t>
      </w:r>
    </w:p>
    <w:p w:rsidR="00E44716" w:rsidRDefault="00357146">
      <w:pPr>
        <w:pStyle w:val="Definition"/>
      </w:pPr>
      <w:r>
        <w:rPr>
          <w:b/>
          <w:bCs/>
          <w:i/>
          <w:iCs/>
        </w:rPr>
        <w:t>the period to which this Act applies</w:t>
      </w:r>
      <w:r>
        <w:t xml:space="preserve"> means the period commencing on the first day of July, One thousand nine hundred and seventy</w:t>
      </w:r>
      <w:r>
        <w:noBreakHyphen/>
        <w:t>one, and ending on the thirtieth day of June, One thousand nine hundred and seventy</w:t>
      </w:r>
      <w:r>
        <w:noBreakHyphen/>
        <w:t>five.</w:t>
      </w:r>
    </w:p>
    <w:p w:rsidR="00E44716" w:rsidRDefault="00357146">
      <w:pPr>
        <w:pStyle w:val="Heading5"/>
      </w:pPr>
      <w:bookmarkStart w:id="5" w:name="_Toc499948018"/>
      <w:bookmarkStart w:id="6" w:name="_Toc427161348"/>
      <w:r>
        <w:rPr>
          <w:rStyle w:val="CharSectno"/>
        </w:rPr>
        <w:t>3</w:t>
      </w:r>
      <w:r>
        <w:t xml:space="preserve">  Grants for science laboratories and equipment</w:t>
      </w:r>
      <w:bookmarkEnd w:id="5"/>
      <w:bookmarkEnd w:id="6"/>
      <w:r>
        <w:t xml:space="preserve"> </w:t>
      </w:r>
    </w:p>
    <w:p w:rsidR="00E44716" w:rsidRDefault="00357146">
      <w:pPr>
        <w:pStyle w:val="Subsection"/>
      </w:pPr>
      <w:r>
        <w:tab/>
        <w:t>(1)</w:t>
      </w:r>
      <w:r>
        <w:tab/>
        <w:t>The Minister may authorize the payment to a State, under this Act, during the period to which this Act applies or, subject to the next succeeding sub</w:t>
      </w:r>
      <w:r>
        <w:noBreakHyphen/>
        <w:t>section, after that period, by way of financial assistance, of such amounts as, subject to this section, he determines.</w:t>
      </w:r>
    </w:p>
    <w:p w:rsidR="00E44716" w:rsidRDefault="00357146">
      <w:pPr>
        <w:pStyle w:val="Subsection"/>
      </w:pPr>
      <w:r>
        <w:tab/>
        <w:t>(2)</w:t>
      </w:r>
      <w:r>
        <w:tab/>
        <w:t>The Minister shall not authorize the payment of an amount to a State under this section after the period to which this Act applies unless he is satisfied that the amount will be applied for the purpose of meeting commitments undertaken during that period.</w:t>
      </w:r>
    </w:p>
    <w:p w:rsidR="00E44716" w:rsidRDefault="00357146">
      <w:pPr>
        <w:pStyle w:val="Subsection"/>
      </w:pPr>
      <w:r>
        <w:tab/>
        <w:t>(3)</w:t>
      </w:r>
      <w:r>
        <w:tab/>
        <w:t>The Minister shall not authorize payments to a State under this section that:</w:t>
      </w:r>
    </w:p>
    <w:p w:rsidR="00E44716" w:rsidRDefault="00357146">
      <w:pPr>
        <w:pStyle w:val="indenta"/>
      </w:pPr>
      <w:r>
        <w:tab/>
        <w:t>(a)</w:t>
      </w:r>
      <w:r>
        <w:tab/>
        <w:t>exceed, in the aggregate, the amount specified in the sixth column of the Schedule to this Act opposite to the name of the State;</w:t>
      </w:r>
    </w:p>
    <w:p w:rsidR="00E44716" w:rsidRDefault="00357146">
      <w:pPr>
        <w:pStyle w:val="indenta"/>
      </w:pPr>
      <w:r>
        <w:tab/>
        <w:t>(b)</w:t>
      </w:r>
      <w:r>
        <w:tab/>
        <w:t>in the case of payments authorized on or before the thirtieth day of June, One thousand nine hundred and seventy</w:t>
      </w:r>
      <w:r>
        <w:noBreakHyphen/>
        <w:t>two—exceed, in the aggregate, one</w:t>
      </w:r>
      <w:r>
        <w:noBreakHyphen/>
        <w:t>quarter of that amount;</w:t>
      </w:r>
    </w:p>
    <w:p w:rsidR="00E44716" w:rsidRDefault="00357146">
      <w:pPr>
        <w:pStyle w:val="indenta"/>
      </w:pPr>
      <w:r>
        <w:tab/>
        <w:t>(c)</w:t>
      </w:r>
      <w:r>
        <w:tab/>
        <w:t>in the case of payments authorized on or before the thirtieth day of June, One thousand nine hundred and seventy</w:t>
      </w:r>
      <w:r>
        <w:noBreakHyphen/>
        <w:t>three—exceed, in the aggregate, one</w:t>
      </w:r>
      <w:r>
        <w:noBreakHyphen/>
        <w:t>half of that amount; or</w:t>
      </w:r>
    </w:p>
    <w:p w:rsidR="00E44716" w:rsidRDefault="00357146">
      <w:pPr>
        <w:pStyle w:val="indenta"/>
      </w:pPr>
      <w:r>
        <w:tab/>
        <w:t>(d)</w:t>
      </w:r>
      <w:r>
        <w:tab/>
        <w:t>in the case of payments authorized on or before the thirtieth day of June, One thousand nine hundred and seventy</w:t>
      </w:r>
      <w:r>
        <w:noBreakHyphen/>
        <w:t>four—exceed, in the aggregate, three</w:t>
      </w:r>
      <w:r>
        <w:noBreakHyphen/>
        <w:t>quarters of that amount.</w:t>
      </w:r>
    </w:p>
    <w:p w:rsidR="00E44716" w:rsidRDefault="00357146">
      <w:pPr>
        <w:pStyle w:val="Subsection"/>
      </w:pPr>
      <w:r>
        <w:tab/>
        <w:t>(4)</w:t>
      </w:r>
      <w:r>
        <w:tab/>
        <w:t>Payment of an amount to a State under this Act is subject to the condition that the amount will be applied by the State, as approved by the Minister, for purposes in connexion with laboratories and equipment for use in the teaching of science in schools at the secondary level of education.</w:t>
      </w:r>
    </w:p>
    <w:p w:rsidR="00E44716" w:rsidRDefault="00357146">
      <w:pPr>
        <w:pStyle w:val="Subsection"/>
      </w:pPr>
      <w:r>
        <w:tab/>
        <w:t>(5)</w:t>
      </w:r>
      <w:r>
        <w:tab/>
        <w:t>The Minister shall not grant an approval under the last preceding subsection for the application of an amount by a State in respect of a school where:</w:t>
      </w:r>
    </w:p>
    <w:p w:rsidR="00E44716" w:rsidRDefault="00357146">
      <w:pPr>
        <w:pStyle w:val="indenta"/>
      </w:pPr>
      <w:r>
        <w:tab/>
        <w:t>(a)</w:t>
      </w:r>
      <w:r>
        <w:tab/>
        <w:t>in the case of a school conducted by the State</w:t>
      </w:r>
      <w:r>
        <w:noBreakHyphen/>
        <w:t>if the approval were granted, the total of the amounts approved in respect of schools conducted by the State would exceed the amount specified in the second column of the Schedule to this Act opposite to the name of the State;</w:t>
      </w:r>
    </w:p>
    <w:p w:rsidR="00E44716" w:rsidRDefault="00357146">
      <w:pPr>
        <w:pStyle w:val="indenta"/>
      </w:pPr>
      <w:r>
        <w:tab/>
        <w:t>(b)</w:t>
      </w:r>
      <w:r>
        <w:tab/>
        <w:t>in the case of a school not conducted by the State, being a Roman Catholic school—if the approval were granted, the total of the amounts approved in respect of schools in the State not conducted by the State, being Roman Catholic schools, would exceed the amount specified in the third column of the Schedule to this Act opposite to the name of the State; or</w:t>
      </w:r>
    </w:p>
    <w:p w:rsidR="00E44716" w:rsidRDefault="00357146">
      <w:pPr>
        <w:pStyle w:val="indenta"/>
      </w:pPr>
      <w:r>
        <w:tab/>
        <w:t>(c)</w:t>
      </w:r>
      <w:r>
        <w:tab/>
        <w:t xml:space="preserve">in the case of a school not conducted by the State, not being a Roman Catholic school—if the approval were granted, the total of the amounts approved in respect of schools in the State not conducted by the State, not being Roman Catholic schools, would exceed the amount specified in the fourth column of the Schedule to this Act opposite to the name of the State. </w:t>
      </w:r>
    </w:p>
    <w:p w:rsidR="00E44716" w:rsidRDefault="00357146">
      <w:pPr>
        <w:pStyle w:val="Heading5"/>
      </w:pPr>
      <w:bookmarkStart w:id="7" w:name="_Toc499948019"/>
      <w:bookmarkStart w:id="8" w:name="_Toc427161349"/>
      <w:r>
        <w:rPr>
          <w:rStyle w:val="CharSectno"/>
        </w:rPr>
        <w:t>4</w:t>
      </w:r>
      <w:r>
        <w:t xml:space="preserve">  Regulations may vary amounts</w:t>
      </w:r>
      <w:bookmarkEnd w:id="7"/>
      <w:bookmarkEnd w:id="8"/>
      <w:r>
        <w:t xml:space="preserve"> </w:t>
      </w:r>
    </w:p>
    <w:p w:rsidR="00E44716" w:rsidRDefault="00357146">
      <w:pPr>
        <w:pStyle w:val="Subsection"/>
      </w:pPr>
      <w:r>
        <w:tab/>
      </w:r>
      <w:r>
        <w:tab/>
        <w:t xml:space="preserve">At any time during the period to which this Act applies, provision may be made by the regulations that this Act shall have effect as if the amounts specified in the third or fourth column, or both of those columns, and the amounts specified in the fifth and sixth columns, of the Schedule to this Act opposite to the names of any States were varied in accordance with the regulations, but not so as to vary the total of the amounts specified in the fifth column, or the total of the amounts specified in the sixth column, of that Schedule. </w:t>
      </w:r>
    </w:p>
    <w:p w:rsidR="00E44716" w:rsidRDefault="00357146">
      <w:pPr>
        <w:pStyle w:val="Heading5"/>
      </w:pPr>
      <w:bookmarkStart w:id="9" w:name="_Toc499948020"/>
      <w:bookmarkStart w:id="10" w:name="_Toc427161350"/>
      <w:r>
        <w:rPr>
          <w:rStyle w:val="CharSectno"/>
        </w:rPr>
        <w:t>5</w:t>
      </w:r>
      <w:r>
        <w:t xml:space="preserve">  Annual statement by Minister</w:t>
      </w:r>
      <w:bookmarkEnd w:id="9"/>
      <w:bookmarkEnd w:id="10"/>
      <w:r>
        <w:t xml:space="preserve"> </w:t>
      </w:r>
    </w:p>
    <w:p w:rsidR="00E44716" w:rsidRDefault="00357146">
      <w:pPr>
        <w:pStyle w:val="Subsection"/>
      </w:pPr>
      <w:r>
        <w:tab/>
        <w:t>(1)</w:t>
      </w:r>
      <w:r>
        <w:tab/>
        <w:t>The Minister shall cause a statement to be laid before each House of the Parliament as soon as practicable after each thirtieth day of June during the period to which this Act applies describing the arrangements in accordance with which payments under this Act have been authorized in the year that ended on that day and stating, in respect of each State:</w:t>
      </w:r>
    </w:p>
    <w:p w:rsidR="00E44716" w:rsidRDefault="00357146">
      <w:pPr>
        <w:pStyle w:val="indenta"/>
      </w:pPr>
      <w:r>
        <w:tab/>
        <w:t>(a)</w:t>
      </w:r>
      <w:r>
        <w:tab/>
        <w:t>in relation to schools not being schools conducted by the State:</w:t>
      </w:r>
    </w:p>
    <w:p w:rsidR="00E44716" w:rsidRDefault="00357146">
      <w:pPr>
        <w:pStyle w:val="indentii"/>
      </w:pPr>
      <w:r>
        <w:tab/>
        <w:t>(</w:t>
      </w:r>
      <w:proofErr w:type="spellStart"/>
      <w:r>
        <w:t>i</w:t>
      </w:r>
      <w:proofErr w:type="spellEnd"/>
      <w:r>
        <w:t>)</w:t>
      </w:r>
      <w:r>
        <w:tab/>
        <w:t>the total of the amounts paid to the State under this Act in that year; and</w:t>
      </w:r>
    </w:p>
    <w:p w:rsidR="00E44716" w:rsidRDefault="00357146">
      <w:pPr>
        <w:pStyle w:val="indentii"/>
      </w:pPr>
      <w:r>
        <w:tab/>
        <w:t>(ii)</w:t>
      </w:r>
      <w:r>
        <w:tab/>
        <w:t>the names of the schools in respect of which approvals for the application of moneys included in that total have been given, and the amount approved for expenditure in respect of each such school; and</w:t>
      </w:r>
    </w:p>
    <w:p w:rsidR="00E44716" w:rsidRDefault="00357146">
      <w:pPr>
        <w:pStyle w:val="indenta"/>
      </w:pPr>
      <w:r>
        <w:tab/>
        <w:t>(b)</w:t>
      </w:r>
      <w:r>
        <w:tab/>
        <w:t>in relation to schools conducted by the State:</w:t>
      </w:r>
    </w:p>
    <w:p w:rsidR="00E44716" w:rsidRDefault="00357146">
      <w:pPr>
        <w:pStyle w:val="indentii"/>
      </w:pPr>
      <w:r>
        <w:tab/>
        <w:t>(</w:t>
      </w:r>
      <w:proofErr w:type="spellStart"/>
      <w:r>
        <w:t>i</w:t>
      </w:r>
      <w:proofErr w:type="spellEnd"/>
      <w:r>
        <w:t>)</w:t>
      </w:r>
      <w:r>
        <w:tab/>
        <w:t>the total of the amounts paid to the State under this Act in that year; and</w:t>
      </w:r>
    </w:p>
    <w:p w:rsidR="00E44716" w:rsidRDefault="00357146">
      <w:pPr>
        <w:pStyle w:val="indentii"/>
      </w:pPr>
      <w:r>
        <w:tab/>
        <w:t>(ii)</w:t>
      </w:r>
      <w:r>
        <w:tab/>
        <w:t>the names of the schools in respect of which the State has, during that year, applied amounts paid to the State under this Act.</w:t>
      </w:r>
    </w:p>
    <w:p w:rsidR="00E44716" w:rsidRDefault="00357146">
      <w:pPr>
        <w:pStyle w:val="Subsection"/>
      </w:pPr>
      <w:r>
        <w:tab/>
        <w:t>(2)</w:t>
      </w:r>
      <w:r>
        <w:tab/>
        <w:t>For the purposes of the last preceding subsection, any payment made to a State under this Act after the period to which this Act applies shall be deemed to have been made during the year that ended on the thirtieth day of June, One thousand nine hundred and seventy</w:t>
      </w:r>
      <w:r>
        <w:noBreakHyphen/>
        <w:t xml:space="preserve">five. </w:t>
      </w:r>
    </w:p>
    <w:p w:rsidR="00E44716" w:rsidRDefault="00357146">
      <w:pPr>
        <w:pStyle w:val="Heading5"/>
      </w:pPr>
      <w:bookmarkStart w:id="11" w:name="_Toc499948021"/>
      <w:bookmarkStart w:id="12" w:name="_Toc427161351"/>
      <w:r>
        <w:rPr>
          <w:rStyle w:val="CharSectno"/>
        </w:rPr>
        <w:t>6</w:t>
      </w:r>
      <w:r>
        <w:t xml:space="preserve">  Appropriation</w:t>
      </w:r>
      <w:bookmarkEnd w:id="11"/>
      <w:bookmarkEnd w:id="12"/>
      <w:r>
        <w:t xml:space="preserve"> </w:t>
      </w:r>
    </w:p>
    <w:p w:rsidR="00E44716" w:rsidRDefault="00357146">
      <w:pPr>
        <w:pStyle w:val="Subsection"/>
      </w:pPr>
      <w:r>
        <w:tab/>
      </w:r>
      <w:r>
        <w:tab/>
        <w:t xml:space="preserve">Payments under this Act shall be made out of the Consolidated Revenue Fund, which is appropriated accordingly. </w:t>
      </w:r>
    </w:p>
    <w:p w:rsidR="00E44716" w:rsidRDefault="00357146">
      <w:pPr>
        <w:pStyle w:val="Heading5"/>
      </w:pPr>
      <w:bookmarkStart w:id="13" w:name="_Toc499948022"/>
      <w:bookmarkStart w:id="14" w:name="_Toc427161352"/>
      <w:r>
        <w:rPr>
          <w:rStyle w:val="CharSectno"/>
        </w:rPr>
        <w:t>7</w:t>
      </w:r>
      <w:r>
        <w:t xml:space="preserve">  Regulations</w:t>
      </w:r>
      <w:bookmarkEnd w:id="13"/>
      <w:bookmarkEnd w:id="14"/>
      <w:r>
        <w:t xml:space="preserve"> </w:t>
      </w:r>
    </w:p>
    <w:p w:rsidR="00E44716" w:rsidRDefault="00357146">
      <w:pPr>
        <w:pStyle w:val="Subsection"/>
      </w:pPr>
      <w:r>
        <w:tab/>
      </w:r>
      <w:r>
        <w:tab/>
        <w:t>The Governor</w:t>
      </w:r>
      <w:r>
        <w:noBreakHyphen/>
        <w:t xml:space="preserve">General may make regulations for the purposes of section 4 of this Act, including regulations repealing or amending regulations previously made under this section. </w:t>
      </w:r>
    </w:p>
    <w:p w:rsidR="00E44716" w:rsidRDefault="00E44716">
      <w:pPr>
        <w:sectPr w:rsidR="00E44716">
          <w:headerReference w:type="even" r:id="rId16"/>
          <w:headerReference w:type="default" r:id="rId17"/>
          <w:headerReference w:type="first" r:id="rId18"/>
          <w:footerReference w:type="first" r:id="rId19"/>
          <w:type w:val="oddPage"/>
          <w:pgSz w:w="11906" w:h="16838" w:code="9"/>
          <w:pgMar w:top="2268" w:right="2410" w:bottom="3827" w:left="2410" w:header="567" w:footer="3118" w:gutter="0"/>
          <w:pgNumType w:start="1"/>
          <w:cols w:space="709"/>
          <w:titlePg/>
        </w:sectPr>
      </w:pPr>
    </w:p>
    <w:p w:rsidR="00E44716" w:rsidRDefault="00357146">
      <w:pPr>
        <w:pStyle w:val="Heading1"/>
      </w:pPr>
      <w:bookmarkStart w:id="15" w:name="_Toc499948023"/>
      <w:bookmarkStart w:id="16" w:name="_Toc427161353"/>
      <w:r>
        <w:rPr>
          <w:rStyle w:val="CharChapNo"/>
        </w:rPr>
        <w:t>Schedule 1</w:t>
      </w:r>
      <w:r>
        <w:t>—</w:t>
      </w:r>
      <w:r>
        <w:rPr>
          <w:rStyle w:val="CharChapText"/>
        </w:rPr>
        <w:t>Limit of grants</w:t>
      </w:r>
      <w:bookmarkEnd w:id="15"/>
      <w:bookmarkEnd w:id="16"/>
    </w:p>
    <w:p w:rsidR="00E44716" w:rsidRDefault="00357146">
      <w:pPr>
        <w:pStyle w:val="Header"/>
      </w:pPr>
      <w:r>
        <w:rPr>
          <w:rStyle w:val="CharPartNo"/>
        </w:rPr>
        <w:t xml:space="preserve"> </w:t>
      </w:r>
      <w:r>
        <w:rPr>
          <w:rStyle w:val="CharPartText"/>
        </w:rPr>
        <w:t xml:space="preserve"> </w:t>
      </w:r>
    </w:p>
    <w:p w:rsidR="00E44716" w:rsidRDefault="00357146">
      <w:pPr>
        <w:pStyle w:val="notemargin"/>
      </w:pPr>
      <w:r>
        <w:t>Section 3</w:t>
      </w:r>
      <w:r>
        <w:tab/>
      </w:r>
    </w:p>
    <w:p w:rsidR="00E44716" w:rsidRDefault="00E44716"/>
    <w:tbl>
      <w:tblPr>
        <w:tblW w:w="0" w:type="auto"/>
        <w:tblLayout w:type="fixed"/>
        <w:tblLook w:val="0000" w:firstRow="0" w:lastRow="0" w:firstColumn="0" w:lastColumn="0" w:noHBand="0" w:noVBand="0"/>
      </w:tblPr>
      <w:tblGrid>
        <w:gridCol w:w="1668"/>
        <w:gridCol w:w="1193"/>
        <w:gridCol w:w="1193"/>
        <w:gridCol w:w="1193"/>
        <w:gridCol w:w="1193"/>
        <w:gridCol w:w="1193"/>
      </w:tblGrid>
      <w:tr w:rsidR="00E44716">
        <w:tc>
          <w:tcPr>
            <w:tcW w:w="1668" w:type="dxa"/>
            <w:tcBorders>
              <w:top w:val="single" w:sz="6" w:space="0" w:color="auto"/>
              <w:left w:val="nil"/>
              <w:bottom w:val="single" w:sz="6" w:space="0" w:color="auto"/>
              <w:right w:val="nil"/>
            </w:tcBorders>
          </w:tcPr>
          <w:p w:rsidR="00E44716" w:rsidRDefault="00357146">
            <w:pPr>
              <w:spacing w:before="60"/>
              <w:rPr>
                <w:sz w:val="18"/>
                <w:szCs w:val="18"/>
              </w:rPr>
            </w:pPr>
            <w:r>
              <w:rPr>
                <w:sz w:val="18"/>
                <w:szCs w:val="18"/>
              </w:rPr>
              <w:t>First Column</w:t>
            </w: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E44716">
            <w:pPr>
              <w:rPr>
                <w:sz w:val="18"/>
                <w:szCs w:val="18"/>
              </w:rPr>
            </w:pPr>
          </w:p>
          <w:p w:rsidR="00E44716" w:rsidRDefault="00357146">
            <w:pPr>
              <w:spacing w:after="60"/>
              <w:rPr>
                <w:sz w:val="18"/>
                <w:szCs w:val="18"/>
              </w:rPr>
            </w:pPr>
            <w:r>
              <w:rPr>
                <w:sz w:val="18"/>
                <w:szCs w:val="18"/>
              </w:rPr>
              <w:t>Name of State</w:t>
            </w:r>
          </w:p>
        </w:tc>
        <w:tc>
          <w:tcPr>
            <w:tcW w:w="1193" w:type="dxa"/>
            <w:tcBorders>
              <w:top w:val="single" w:sz="6" w:space="0" w:color="auto"/>
              <w:left w:val="nil"/>
              <w:bottom w:val="single" w:sz="6" w:space="0" w:color="auto"/>
              <w:right w:val="nil"/>
            </w:tcBorders>
          </w:tcPr>
          <w:p w:rsidR="00E44716" w:rsidRDefault="00357146">
            <w:pPr>
              <w:spacing w:before="60"/>
              <w:jc w:val="right"/>
              <w:rPr>
                <w:sz w:val="18"/>
                <w:szCs w:val="18"/>
              </w:rPr>
            </w:pPr>
            <w:r>
              <w:rPr>
                <w:sz w:val="18"/>
                <w:szCs w:val="18"/>
              </w:rPr>
              <w:t>Second Column</w:t>
            </w:r>
          </w:p>
          <w:p w:rsidR="00E44716" w:rsidRDefault="00E44716">
            <w:pPr>
              <w:jc w:val="right"/>
              <w:rPr>
                <w:sz w:val="18"/>
                <w:szCs w:val="18"/>
              </w:rPr>
            </w:pPr>
          </w:p>
          <w:p w:rsidR="00E44716" w:rsidRDefault="00E44716">
            <w:pPr>
              <w:jc w:val="right"/>
              <w:rPr>
                <w:sz w:val="18"/>
                <w:szCs w:val="18"/>
              </w:rPr>
            </w:pPr>
          </w:p>
          <w:p w:rsidR="00E44716" w:rsidRDefault="00E44716">
            <w:pPr>
              <w:jc w:val="right"/>
              <w:rPr>
                <w:sz w:val="18"/>
                <w:szCs w:val="18"/>
              </w:rPr>
            </w:pPr>
          </w:p>
          <w:p w:rsidR="00E44716" w:rsidRDefault="00E44716">
            <w:pPr>
              <w:jc w:val="right"/>
              <w:rPr>
                <w:sz w:val="18"/>
                <w:szCs w:val="18"/>
              </w:rPr>
            </w:pPr>
          </w:p>
          <w:p w:rsidR="00E44716" w:rsidRDefault="00357146">
            <w:pPr>
              <w:jc w:val="right"/>
              <w:rPr>
                <w:sz w:val="18"/>
                <w:szCs w:val="18"/>
              </w:rPr>
            </w:pPr>
            <w:r>
              <w:rPr>
                <w:sz w:val="18"/>
                <w:szCs w:val="18"/>
              </w:rPr>
              <w:t>Maximum grants payable in respect of schools conducted by a State</w:t>
            </w:r>
          </w:p>
        </w:tc>
        <w:tc>
          <w:tcPr>
            <w:tcW w:w="1193" w:type="dxa"/>
            <w:tcBorders>
              <w:top w:val="single" w:sz="6" w:space="0" w:color="auto"/>
              <w:left w:val="nil"/>
              <w:bottom w:val="single" w:sz="6" w:space="0" w:color="auto"/>
              <w:right w:val="nil"/>
            </w:tcBorders>
          </w:tcPr>
          <w:p w:rsidR="00E44716" w:rsidRDefault="00357146">
            <w:pPr>
              <w:spacing w:before="60"/>
              <w:jc w:val="right"/>
              <w:rPr>
                <w:sz w:val="18"/>
                <w:szCs w:val="18"/>
              </w:rPr>
            </w:pPr>
            <w:r>
              <w:rPr>
                <w:sz w:val="18"/>
                <w:szCs w:val="18"/>
              </w:rPr>
              <w:t>Third Column</w:t>
            </w:r>
          </w:p>
          <w:p w:rsidR="00E44716" w:rsidRDefault="00E44716">
            <w:pPr>
              <w:jc w:val="right"/>
              <w:rPr>
                <w:sz w:val="18"/>
                <w:szCs w:val="18"/>
              </w:rPr>
            </w:pPr>
          </w:p>
          <w:p w:rsidR="00E44716" w:rsidRDefault="00357146">
            <w:pPr>
              <w:jc w:val="right"/>
              <w:rPr>
                <w:sz w:val="18"/>
                <w:szCs w:val="18"/>
              </w:rPr>
            </w:pPr>
            <w:r>
              <w:rPr>
                <w:sz w:val="18"/>
                <w:szCs w:val="18"/>
              </w:rPr>
              <w:t>Maximum grants payable in respect of schools not conducted by a State being Roman Catholic schools</w:t>
            </w:r>
          </w:p>
        </w:tc>
        <w:tc>
          <w:tcPr>
            <w:tcW w:w="1193" w:type="dxa"/>
            <w:tcBorders>
              <w:top w:val="single" w:sz="6" w:space="0" w:color="auto"/>
              <w:left w:val="nil"/>
              <w:bottom w:val="single" w:sz="6" w:space="0" w:color="auto"/>
              <w:right w:val="nil"/>
            </w:tcBorders>
          </w:tcPr>
          <w:p w:rsidR="00E44716" w:rsidRDefault="00357146">
            <w:pPr>
              <w:spacing w:before="60"/>
              <w:jc w:val="right"/>
              <w:rPr>
                <w:sz w:val="18"/>
                <w:szCs w:val="18"/>
              </w:rPr>
            </w:pPr>
            <w:r>
              <w:rPr>
                <w:sz w:val="18"/>
                <w:szCs w:val="18"/>
              </w:rPr>
              <w:t>Fourth Column</w:t>
            </w:r>
          </w:p>
          <w:p w:rsidR="00E44716" w:rsidRDefault="00E44716">
            <w:pPr>
              <w:jc w:val="right"/>
              <w:rPr>
                <w:sz w:val="18"/>
                <w:szCs w:val="18"/>
              </w:rPr>
            </w:pPr>
          </w:p>
          <w:p w:rsidR="00E44716" w:rsidRDefault="00357146">
            <w:pPr>
              <w:jc w:val="right"/>
              <w:rPr>
                <w:sz w:val="18"/>
                <w:szCs w:val="18"/>
              </w:rPr>
            </w:pPr>
            <w:r>
              <w:rPr>
                <w:sz w:val="18"/>
                <w:szCs w:val="18"/>
              </w:rPr>
              <w:t>Maximum grants payable in respect of schools not conducted by a State other than Roman Catholic schools</w:t>
            </w:r>
          </w:p>
        </w:tc>
        <w:tc>
          <w:tcPr>
            <w:tcW w:w="1193" w:type="dxa"/>
            <w:tcBorders>
              <w:top w:val="single" w:sz="6" w:space="0" w:color="auto"/>
              <w:left w:val="nil"/>
              <w:bottom w:val="single" w:sz="6" w:space="0" w:color="auto"/>
              <w:right w:val="nil"/>
            </w:tcBorders>
          </w:tcPr>
          <w:p w:rsidR="00E44716" w:rsidRDefault="00357146">
            <w:pPr>
              <w:spacing w:before="60"/>
              <w:jc w:val="right"/>
              <w:rPr>
                <w:sz w:val="18"/>
                <w:szCs w:val="18"/>
              </w:rPr>
            </w:pPr>
            <w:r>
              <w:rPr>
                <w:sz w:val="18"/>
                <w:szCs w:val="18"/>
              </w:rPr>
              <w:t>Fifth Column</w:t>
            </w:r>
          </w:p>
          <w:p w:rsidR="00E44716" w:rsidRDefault="00E44716">
            <w:pPr>
              <w:jc w:val="right"/>
              <w:rPr>
                <w:sz w:val="18"/>
                <w:szCs w:val="18"/>
              </w:rPr>
            </w:pPr>
          </w:p>
          <w:p w:rsidR="00E44716" w:rsidRDefault="00E44716">
            <w:pPr>
              <w:jc w:val="right"/>
              <w:rPr>
                <w:sz w:val="18"/>
                <w:szCs w:val="18"/>
              </w:rPr>
            </w:pPr>
          </w:p>
          <w:p w:rsidR="00E44716" w:rsidRDefault="00E44716">
            <w:pPr>
              <w:jc w:val="right"/>
              <w:rPr>
                <w:sz w:val="18"/>
                <w:szCs w:val="18"/>
              </w:rPr>
            </w:pPr>
          </w:p>
          <w:p w:rsidR="00E44716" w:rsidRDefault="00E44716">
            <w:pPr>
              <w:jc w:val="right"/>
              <w:rPr>
                <w:sz w:val="18"/>
                <w:szCs w:val="18"/>
              </w:rPr>
            </w:pPr>
          </w:p>
          <w:p w:rsidR="00E44716" w:rsidRDefault="00357146">
            <w:pPr>
              <w:jc w:val="right"/>
              <w:rPr>
                <w:sz w:val="18"/>
                <w:szCs w:val="18"/>
              </w:rPr>
            </w:pPr>
            <w:r>
              <w:rPr>
                <w:sz w:val="18"/>
                <w:szCs w:val="18"/>
              </w:rPr>
              <w:t>Totals of maximum grants payable in respect of schools not conducted by a State</w:t>
            </w:r>
          </w:p>
        </w:tc>
        <w:tc>
          <w:tcPr>
            <w:tcW w:w="1193" w:type="dxa"/>
            <w:tcBorders>
              <w:top w:val="single" w:sz="6" w:space="0" w:color="auto"/>
              <w:left w:val="nil"/>
              <w:bottom w:val="single" w:sz="6" w:space="0" w:color="auto"/>
              <w:right w:val="nil"/>
            </w:tcBorders>
          </w:tcPr>
          <w:p w:rsidR="00E44716" w:rsidRDefault="00357146">
            <w:pPr>
              <w:spacing w:before="60"/>
              <w:jc w:val="right"/>
              <w:rPr>
                <w:sz w:val="18"/>
                <w:szCs w:val="18"/>
              </w:rPr>
            </w:pPr>
            <w:r>
              <w:rPr>
                <w:sz w:val="18"/>
                <w:szCs w:val="18"/>
              </w:rPr>
              <w:t>Sixth Column</w:t>
            </w:r>
          </w:p>
          <w:p w:rsidR="00E44716" w:rsidRDefault="00E44716">
            <w:pPr>
              <w:jc w:val="right"/>
              <w:rPr>
                <w:sz w:val="18"/>
                <w:szCs w:val="18"/>
              </w:rPr>
            </w:pPr>
          </w:p>
          <w:p w:rsidR="00E44716" w:rsidRDefault="00E44716">
            <w:pPr>
              <w:jc w:val="right"/>
              <w:rPr>
                <w:sz w:val="18"/>
                <w:szCs w:val="18"/>
              </w:rPr>
            </w:pPr>
          </w:p>
          <w:p w:rsidR="00E44716" w:rsidRDefault="00E44716">
            <w:pPr>
              <w:jc w:val="right"/>
              <w:rPr>
                <w:sz w:val="18"/>
                <w:szCs w:val="18"/>
              </w:rPr>
            </w:pPr>
          </w:p>
          <w:p w:rsidR="00E44716" w:rsidRDefault="00E44716">
            <w:pPr>
              <w:jc w:val="right"/>
              <w:rPr>
                <w:sz w:val="18"/>
                <w:szCs w:val="18"/>
              </w:rPr>
            </w:pPr>
          </w:p>
          <w:p w:rsidR="00E44716" w:rsidRDefault="00E44716">
            <w:pPr>
              <w:jc w:val="right"/>
              <w:rPr>
                <w:sz w:val="18"/>
                <w:szCs w:val="18"/>
              </w:rPr>
            </w:pPr>
          </w:p>
          <w:p w:rsidR="00E44716" w:rsidRDefault="00357146">
            <w:pPr>
              <w:jc w:val="right"/>
              <w:rPr>
                <w:sz w:val="18"/>
                <w:szCs w:val="18"/>
              </w:rPr>
            </w:pPr>
            <w:r>
              <w:rPr>
                <w:sz w:val="18"/>
                <w:szCs w:val="18"/>
              </w:rPr>
              <w:t>Totals of maximum grants payable in respect of all schools</w:t>
            </w:r>
          </w:p>
        </w:tc>
      </w:tr>
      <w:tr w:rsidR="00E44716">
        <w:tc>
          <w:tcPr>
            <w:tcW w:w="1668" w:type="dxa"/>
            <w:tcBorders>
              <w:top w:val="nil"/>
              <w:left w:val="nil"/>
              <w:bottom w:val="nil"/>
              <w:right w:val="nil"/>
            </w:tcBorders>
          </w:tcPr>
          <w:p w:rsidR="00E44716" w:rsidRDefault="00E44716">
            <w:pPr>
              <w:rPr>
                <w:sz w:val="18"/>
                <w:szCs w:val="18"/>
              </w:rPr>
            </w:pPr>
          </w:p>
        </w:tc>
        <w:tc>
          <w:tcPr>
            <w:tcW w:w="1193" w:type="dxa"/>
            <w:tcBorders>
              <w:top w:val="nil"/>
              <w:left w:val="nil"/>
              <w:bottom w:val="nil"/>
              <w:right w:val="nil"/>
            </w:tcBorders>
          </w:tcPr>
          <w:p w:rsidR="00E44716" w:rsidRDefault="00357146">
            <w:pPr>
              <w:jc w:val="right"/>
              <w:rPr>
                <w:sz w:val="18"/>
                <w:szCs w:val="18"/>
              </w:rPr>
            </w:pPr>
            <w:r>
              <w:rPr>
                <w:sz w:val="18"/>
                <w:szCs w:val="18"/>
              </w:rPr>
              <w:t>$</w:t>
            </w:r>
          </w:p>
        </w:tc>
        <w:tc>
          <w:tcPr>
            <w:tcW w:w="1193" w:type="dxa"/>
            <w:tcBorders>
              <w:top w:val="nil"/>
              <w:left w:val="nil"/>
              <w:bottom w:val="nil"/>
              <w:right w:val="nil"/>
            </w:tcBorders>
          </w:tcPr>
          <w:p w:rsidR="00E44716" w:rsidRDefault="00357146">
            <w:pPr>
              <w:jc w:val="right"/>
              <w:rPr>
                <w:sz w:val="18"/>
                <w:szCs w:val="18"/>
              </w:rPr>
            </w:pPr>
            <w:r>
              <w:rPr>
                <w:sz w:val="18"/>
                <w:szCs w:val="18"/>
              </w:rPr>
              <w:t>$</w:t>
            </w:r>
          </w:p>
        </w:tc>
        <w:tc>
          <w:tcPr>
            <w:tcW w:w="1193" w:type="dxa"/>
            <w:tcBorders>
              <w:top w:val="nil"/>
              <w:left w:val="nil"/>
              <w:bottom w:val="nil"/>
              <w:right w:val="nil"/>
            </w:tcBorders>
          </w:tcPr>
          <w:p w:rsidR="00E44716" w:rsidRDefault="00357146">
            <w:pPr>
              <w:jc w:val="right"/>
              <w:rPr>
                <w:sz w:val="18"/>
                <w:szCs w:val="18"/>
              </w:rPr>
            </w:pPr>
            <w:r>
              <w:rPr>
                <w:sz w:val="18"/>
                <w:szCs w:val="18"/>
              </w:rPr>
              <w:t>$</w:t>
            </w:r>
          </w:p>
        </w:tc>
        <w:tc>
          <w:tcPr>
            <w:tcW w:w="1193" w:type="dxa"/>
            <w:tcBorders>
              <w:top w:val="nil"/>
              <w:left w:val="nil"/>
              <w:bottom w:val="nil"/>
              <w:right w:val="nil"/>
            </w:tcBorders>
          </w:tcPr>
          <w:p w:rsidR="00E44716" w:rsidRDefault="00357146">
            <w:pPr>
              <w:jc w:val="right"/>
              <w:rPr>
                <w:sz w:val="18"/>
                <w:szCs w:val="18"/>
              </w:rPr>
            </w:pPr>
            <w:r>
              <w:rPr>
                <w:sz w:val="18"/>
                <w:szCs w:val="18"/>
              </w:rPr>
              <w:t>$</w:t>
            </w:r>
          </w:p>
        </w:tc>
        <w:tc>
          <w:tcPr>
            <w:tcW w:w="1193" w:type="dxa"/>
            <w:tcBorders>
              <w:top w:val="nil"/>
              <w:left w:val="nil"/>
              <w:bottom w:val="nil"/>
              <w:right w:val="nil"/>
            </w:tcBorders>
          </w:tcPr>
          <w:p w:rsidR="00E44716" w:rsidRDefault="00357146">
            <w:pPr>
              <w:jc w:val="right"/>
              <w:rPr>
                <w:sz w:val="18"/>
                <w:szCs w:val="18"/>
              </w:rPr>
            </w:pPr>
            <w:r>
              <w:rPr>
                <w:sz w:val="18"/>
                <w:szCs w:val="18"/>
              </w:rPr>
              <w:t>$</w:t>
            </w:r>
          </w:p>
        </w:tc>
      </w:tr>
      <w:tr w:rsidR="00E44716">
        <w:tc>
          <w:tcPr>
            <w:tcW w:w="1668" w:type="dxa"/>
            <w:tcBorders>
              <w:top w:val="nil"/>
              <w:left w:val="nil"/>
              <w:bottom w:val="nil"/>
              <w:right w:val="nil"/>
            </w:tcBorders>
          </w:tcPr>
          <w:p w:rsidR="00E44716" w:rsidRDefault="00357146">
            <w:pPr>
              <w:tabs>
                <w:tab w:val="left" w:leader="dot" w:pos="567"/>
                <w:tab w:val="left" w:leader="dot" w:pos="1701"/>
              </w:tabs>
              <w:rPr>
                <w:sz w:val="18"/>
                <w:szCs w:val="18"/>
              </w:rPr>
            </w:pPr>
            <w:r>
              <w:rPr>
                <w:sz w:val="18"/>
                <w:szCs w:val="18"/>
              </w:rPr>
              <w:t>New South Wales</w:t>
            </w:r>
            <w:r>
              <w:rPr>
                <w:sz w:val="18"/>
                <w:szCs w:val="18"/>
              </w:rPr>
              <w:tab/>
            </w:r>
          </w:p>
        </w:tc>
        <w:tc>
          <w:tcPr>
            <w:tcW w:w="1193" w:type="dxa"/>
            <w:tcBorders>
              <w:top w:val="nil"/>
              <w:left w:val="nil"/>
              <w:bottom w:val="nil"/>
              <w:right w:val="nil"/>
            </w:tcBorders>
          </w:tcPr>
          <w:p w:rsidR="00E44716" w:rsidRDefault="00357146">
            <w:pPr>
              <w:jc w:val="right"/>
              <w:rPr>
                <w:sz w:val="18"/>
                <w:szCs w:val="18"/>
              </w:rPr>
            </w:pPr>
            <w:r>
              <w:rPr>
                <w:sz w:val="18"/>
                <w:szCs w:val="18"/>
              </w:rPr>
              <w:t>9,471,780</w:t>
            </w:r>
          </w:p>
        </w:tc>
        <w:tc>
          <w:tcPr>
            <w:tcW w:w="1193" w:type="dxa"/>
            <w:tcBorders>
              <w:top w:val="nil"/>
              <w:left w:val="nil"/>
              <w:bottom w:val="nil"/>
              <w:right w:val="nil"/>
            </w:tcBorders>
          </w:tcPr>
          <w:p w:rsidR="00E44716" w:rsidRDefault="00357146">
            <w:pPr>
              <w:jc w:val="right"/>
              <w:rPr>
                <w:sz w:val="18"/>
                <w:szCs w:val="18"/>
              </w:rPr>
            </w:pPr>
            <w:r>
              <w:rPr>
                <w:sz w:val="18"/>
                <w:szCs w:val="18"/>
              </w:rPr>
              <w:t>4,120,230</w:t>
            </w:r>
          </w:p>
        </w:tc>
        <w:tc>
          <w:tcPr>
            <w:tcW w:w="1193" w:type="dxa"/>
            <w:tcBorders>
              <w:top w:val="nil"/>
              <w:left w:val="nil"/>
              <w:bottom w:val="nil"/>
              <w:right w:val="nil"/>
            </w:tcBorders>
          </w:tcPr>
          <w:p w:rsidR="00E44716" w:rsidRDefault="00357146">
            <w:pPr>
              <w:jc w:val="right"/>
              <w:rPr>
                <w:sz w:val="18"/>
                <w:szCs w:val="18"/>
              </w:rPr>
            </w:pPr>
            <w:r>
              <w:rPr>
                <w:sz w:val="18"/>
                <w:szCs w:val="18"/>
              </w:rPr>
              <w:t>1,221,310</w:t>
            </w:r>
          </w:p>
        </w:tc>
        <w:tc>
          <w:tcPr>
            <w:tcW w:w="1193" w:type="dxa"/>
            <w:tcBorders>
              <w:top w:val="nil"/>
              <w:left w:val="nil"/>
              <w:bottom w:val="nil"/>
              <w:right w:val="nil"/>
            </w:tcBorders>
          </w:tcPr>
          <w:p w:rsidR="00E44716" w:rsidRDefault="00357146">
            <w:pPr>
              <w:jc w:val="right"/>
              <w:rPr>
                <w:sz w:val="18"/>
                <w:szCs w:val="18"/>
              </w:rPr>
            </w:pPr>
            <w:r>
              <w:rPr>
                <w:sz w:val="18"/>
                <w:szCs w:val="18"/>
              </w:rPr>
              <w:t>5,341,540</w:t>
            </w:r>
          </w:p>
        </w:tc>
        <w:tc>
          <w:tcPr>
            <w:tcW w:w="1193" w:type="dxa"/>
            <w:tcBorders>
              <w:top w:val="nil"/>
              <w:left w:val="nil"/>
              <w:bottom w:val="nil"/>
              <w:right w:val="nil"/>
            </w:tcBorders>
          </w:tcPr>
          <w:p w:rsidR="00E44716" w:rsidRDefault="00357146">
            <w:pPr>
              <w:jc w:val="right"/>
              <w:rPr>
                <w:sz w:val="18"/>
                <w:szCs w:val="18"/>
              </w:rPr>
            </w:pPr>
            <w:r>
              <w:rPr>
                <w:sz w:val="18"/>
                <w:szCs w:val="18"/>
              </w:rPr>
              <w:t>14,813,320</w:t>
            </w:r>
          </w:p>
        </w:tc>
      </w:tr>
      <w:tr w:rsidR="00E44716">
        <w:tc>
          <w:tcPr>
            <w:tcW w:w="1668" w:type="dxa"/>
            <w:tcBorders>
              <w:top w:val="nil"/>
              <w:left w:val="nil"/>
              <w:bottom w:val="nil"/>
              <w:right w:val="nil"/>
            </w:tcBorders>
          </w:tcPr>
          <w:p w:rsidR="00E44716" w:rsidRDefault="00357146">
            <w:pPr>
              <w:tabs>
                <w:tab w:val="left" w:leader="dot" w:pos="567"/>
                <w:tab w:val="left" w:leader="dot" w:pos="1701"/>
              </w:tabs>
              <w:rPr>
                <w:sz w:val="18"/>
                <w:szCs w:val="18"/>
              </w:rPr>
            </w:pPr>
            <w:r>
              <w:rPr>
                <w:sz w:val="18"/>
                <w:szCs w:val="18"/>
              </w:rPr>
              <w:t>Victoria</w:t>
            </w:r>
            <w:r>
              <w:rPr>
                <w:sz w:val="18"/>
                <w:szCs w:val="18"/>
              </w:rPr>
              <w:tab/>
            </w:r>
          </w:p>
        </w:tc>
        <w:tc>
          <w:tcPr>
            <w:tcW w:w="1193" w:type="dxa"/>
            <w:tcBorders>
              <w:top w:val="nil"/>
              <w:left w:val="nil"/>
              <w:bottom w:val="nil"/>
              <w:right w:val="nil"/>
            </w:tcBorders>
          </w:tcPr>
          <w:p w:rsidR="00E44716" w:rsidRDefault="00357146">
            <w:pPr>
              <w:jc w:val="right"/>
              <w:rPr>
                <w:sz w:val="18"/>
                <w:szCs w:val="18"/>
              </w:rPr>
            </w:pPr>
            <w:r>
              <w:rPr>
                <w:sz w:val="18"/>
                <w:szCs w:val="18"/>
              </w:rPr>
              <w:t>8,035,620</w:t>
            </w:r>
          </w:p>
        </w:tc>
        <w:tc>
          <w:tcPr>
            <w:tcW w:w="1193" w:type="dxa"/>
            <w:tcBorders>
              <w:top w:val="nil"/>
              <w:left w:val="nil"/>
              <w:bottom w:val="nil"/>
              <w:right w:val="nil"/>
            </w:tcBorders>
          </w:tcPr>
          <w:p w:rsidR="00E44716" w:rsidRDefault="00357146">
            <w:pPr>
              <w:jc w:val="right"/>
              <w:rPr>
                <w:sz w:val="18"/>
                <w:szCs w:val="18"/>
              </w:rPr>
            </w:pPr>
            <w:r>
              <w:rPr>
                <w:sz w:val="18"/>
                <w:szCs w:val="18"/>
              </w:rPr>
              <w:t>3,138,965</w:t>
            </w:r>
          </w:p>
        </w:tc>
        <w:tc>
          <w:tcPr>
            <w:tcW w:w="1193" w:type="dxa"/>
            <w:tcBorders>
              <w:top w:val="nil"/>
              <w:left w:val="nil"/>
              <w:bottom w:val="nil"/>
              <w:right w:val="nil"/>
            </w:tcBorders>
          </w:tcPr>
          <w:p w:rsidR="00E44716" w:rsidRDefault="00357146">
            <w:pPr>
              <w:jc w:val="right"/>
              <w:rPr>
                <w:sz w:val="18"/>
                <w:szCs w:val="18"/>
              </w:rPr>
            </w:pPr>
            <w:r>
              <w:rPr>
                <w:sz w:val="18"/>
                <w:szCs w:val="18"/>
              </w:rPr>
              <w:t>2,298,215</w:t>
            </w:r>
          </w:p>
        </w:tc>
        <w:tc>
          <w:tcPr>
            <w:tcW w:w="1193" w:type="dxa"/>
            <w:tcBorders>
              <w:top w:val="nil"/>
              <w:left w:val="nil"/>
              <w:bottom w:val="nil"/>
              <w:right w:val="nil"/>
            </w:tcBorders>
          </w:tcPr>
          <w:p w:rsidR="00E44716" w:rsidRDefault="00357146">
            <w:pPr>
              <w:jc w:val="right"/>
              <w:rPr>
                <w:sz w:val="18"/>
                <w:szCs w:val="18"/>
              </w:rPr>
            </w:pPr>
            <w:r>
              <w:rPr>
                <w:sz w:val="18"/>
                <w:szCs w:val="18"/>
              </w:rPr>
              <w:t>5,437,180</w:t>
            </w:r>
          </w:p>
        </w:tc>
        <w:tc>
          <w:tcPr>
            <w:tcW w:w="1193" w:type="dxa"/>
            <w:tcBorders>
              <w:top w:val="nil"/>
              <w:left w:val="nil"/>
              <w:bottom w:val="nil"/>
              <w:right w:val="nil"/>
            </w:tcBorders>
          </w:tcPr>
          <w:p w:rsidR="00E44716" w:rsidRDefault="00357146">
            <w:pPr>
              <w:jc w:val="right"/>
              <w:rPr>
                <w:sz w:val="18"/>
                <w:szCs w:val="18"/>
              </w:rPr>
            </w:pPr>
            <w:r>
              <w:rPr>
                <w:sz w:val="18"/>
                <w:szCs w:val="18"/>
              </w:rPr>
              <w:t>13,472,800</w:t>
            </w:r>
          </w:p>
        </w:tc>
      </w:tr>
      <w:tr w:rsidR="00E44716">
        <w:tc>
          <w:tcPr>
            <w:tcW w:w="1668" w:type="dxa"/>
            <w:tcBorders>
              <w:top w:val="nil"/>
              <w:left w:val="nil"/>
              <w:bottom w:val="nil"/>
              <w:right w:val="nil"/>
            </w:tcBorders>
          </w:tcPr>
          <w:p w:rsidR="00E44716" w:rsidRDefault="00357146">
            <w:pPr>
              <w:tabs>
                <w:tab w:val="left" w:leader="dot" w:pos="567"/>
                <w:tab w:val="left" w:leader="dot" w:pos="1701"/>
              </w:tabs>
              <w:rPr>
                <w:sz w:val="18"/>
                <w:szCs w:val="18"/>
              </w:rPr>
            </w:pPr>
            <w:r>
              <w:rPr>
                <w:sz w:val="18"/>
                <w:szCs w:val="18"/>
              </w:rPr>
              <w:t>Queensland</w:t>
            </w:r>
            <w:r>
              <w:rPr>
                <w:sz w:val="18"/>
                <w:szCs w:val="18"/>
              </w:rPr>
              <w:tab/>
            </w:r>
          </w:p>
        </w:tc>
        <w:tc>
          <w:tcPr>
            <w:tcW w:w="1193" w:type="dxa"/>
            <w:tcBorders>
              <w:top w:val="nil"/>
              <w:left w:val="nil"/>
              <w:bottom w:val="nil"/>
              <w:right w:val="nil"/>
            </w:tcBorders>
          </w:tcPr>
          <w:p w:rsidR="00E44716" w:rsidRDefault="00357146">
            <w:pPr>
              <w:jc w:val="right"/>
              <w:rPr>
                <w:sz w:val="18"/>
                <w:szCs w:val="18"/>
              </w:rPr>
            </w:pPr>
            <w:r>
              <w:rPr>
                <w:sz w:val="18"/>
                <w:szCs w:val="18"/>
              </w:rPr>
              <w:t>3,072,780</w:t>
            </w:r>
          </w:p>
        </w:tc>
        <w:tc>
          <w:tcPr>
            <w:tcW w:w="1193" w:type="dxa"/>
            <w:tcBorders>
              <w:top w:val="nil"/>
              <w:left w:val="nil"/>
              <w:bottom w:val="nil"/>
              <w:right w:val="nil"/>
            </w:tcBorders>
          </w:tcPr>
          <w:p w:rsidR="00E44716" w:rsidRDefault="00357146">
            <w:pPr>
              <w:jc w:val="right"/>
              <w:rPr>
                <w:sz w:val="18"/>
                <w:szCs w:val="18"/>
              </w:rPr>
            </w:pPr>
            <w:r>
              <w:rPr>
                <w:sz w:val="18"/>
                <w:szCs w:val="18"/>
              </w:rPr>
              <w:t>2,411,520</w:t>
            </w:r>
          </w:p>
        </w:tc>
        <w:tc>
          <w:tcPr>
            <w:tcW w:w="1193" w:type="dxa"/>
            <w:tcBorders>
              <w:top w:val="nil"/>
              <w:left w:val="nil"/>
              <w:bottom w:val="nil"/>
              <w:right w:val="nil"/>
            </w:tcBorders>
          </w:tcPr>
          <w:p w:rsidR="00E44716" w:rsidRDefault="00357146">
            <w:pPr>
              <w:jc w:val="right"/>
              <w:rPr>
                <w:sz w:val="18"/>
                <w:szCs w:val="18"/>
              </w:rPr>
            </w:pPr>
            <w:r>
              <w:rPr>
                <w:sz w:val="18"/>
                <w:szCs w:val="18"/>
              </w:rPr>
              <w:t>911,500</w:t>
            </w:r>
          </w:p>
        </w:tc>
        <w:tc>
          <w:tcPr>
            <w:tcW w:w="1193" w:type="dxa"/>
            <w:tcBorders>
              <w:top w:val="nil"/>
              <w:left w:val="nil"/>
              <w:bottom w:val="nil"/>
              <w:right w:val="nil"/>
            </w:tcBorders>
          </w:tcPr>
          <w:p w:rsidR="00E44716" w:rsidRDefault="00357146">
            <w:pPr>
              <w:jc w:val="right"/>
              <w:rPr>
                <w:sz w:val="18"/>
                <w:szCs w:val="18"/>
              </w:rPr>
            </w:pPr>
            <w:r>
              <w:rPr>
                <w:sz w:val="18"/>
                <w:szCs w:val="18"/>
              </w:rPr>
              <w:t>3,323,020</w:t>
            </w:r>
          </w:p>
        </w:tc>
        <w:tc>
          <w:tcPr>
            <w:tcW w:w="1193" w:type="dxa"/>
            <w:tcBorders>
              <w:top w:val="nil"/>
              <w:left w:val="nil"/>
              <w:bottom w:val="nil"/>
              <w:right w:val="nil"/>
            </w:tcBorders>
          </w:tcPr>
          <w:p w:rsidR="00E44716" w:rsidRDefault="00357146">
            <w:pPr>
              <w:jc w:val="right"/>
              <w:rPr>
                <w:sz w:val="18"/>
                <w:szCs w:val="18"/>
              </w:rPr>
            </w:pPr>
            <w:r>
              <w:rPr>
                <w:sz w:val="18"/>
                <w:szCs w:val="18"/>
              </w:rPr>
              <w:t>6,395,800</w:t>
            </w:r>
          </w:p>
        </w:tc>
      </w:tr>
      <w:tr w:rsidR="00E44716">
        <w:tc>
          <w:tcPr>
            <w:tcW w:w="1668" w:type="dxa"/>
            <w:tcBorders>
              <w:top w:val="nil"/>
              <w:left w:val="nil"/>
              <w:bottom w:val="nil"/>
              <w:right w:val="nil"/>
            </w:tcBorders>
          </w:tcPr>
          <w:p w:rsidR="00E44716" w:rsidRDefault="00357146">
            <w:pPr>
              <w:tabs>
                <w:tab w:val="left" w:leader="dot" w:pos="567"/>
                <w:tab w:val="left" w:leader="dot" w:pos="1701"/>
              </w:tabs>
              <w:rPr>
                <w:sz w:val="18"/>
                <w:szCs w:val="18"/>
              </w:rPr>
            </w:pPr>
            <w:r>
              <w:rPr>
                <w:sz w:val="18"/>
                <w:szCs w:val="18"/>
              </w:rPr>
              <w:t>South Australia</w:t>
            </w:r>
            <w:r>
              <w:rPr>
                <w:sz w:val="18"/>
                <w:szCs w:val="18"/>
              </w:rPr>
              <w:tab/>
            </w:r>
          </w:p>
        </w:tc>
        <w:tc>
          <w:tcPr>
            <w:tcW w:w="1193" w:type="dxa"/>
            <w:tcBorders>
              <w:top w:val="nil"/>
              <w:left w:val="nil"/>
              <w:bottom w:val="nil"/>
              <w:right w:val="nil"/>
            </w:tcBorders>
          </w:tcPr>
          <w:p w:rsidR="00E44716" w:rsidRDefault="00357146">
            <w:pPr>
              <w:jc w:val="right"/>
              <w:rPr>
                <w:sz w:val="18"/>
                <w:szCs w:val="18"/>
              </w:rPr>
            </w:pPr>
            <w:r>
              <w:rPr>
                <w:sz w:val="18"/>
                <w:szCs w:val="18"/>
              </w:rPr>
              <w:t>2,647,125</w:t>
            </w:r>
          </w:p>
        </w:tc>
        <w:tc>
          <w:tcPr>
            <w:tcW w:w="1193" w:type="dxa"/>
            <w:tcBorders>
              <w:top w:val="nil"/>
              <w:left w:val="nil"/>
              <w:bottom w:val="nil"/>
              <w:right w:val="nil"/>
            </w:tcBorders>
          </w:tcPr>
          <w:p w:rsidR="00E44716" w:rsidRDefault="00357146">
            <w:pPr>
              <w:jc w:val="right"/>
              <w:rPr>
                <w:sz w:val="18"/>
                <w:szCs w:val="18"/>
              </w:rPr>
            </w:pPr>
            <w:r>
              <w:rPr>
                <w:sz w:val="18"/>
                <w:szCs w:val="18"/>
              </w:rPr>
              <w:t>408,527</w:t>
            </w:r>
          </w:p>
        </w:tc>
        <w:tc>
          <w:tcPr>
            <w:tcW w:w="1193" w:type="dxa"/>
            <w:tcBorders>
              <w:top w:val="nil"/>
              <w:left w:val="nil"/>
              <w:bottom w:val="nil"/>
              <w:right w:val="nil"/>
            </w:tcBorders>
          </w:tcPr>
          <w:p w:rsidR="00E44716" w:rsidRDefault="00357146">
            <w:pPr>
              <w:jc w:val="right"/>
              <w:rPr>
                <w:sz w:val="18"/>
                <w:szCs w:val="18"/>
              </w:rPr>
            </w:pPr>
            <w:r>
              <w:rPr>
                <w:sz w:val="18"/>
                <w:szCs w:val="18"/>
              </w:rPr>
              <w:t>254,998</w:t>
            </w:r>
          </w:p>
        </w:tc>
        <w:tc>
          <w:tcPr>
            <w:tcW w:w="1193" w:type="dxa"/>
            <w:tcBorders>
              <w:top w:val="nil"/>
              <w:left w:val="nil"/>
              <w:bottom w:val="nil"/>
              <w:right w:val="nil"/>
            </w:tcBorders>
          </w:tcPr>
          <w:p w:rsidR="00E44716" w:rsidRDefault="00357146">
            <w:pPr>
              <w:jc w:val="right"/>
              <w:rPr>
                <w:sz w:val="18"/>
                <w:szCs w:val="18"/>
              </w:rPr>
            </w:pPr>
            <w:r>
              <w:rPr>
                <w:sz w:val="18"/>
                <w:szCs w:val="18"/>
              </w:rPr>
              <w:t>663,525</w:t>
            </w:r>
          </w:p>
        </w:tc>
        <w:tc>
          <w:tcPr>
            <w:tcW w:w="1193" w:type="dxa"/>
            <w:tcBorders>
              <w:top w:val="nil"/>
              <w:left w:val="nil"/>
              <w:bottom w:val="nil"/>
              <w:right w:val="nil"/>
            </w:tcBorders>
          </w:tcPr>
          <w:p w:rsidR="00E44716" w:rsidRDefault="00357146">
            <w:pPr>
              <w:jc w:val="right"/>
              <w:rPr>
                <w:sz w:val="18"/>
                <w:szCs w:val="18"/>
              </w:rPr>
            </w:pPr>
            <w:r>
              <w:rPr>
                <w:sz w:val="18"/>
                <w:szCs w:val="18"/>
              </w:rPr>
              <w:t>3,310,650</w:t>
            </w:r>
          </w:p>
        </w:tc>
      </w:tr>
      <w:tr w:rsidR="00E44716">
        <w:tc>
          <w:tcPr>
            <w:tcW w:w="1668" w:type="dxa"/>
            <w:tcBorders>
              <w:top w:val="nil"/>
              <w:left w:val="nil"/>
              <w:bottom w:val="nil"/>
              <w:right w:val="nil"/>
            </w:tcBorders>
          </w:tcPr>
          <w:p w:rsidR="00E44716" w:rsidRDefault="00357146">
            <w:pPr>
              <w:tabs>
                <w:tab w:val="left" w:leader="dot" w:pos="567"/>
                <w:tab w:val="left" w:leader="dot" w:pos="1701"/>
              </w:tabs>
              <w:rPr>
                <w:sz w:val="18"/>
                <w:szCs w:val="18"/>
              </w:rPr>
            </w:pPr>
            <w:r>
              <w:rPr>
                <w:sz w:val="18"/>
                <w:szCs w:val="18"/>
              </w:rPr>
              <w:t>Western Australia</w:t>
            </w:r>
            <w:r>
              <w:rPr>
                <w:sz w:val="18"/>
                <w:szCs w:val="18"/>
              </w:rPr>
              <w:tab/>
            </w:r>
          </w:p>
        </w:tc>
        <w:tc>
          <w:tcPr>
            <w:tcW w:w="1193" w:type="dxa"/>
            <w:tcBorders>
              <w:top w:val="nil"/>
              <w:left w:val="nil"/>
              <w:bottom w:val="nil"/>
              <w:right w:val="nil"/>
            </w:tcBorders>
          </w:tcPr>
          <w:p w:rsidR="00E44716" w:rsidRDefault="00357146">
            <w:pPr>
              <w:jc w:val="right"/>
              <w:rPr>
                <w:sz w:val="18"/>
                <w:szCs w:val="18"/>
              </w:rPr>
            </w:pPr>
            <w:r>
              <w:rPr>
                <w:sz w:val="18"/>
                <w:szCs w:val="18"/>
              </w:rPr>
              <w:t>1,870,035</w:t>
            </w:r>
          </w:p>
        </w:tc>
        <w:tc>
          <w:tcPr>
            <w:tcW w:w="1193" w:type="dxa"/>
            <w:tcBorders>
              <w:top w:val="nil"/>
              <w:left w:val="nil"/>
              <w:bottom w:val="nil"/>
              <w:right w:val="nil"/>
            </w:tcBorders>
          </w:tcPr>
          <w:p w:rsidR="00E44716" w:rsidRDefault="00357146">
            <w:pPr>
              <w:jc w:val="right"/>
              <w:rPr>
                <w:sz w:val="18"/>
                <w:szCs w:val="18"/>
              </w:rPr>
            </w:pPr>
            <w:r>
              <w:rPr>
                <w:sz w:val="18"/>
                <w:szCs w:val="18"/>
              </w:rPr>
              <w:t>1,173,514</w:t>
            </w:r>
          </w:p>
        </w:tc>
        <w:tc>
          <w:tcPr>
            <w:tcW w:w="1193" w:type="dxa"/>
            <w:tcBorders>
              <w:top w:val="nil"/>
              <w:left w:val="nil"/>
              <w:bottom w:val="nil"/>
              <w:right w:val="nil"/>
            </w:tcBorders>
          </w:tcPr>
          <w:p w:rsidR="00E44716" w:rsidRDefault="00357146">
            <w:pPr>
              <w:jc w:val="right"/>
              <w:rPr>
                <w:sz w:val="18"/>
                <w:szCs w:val="18"/>
              </w:rPr>
            </w:pPr>
            <w:r>
              <w:rPr>
                <w:sz w:val="18"/>
                <w:szCs w:val="18"/>
              </w:rPr>
              <w:t>599,591</w:t>
            </w:r>
          </w:p>
        </w:tc>
        <w:tc>
          <w:tcPr>
            <w:tcW w:w="1193" w:type="dxa"/>
            <w:tcBorders>
              <w:top w:val="nil"/>
              <w:left w:val="nil"/>
              <w:bottom w:val="nil"/>
              <w:right w:val="nil"/>
            </w:tcBorders>
          </w:tcPr>
          <w:p w:rsidR="00E44716" w:rsidRDefault="00357146">
            <w:pPr>
              <w:jc w:val="right"/>
              <w:rPr>
                <w:sz w:val="18"/>
                <w:szCs w:val="18"/>
              </w:rPr>
            </w:pPr>
            <w:r>
              <w:rPr>
                <w:sz w:val="18"/>
                <w:szCs w:val="18"/>
              </w:rPr>
              <w:t>1,773,105</w:t>
            </w:r>
          </w:p>
        </w:tc>
        <w:tc>
          <w:tcPr>
            <w:tcW w:w="1193" w:type="dxa"/>
            <w:tcBorders>
              <w:top w:val="nil"/>
              <w:left w:val="nil"/>
              <w:bottom w:val="nil"/>
              <w:right w:val="nil"/>
            </w:tcBorders>
          </w:tcPr>
          <w:p w:rsidR="00E44716" w:rsidRDefault="00357146">
            <w:pPr>
              <w:jc w:val="right"/>
              <w:rPr>
                <w:sz w:val="18"/>
                <w:szCs w:val="18"/>
              </w:rPr>
            </w:pPr>
            <w:r>
              <w:rPr>
                <w:sz w:val="18"/>
                <w:szCs w:val="18"/>
              </w:rPr>
              <w:t>3,643,140</w:t>
            </w:r>
          </w:p>
        </w:tc>
      </w:tr>
      <w:tr w:rsidR="00E44716">
        <w:tc>
          <w:tcPr>
            <w:tcW w:w="1668" w:type="dxa"/>
            <w:tcBorders>
              <w:top w:val="nil"/>
              <w:left w:val="nil"/>
              <w:bottom w:val="nil"/>
              <w:right w:val="nil"/>
            </w:tcBorders>
          </w:tcPr>
          <w:p w:rsidR="00E44716" w:rsidRDefault="00357146">
            <w:pPr>
              <w:tabs>
                <w:tab w:val="left" w:leader="dot" w:pos="567"/>
                <w:tab w:val="left" w:leader="dot" w:pos="1701"/>
              </w:tabs>
              <w:rPr>
                <w:sz w:val="18"/>
                <w:szCs w:val="18"/>
              </w:rPr>
            </w:pPr>
            <w:r>
              <w:rPr>
                <w:sz w:val="18"/>
                <w:szCs w:val="18"/>
              </w:rPr>
              <w:t>Tasmania</w:t>
            </w:r>
            <w:r>
              <w:rPr>
                <w:sz w:val="18"/>
                <w:szCs w:val="18"/>
              </w:rPr>
              <w:tab/>
            </w:r>
          </w:p>
        </w:tc>
        <w:tc>
          <w:tcPr>
            <w:tcW w:w="1193" w:type="dxa"/>
            <w:tcBorders>
              <w:top w:val="nil"/>
              <w:left w:val="nil"/>
              <w:bottom w:val="nil"/>
              <w:right w:val="nil"/>
            </w:tcBorders>
          </w:tcPr>
          <w:p w:rsidR="00E44716" w:rsidRDefault="00357146">
            <w:pPr>
              <w:jc w:val="right"/>
              <w:rPr>
                <w:sz w:val="18"/>
                <w:szCs w:val="18"/>
              </w:rPr>
            </w:pPr>
            <w:r>
              <w:rPr>
                <w:sz w:val="18"/>
                <w:szCs w:val="18"/>
              </w:rPr>
              <w:t>990,660</w:t>
            </w:r>
          </w:p>
        </w:tc>
        <w:tc>
          <w:tcPr>
            <w:tcW w:w="1193" w:type="dxa"/>
            <w:tcBorders>
              <w:top w:val="nil"/>
              <w:left w:val="nil"/>
              <w:bottom w:val="nil"/>
              <w:right w:val="nil"/>
            </w:tcBorders>
          </w:tcPr>
          <w:p w:rsidR="00E44716" w:rsidRDefault="00357146">
            <w:pPr>
              <w:jc w:val="right"/>
              <w:rPr>
                <w:sz w:val="18"/>
                <w:szCs w:val="18"/>
              </w:rPr>
            </w:pPr>
            <w:r>
              <w:rPr>
                <w:sz w:val="18"/>
                <w:szCs w:val="18"/>
              </w:rPr>
              <w:t>426,947</w:t>
            </w:r>
          </w:p>
        </w:tc>
        <w:tc>
          <w:tcPr>
            <w:tcW w:w="1193" w:type="dxa"/>
            <w:tcBorders>
              <w:top w:val="nil"/>
              <w:left w:val="nil"/>
              <w:bottom w:val="nil"/>
              <w:right w:val="nil"/>
            </w:tcBorders>
          </w:tcPr>
          <w:p w:rsidR="00E44716" w:rsidRDefault="00357146">
            <w:pPr>
              <w:jc w:val="right"/>
              <w:rPr>
                <w:sz w:val="18"/>
                <w:szCs w:val="18"/>
              </w:rPr>
            </w:pPr>
            <w:r>
              <w:rPr>
                <w:sz w:val="18"/>
                <w:szCs w:val="18"/>
              </w:rPr>
              <w:t>241,683</w:t>
            </w:r>
          </w:p>
        </w:tc>
        <w:tc>
          <w:tcPr>
            <w:tcW w:w="1193" w:type="dxa"/>
            <w:tcBorders>
              <w:top w:val="nil"/>
              <w:left w:val="nil"/>
              <w:bottom w:val="nil"/>
              <w:right w:val="nil"/>
            </w:tcBorders>
          </w:tcPr>
          <w:p w:rsidR="00E44716" w:rsidRDefault="00357146">
            <w:pPr>
              <w:jc w:val="right"/>
              <w:rPr>
                <w:sz w:val="18"/>
                <w:szCs w:val="18"/>
              </w:rPr>
            </w:pPr>
            <w:r>
              <w:rPr>
                <w:sz w:val="18"/>
                <w:szCs w:val="18"/>
              </w:rPr>
              <w:t>668,630</w:t>
            </w:r>
          </w:p>
        </w:tc>
        <w:tc>
          <w:tcPr>
            <w:tcW w:w="1193" w:type="dxa"/>
            <w:tcBorders>
              <w:top w:val="nil"/>
              <w:left w:val="nil"/>
              <w:bottom w:val="nil"/>
              <w:right w:val="nil"/>
            </w:tcBorders>
          </w:tcPr>
          <w:p w:rsidR="00E44716" w:rsidRDefault="00357146">
            <w:pPr>
              <w:jc w:val="right"/>
              <w:rPr>
                <w:sz w:val="18"/>
                <w:szCs w:val="18"/>
              </w:rPr>
            </w:pPr>
            <w:r>
              <w:rPr>
                <w:sz w:val="18"/>
                <w:szCs w:val="18"/>
              </w:rPr>
              <w:t>1,659,290</w:t>
            </w:r>
          </w:p>
        </w:tc>
      </w:tr>
      <w:tr w:rsidR="00E44716">
        <w:tc>
          <w:tcPr>
            <w:tcW w:w="1668" w:type="dxa"/>
            <w:tcBorders>
              <w:top w:val="nil"/>
              <w:left w:val="nil"/>
              <w:bottom w:val="nil"/>
              <w:right w:val="nil"/>
            </w:tcBorders>
          </w:tcPr>
          <w:p w:rsidR="00E44716" w:rsidRDefault="00357146">
            <w:pPr>
              <w:tabs>
                <w:tab w:val="left" w:leader="dot" w:pos="567"/>
                <w:tab w:val="left" w:leader="dot" w:pos="1701"/>
              </w:tabs>
              <w:rPr>
                <w:sz w:val="18"/>
                <w:szCs w:val="18"/>
              </w:rPr>
            </w:pPr>
            <w:r>
              <w:rPr>
                <w:sz w:val="18"/>
                <w:szCs w:val="18"/>
              </w:rPr>
              <w:t>Totals</w:t>
            </w:r>
            <w:r>
              <w:rPr>
                <w:sz w:val="18"/>
                <w:szCs w:val="18"/>
              </w:rPr>
              <w:tab/>
            </w:r>
            <w:r>
              <w:rPr>
                <w:sz w:val="18"/>
                <w:szCs w:val="18"/>
              </w:rPr>
              <w:tab/>
            </w:r>
          </w:p>
        </w:tc>
        <w:tc>
          <w:tcPr>
            <w:tcW w:w="1193" w:type="dxa"/>
            <w:tcBorders>
              <w:top w:val="nil"/>
              <w:left w:val="nil"/>
              <w:bottom w:val="nil"/>
              <w:right w:val="nil"/>
            </w:tcBorders>
          </w:tcPr>
          <w:p w:rsidR="00E44716" w:rsidRDefault="00357146">
            <w:pPr>
              <w:jc w:val="right"/>
              <w:rPr>
                <w:sz w:val="18"/>
                <w:szCs w:val="18"/>
              </w:rPr>
            </w:pPr>
            <w:r>
              <w:rPr>
                <w:sz w:val="18"/>
                <w:szCs w:val="18"/>
              </w:rPr>
              <w:t>..</w:t>
            </w:r>
          </w:p>
        </w:tc>
        <w:tc>
          <w:tcPr>
            <w:tcW w:w="1193" w:type="dxa"/>
            <w:tcBorders>
              <w:top w:val="single" w:sz="6" w:space="0" w:color="auto"/>
              <w:left w:val="nil"/>
              <w:bottom w:val="single" w:sz="6" w:space="0" w:color="auto"/>
              <w:right w:val="nil"/>
            </w:tcBorders>
          </w:tcPr>
          <w:p w:rsidR="00E44716" w:rsidRDefault="00357146">
            <w:pPr>
              <w:jc w:val="right"/>
              <w:rPr>
                <w:sz w:val="18"/>
                <w:szCs w:val="18"/>
              </w:rPr>
            </w:pPr>
            <w:r>
              <w:rPr>
                <w:sz w:val="18"/>
                <w:szCs w:val="18"/>
              </w:rPr>
              <w:t>11,679,703</w:t>
            </w:r>
          </w:p>
        </w:tc>
        <w:tc>
          <w:tcPr>
            <w:tcW w:w="1193" w:type="dxa"/>
            <w:tcBorders>
              <w:top w:val="single" w:sz="6" w:space="0" w:color="auto"/>
              <w:left w:val="nil"/>
              <w:bottom w:val="single" w:sz="6" w:space="0" w:color="auto"/>
              <w:right w:val="nil"/>
            </w:tcBorders>
          </w:tcPr>
          <w:p w:rsidR="00E44716" w:rsidRDefault="00357146">
            <w:pPr>
              <w:jc w:val="right"/>
              <w:rPr>
                <w:sz w:val="18"/>
                <w:szCs w:val="18"/>
              </w:rPr>
            </w:pPr>
            <w:r>
              <w:rPr>
                <w:sz w:val="18"/>
                <w:szCs w:val="18"/>
              </w:rPr>
              <w:t>5,527,297</w:t>
            </w:r>
          </w:p>
        </w:tc>
        <w:tc>
          <w:tcPr>
            <w:tcW w:w="1193" w:type="dxa"/>
            <w:tcBorders>
              <w:top w:val="nil"/>
              <w:left w:val="nil"/>
              <w:bottom w:val="nil"/>
              <w:right w:val="nil"/>
            </w:tcBorders>
          </w:tcPr>
          <w:p w:rsidR="00E44716" w:rsidRDefault="00357146">
            <w:pPr>
              <w:jc w:val="right"/>
              <w:rPr>
                <w:sz w:val="18"/>
                <w:szCs w:val="18"/>
              </w:rPr>
            </w:pPr>
            <w:r>
              <w:rPr>
                <w:sz w:val="18"/>
                <w:szCs w:val="18"/>
              </w:rPr>
              <w:t>..</w:t>
            </w:r>
          </w:p>
        </w:tc>
        <w:tc>
          <w:tcPr>
            <w:tcW w:w="1193" w:type="dxa"/>
            <w:tcBorders>
              <w:top w:val="nil"/>
              <w:left w:val="nil"/>
              <w:bottom w:val="nil"/>
              <w:right w:val="nil"/>
            </w:tcBorders>
          </w:tcPr>
          <w:p w:rsidR="00E44716" w:rsidRDefault="00357146">
            <w:pPr>
              <w:jc w:val="right"/>
              <w:rPr>
                <w:sz w:val="18"/>
                <w:szCs w:val="18"/>
              </w:rPr>
            </w:pPr>
            <w:r>
              <w:rPr>
                <w:sz w:val="18"/>
                <w:szCs w:val="18"/>
              </w:rPr>
              <w:t>..</w:t>
            </w:r>
          </w:p>
        </w:tc>
      </w:tr>
      <w:tr w:rsidR="00E44716">
        <w:tc>
          <w:tcPr>
            <w:tcW w:w="1668" w:type="dxa"/>
            <w:tcBorders>
              <w:top w:val="single" w:sz="6" w:space="0" w:color="auto"/>
              <w:left w:val="nil"/>
              <w:bottom w:val="single" w:sz="6" w:space="0" w:color="auto"/>
              <w:right w:val="nil"/>
            </w:tcBorders>
          </w:tcPr>
          <w:p w:rsidR="00E44716" w:rsidRDefault="00357146">
            <w:pPr>
              <w:tabs>
                <w:tab w:val="left" w:leader="dot" w:pos="567"/>
                <w:tab w:val="left" w:leader="dot" w:pos="1701"/>
              </w:tabs>
              <w:rPr>
                <w:sz w:val="18"/>
                <w:szCs w:val="18"/>
              </w:rPr>
            </w:pPr>
            <w:r>
              <w:rPr>
                <w:sz w:val="18"/>
                <w:szCs w:val="18"/>
              </w:rPr>
              <w:t>Totals</w:t>
            </w:r>
            <w:r>
              <w:rPr>
                <w:sz w:val="18"/>
                <w:szCs w:val="18"/>
              </w:rPr>
              <w:tab/>
            </w:r>
            <w:r>
              <w:rPr>
                <w:sz w:val="18"/>
                <w:szCs w:val="18"/>
              </w:rPr>
              <w:tab/>
            </w:r>
          </w:p>
        </w:tc>
        <w:tc>
          <w:tcPr>
            <w:tcW w:w="1193" w:type="dxa"/>
            <w:tcBorders>
              <w:top w:val="single" w:sz="6" w:space="0" w:color="auto"/>
              <w:left w:val="nil"/>
              <w:bottom w:val="single" w:sz="6" w:space="0" w:color="auto"/>
              <w:right w:val="nil"/>
            </w:tcBorders>
          </w:tcPr>
          <w:p w:rsidR="00E44716" w:rsidRDefault="00357146">
            <w:pPr>
              <w:jc w:val="right"/>
              <w:rPr>
                <w:sz w:val="18"/>
                <w:szCs w:val="18"/>
              </w:rPr>
            </w:pPr>
            <w:r>
              <w:rPr>
                <w:sz w:val="18"/>
                <w:szCs w:val="18"/>
              </w:rPr>
              <w:t>26,088,000</w:t>
            </w:r>
          </w:p>
        </w:tc>
        <w:tc>
          <w:tcPr>
            <w:tcW w:w="1193" w:type="dxa"/>
            <w:tcBorders>
              <w:top w:val="nil"/>
              <w:left w:val="nil"/>
              <w:bottom w:val="single" w:sz="6" w:space="0" w:color="auto"/>
              <w:right w:val="nil"/>
            </w:tcBorders>
          </w:tcPr>
          <w:p w:rsidR="00E44716" w:rsidRDefault="00357146">
            <w:pPr>
              <w:jc w:val="right"/>
              <w:rPr>
                <w:sz w:val="18"/>
                <w:szCs w:val="18"/>
              </w:rPr>
            </w:pPr>
            <w:r>
              <w:rPr>
                <w:sz w:val="18"/>
                <w:szCs w:val="18"/>
              </w:rPr>
              <w:t>..</w:t>
            </w:r>
          </w:p>
        </w:tc>
        <w:tc>
          <w:tcPr>
            <w:tcW w:w="1193" w:type="dxa"/>
            <w:tcBorders>
              <w:top w:val="nil"/>
              <w:left w:val="nil"/>
              <w:bottom w:val="single" w:sz="6" w:space="0" w:color="auto"/>
              <w:right w:val="nil"/>
            </w:tcBorders>
          </w:tcPr>
          <w:p w:rsidR="00E44716" w:rsidRDefault="00357146">
            <w:pPr>
              <w:jc w:val="right"/>
              <w:rPr>
                <w:sz w:val="18"/>
                <w:szCs w:val="18"/>
              </w:rPr>
            </w:pPr>
            <w:r>
              <w:rPr>
                <w:sz w:val="18"/>
                <w:szCs w:val="18"/>
              </w:rPr>
              <w:t>..</w:t>
            </w:r>
          </w:p>
        </w:tc>
        <w:tc>
          <w:tcPr>
            <w:tcW w:w="1193" w:type="dxa"/>
            <w:tcBorders>
              <w:top w:val="single" w:sz="6" w:space="0" w:color="auto"/>
              <w:left w:val="nil"/>
              <w:bottom w:val="single" w:sz="6" w:space="0" w:color="auto"/>
              <w:right w:val="nil"/>
            </w:tcBorders>
          </w:tcPr>
          <w:p w:rsidR="00E44716" w:rsidRDefault="00357146">
            <w:pPr>
              <w:jc w:val="right"/>
              <w:rPr>
                <w:sz w:val="18"/>
                <w:szCs w:val="18"/>
              </w:rPr>
            </w:pPr>
            <w:r>
              <w:rPr>
                <w:sz w:val="18"/>
                <w:szCs w:val="18"/>
              </w:rPr>
              <w:t>17,207,000</w:t>
            </w:r>
          </w:p>
        </w:tc>
        <w:tc>
          <w:tcPr>
            <w:tcW w:w="1193" w:type="dxa"/>
            <w:tcBorders>
              <w:top w:val="single" w:sz="6" w:space="0" w:color="auto"/>
              <w:left w:val="nil"/>
              <w:bottom w:val="single" w:sz="6" w:space="0" w:color="auto"/>
              <w:right w:val="nil"/>
            </w:tcBorders>
          </w:tcPr>
          <w:p w:rsidR="00E44716" w:rsidRDefault="00357146">
            <w:pPr>
              <w:jc w:val="right"/>
              <w:rPr>
                <w:sz w:val="18"/>
                <w:szCs w:val="18"/>
              </w:rPr>
            </w:pPr>
            <w:r>
              <w:rPr>
                <w:sz w:val="18"/>
                <w:szCs w:val="18"/>
              </w:rPr>
              <w:t>43,295,000</w:t>
            </w:r>
          </w:p>
        </w:tc>
      </w:tr>
    </w:tbl>
    <w:p w:rsidR="00E44716" w:rsidRDefault="00E44716"/>
    <w:p w:rsidR="00B82E22" w:rsidRDefault="00B82E22"/>
    <w:p w:rsidR="00B82E22" w:rsidRDefault="00B82E22"/>
    <w:p w:rsidR="00B82E22" w:rsidRDefault="00B82E22"/>
    <w:p w:rsidR="00E44716" w:rsidRDefault="00E44716"/>
    <w:p w:rsidR="00E44716" w:rsidRDefault="00E44716">
      <w:pPr>
        <w:sectPr w:rsidR="00E44716">
          <w:headerReference w:type="even" r:id="rId20"/>
          <w:headerReference w:type="default" r:id="rId21"/>
          <w:headerReference w:type="first" r:id="rId22"/>
          <w:footerReference w:type="first" r:id="rId23"/>
          <w:type w:val="oddPage"/>
          <w:pgSz w:w="11906" w:h="16838" w:code="9"/>
          <w:pgMar w:top="2268" w:right="2410" w:bottom="3827" w:left="2410" w:header="567" w:footer="3118" w:gutter="0"/>
          <w:cols w:space="709"/>
          <w:titlePg/>
        </w:sectPr>
      </w:pPr>
    </w:p>
    <w:p w:rsidR="00E44716" w:rsidRDefault="00E44716"/>
    <w:sectPr w:rsidR="00E44716">
      <w:footerReference w:type="default" r:id="rId24"/>
      <w:type w:val="continuous"/>
      <w:pgSz w:w="11906" w:h="16838"/>
      <w:pgMar w:top="2268" w:right="2410" w:bottom="3827" w:left="2410" w:header="567" w:footer="31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16" w:rsidRDefault="00357146">
      <w:pPr>
        <w:spacing w:line="240" w:lineRule="auto"/>
      </w:pPr>
      <w:r>
        <w:separator/>
      </w:r>
    </w:p>
  </w:endnote>
  <w:endnote w:type="continuationSeparator" w:id="0">
    <w:p w:rsidR="00E44716" w:rsidRDefault="00357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pBdr>
        <w:top w:val="single" w:sz="6" w:space="1" w:color="auto"/>
      </w:pBdr>
      <w:rPr>
        <w:sz w:val="18"/>
        <w:szCs w:val="18"/>
      </w:rPr>
    </w:pPr>
  </w:p>
  <w:p w:rsidR="00E44716" w:rsidRPr="00357146" w:rsidRDefault="00357146">
    <w:pPr>
      <w:rPr>
        <w:i/>
        <w:iCs/>
        <w:sz w:val="18"/>
        <w:szCs w:val="18"/>
      </w:rPr>
    </w:pPr>
    <w:r w:rsidRPr="00357146">
      <w:rPr>
        <w:i/>
        <w:iCs/>
        <w:sz w:val="18"/>
        <w:szCs w:val="18"/>
      </w:rPr>
      <w:fldChar w:fldCharType="begin"/>
    </w:r>
    <w:r w:rsidRPr="00357146">
      <w:rPr>
        <w:i/>
        <w:iCs/>
        <w:sz w:val="18"/>
        <w:szCs w:val="18"/>
      </w:rPr>
      <w:instrText xml:space="preserve"> PAGE </w:instrText>
    </w:r>
    <w:r w:rsidRPr="00357146">
      <w:rPr>
        <w:i/>
        <w:iCs/>
        <w:sz w:val="18"/>
        <w:szCs w:val="18"/>
      </w:rPr>
      <w:fldChar w:fldCharType="separate"/>
    </w:r>
    <w:r w:rsidR="00926333">
      <w:rPr>
        <w:i/>
        <w:iCs/>
        <w:noProof/>
        <w:sz w:val="18"/>
        <w:szCs w:val="18"/>
      </w:rPr>
      <w:t>2</w:t>
    </w:r>
    <w:r w:rsidRPr="00357146">
      <w:rPr>
        <w:i/>
        <w:iCs/>
        <w:sz w:val="18"/>
        <w:szCs w:val="18"/>
      </w:rPr>
      <w:fldChar w:fldCharType="end"/>
    </w:r>
    <w:r w:rsidRPr="00357146">
      <w:rPr>
        <w:i/>
        <w:iCs/>
        <w:sz w:val="18"/>
        <w:szCs w:val="18"/>
      </w:rPr>
      <w:t xml:space="preserve">            </w:t>
    </w:r>
    <w:r w:rsidRPr="00357146">
      <w:rPr>
        <w:i/>
        <w:iCs/>
        <w:sz w:val="18"/>
        <w:szCs w:val="18"/>
      </w:rPr>
      <w:fldChar w:fldCharType="begin"/>
    </w:r>
    <w:r w:rsidRPr="00357146">
      <w:rPr>
        <w:i/>
        <w:iCs/>
        <w:sz w:val="18"/>
        <w:szCs w:val="18"/>
      </w:rPr>
      <w:instrText xml:space="preserve"> STYLEREF ShortT </w:instrText>
    </w:r>
    <w:r w:rsidRPr="00357146">
      <w:rPr>
        <w:i/>
        <w:iCs/>
        <w:sz w:val="18"/>
        <w:szCs w:val="18"/>
      </w:rPr>
      <w:fldChar w:fldCharType="separate"/>
    </w:r>
    <w:r w:rsidR="00926333">
      <w:rPr>
        <w:i/>
        <w:iCs/>
        <w:noProof/>
        <w:sz w:val="18"/>
        <w:szCs w:val="18"/>
      </w:rPr>
      <w:t>States Grants (Science Laboratories) Act 1971</w:t>
    </w:r>
    <w:r w:rsidRPr="00357146">
      <w:rPr>
        <w:i/>
        <w:iCs/>
        <w:sz w:val="18"/>
        <w:szCs w:val="18"/>
      </w:rPr>
      <w:fldChar w:fldCharType="end"/>
    </w:r>
    <w:r w:rsidRPr="00357146">
      <w:rPr>
        <w:i/>
        <w:iCs/>
        <w:sz w:val="18"/>
        <w:szCs w:val="18"/>
      </w:rPr>
      <w:t xml:space="preserve">       </w:t>
    </w:r>
    <w:r w:rsidR="00B82E22" w:rsidRPr="00357146">
      <w:rPr>
        <w:i/>
        <w:iCs/>
        <w:sz w:val="18"/>
        <w:szCs w:val="18"/>
      </w:rPr>
      <w:fldChar w:fldCharType="begin"/>
    </w:r>
    <w:r w:rsidR="00B82E22" w:rsidRPr="00357146">
      <w:rPr>
        <w:i/>
        <w:iCs/>
        <w:sz w:val="18"/>
        <w:szCs w:val="18"/>
      </w:rPr>
      <w:instrText xml:space="preserve"> STYLEREF  Actno </w:instrText>
    </w:r>
    <w:r w:rsidR="00B82E22" w:rsidRPr="00357146">
      <w:rPr>
        <w:i/>
        <w:iCs/>
        <w:sz w:val="18"/>
        <w:szCs w:val="18"/>
      </w:rPr>
      <w:fldChar w:fldCharType="separate"/>
    </w:r>
    <w:r w:rsidR="00926333">
      <w:rPr>
        <w:i/>
        <w:iCs/>
        <w:noProof/>
        <w:sz w:val="18"/>
        <w:szCs w:val="18"/>
      </w:rPr>
      <w:t>No. 65 of 1971</w:t>
    </w:r>
    <w:r w:rsidR="00B82E22" w:rsidRPr="00357146">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pBdr>
        <w:top w:val="single" w:sz="6" w:space="1" w:color="auto"/>
      </w:pBdr>
      <w:rPr>
        <w:sz w:val="18"/>
        <w:szCs w:val="18"/>
      </w:rPr>
    </w:pPr>
  </w:p>
  <w:p w:rsidR="00E44716" w:rsidRPr="00423C80" w:rsidRDefault="00357146">
    <w:pPr>
      <w:jc w:val="right"/>
      <w:rPr>
        <w:i/>
        <w:iCs/>
        <w:sz w:val="18"/>
        <w:szCs w:val="18"/>
      </w:rPr>
    </w:pPr>
    <w:r w:rsidRPr="00423C80">
      <w:rPr>
        <w:i/>
        <w:iCs/>
        <w:sz w:val="18"/>
        <w:szCs w:val="18"/>
      </w:rPr>
      <w:fldChar w:fldCharType="begin"/>
    </w:r>
    <w:r w:rsidRPr="00423C80">
      <w:rPr>
        <w:i/>
        <w:iCs/>
        <w:sz w:val="18"/>
        <w:szCs w:val="18"/>
      </w:rPr>
      <w:instrText xml:space="preserve"> STYLEREF ShortT </w:instrText>
    </w:r>
    <w:r w:rsidRPr="00423C80">
      <w:rPr>
        <w:i/>
        <w:iCs/>
        <w:sz w:val="18"/>
        <w:szCs w:val="18"/>
      </w:rPr>
      <w:fldChar w:fldCharType="separate"/>
    </w:r>
    <w:r w:rsidR="00926333">
      <w:rPr>
        <w:i/>
        <w:iCs/>
        <w:noProof/>
        <w:sz w:val="18"/>
        <w:szCs w:val="18"/>
      </w:rPr>
      <w:t>States Grants (Science Laboratories) Act 1971</w:t>
    </w:r>
    <w:r w:rsidRPr="00423C80">
      <w:rPr>
        <w:i/>
        <w:iCs/>
        <w:sz w:val="18"/>
        <w:szCs w:val="18"/>
      </w:rPr>
      <w:fldChar w:fldCharType="end"/>
    </w:r>
    <w:r w:rsidRPr="00423C80">
      <w:rPr>
        <w:i/>
        <w:iCs/>
        <w:sz w:val="18"/>
        <w:szCs w:val="18"/>
      </w:rPr>
      <w:t xml:space="preserve">          </w:t>
    </w:r>
    <w:r w:rsidRPr="00423C80">
      <w:rPr>
        <w:i/>
        <w:iCs/>
        <w:sz w:val="18"/>
        <w:szCs w:val="18"/>
      </w:rPr>
      <w:fldChar w:fldCharType="begin"/>
    </w:r>
    <w:r w:rsidRPr="00423C80">
      <w:rPr>
        <w:i/>
        <w:iCs/>
        <w:sz w:val="18"/>
        <w:szCs w:val="18"/>
      </w:rPr>
      <w:instrText xml:space="preserve"> STYLEREF  Actno </w:instrText>
    </w:r>
    <w:r w:rsidRPr="00423C80">
      <w:rPr>
        <w:i/>
        <w:iCs/>
        <w:sz w:val="18"/>
        <w:szCs w:val="18"/>
      </w:rPr>
      <w:fldChar w:fldCharType="separate"/>
    </w:r>
    <w:r w:rsidR="00926333">
      <w:rPr>
        <w:i/>
        <w:iCs/>
        <w:noProof/>
        <w:sz w:val="18"/>
        <w:szCs w:val="18"/>
      </w:rPr>
      <w:t>No. 65 of 1971</w:t>
    </w:r>
    <w:r w:rsidRPr="00423C80">
      <w:rPr>
        <w:i/>
        <w:iCs/>
        <w:sz w:val="18"/>
        <w:szCs w:val="18"/>
      </w:rPr>
      <w:fldChar w:fldCharType="end"/>
    </w:r>
    <w:r w:rsidRPr="00423C80">
      <w:rPr>
        <w:i/>
        <w:iCs/>
        <w:sz w:val="18"/>
        <w:szCs w:val="18"/>
      </w:rPr>
      <w:t xml:space="preserve">         </w:t>
    </w:r>
    <w:r w:rsidRPr="00423C80">
      <w:rPr>
        <w:i/>
        <w:iCs/>
        <w:sz w:val="18"/>
        <w:szCs w:val="18"/>
      </w:rPr>
      <w:fldChar w:fldCharType="begin"/>
    </w:r>
    <w:r w:rsidRPr="00423C80">
      <w:rPr>
        <w:i/>
        <w:iCs/>
        <w:sz w:val="18"/>
        <w:szCs w:val="18"/>
      </w:rPr>
      <w:instrText xml:space="preserve"> PAGE </w:instrText>
    </w:r>
    <w:r w:rsidRPr="00423C80">
      <w:rPr>
        <w:i/>
        <w:iCs/>
        <w:sz w:val="18"/>
        <w:szCs w:val="18"/>
      </w:rPr>
      <w:fldChar w:fldCharType="separate"/>
    </w:r>
    <w:r w:rsidR="00926333">
      <w:rPr>
        <w:i/>
        <w:iCs/>
        <w:noProof/>
        <w:sz w:val="18"/>
        <w:szCs w:val="18"/>
      </w:rPr>
      <w:t>i</w:t>
    </w:r>
    <w:r w:rsidRPr="00423C80">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pBdr>
        <w:top w:val="single" w:sz="6" w:space="1" w:color="auto"/>
      </w:pBdr>
      <w:jc w:val="right"/>
      <w:rPr>
        <w:i/>
        <w:iCs/>
        <w:sz w:val="18"/>
        <w:szCs w:val="18"/>
      </w:rPr>
    </w:pPr>
  </w:p>
  <w:p w:rsidR="00E44716" w:rsidRPr="00357146" w:rsidRDefault="00357146">
    <w:pPr>
      <w:pBdr>
        <w:top w:val="single" w:sz="6" w:space="1" w:color="auto"/>
      </w:pBdr>
      <w:jc w:val="right"/>
      <w:rPr>
        <w:i/>
        <w:iCs/>
        <w:sz w:val="18"/>
        <w:szCs w:val="18"/>
      </w:rPr>
    </w:pPr>
    <w:r w:rsidRPr="00357146">
      <w:rPr>
        <w:i/>
        <w:iCs/>
        <w:sz w:val="18"/>
        <w:szCs w:val="18"/>
      </w:rPr>
      <w:fldChar w:fldCharType="begin"/>
    </w:r>
    <w:r w:rsidRPr="00357146">
      <w:rPr>
        <w:i/>
        <w:iCs/>
        <w:sz w:val="18"/>
        <w:szCs w:val="18"/>
      </w:rPr>
      <w:instrText xml:space="preserve"> STYLEREF ShortT </w:instrText>
    </w:r>
    <w:r w:rsidRPr="00357146">
      <w:rPr>
        <w:i/>
        <w:iCs/>
        <w:sz w:val="18"/>
        <w:szCs w:val="18"/>
      </w:rPr>
      <w:fldChar w:fldCharType="separate"/>
    </w:r>
    <w:r w:rsidR="00926333">
      <w:rPr>
        <w:i/>
        <w:iCs/>
        <w:noProof/>
        <w:sz w:val="18"/>
        <w:szCs w:val="18"/>
      </w:rPr>
      <w:t>States Grants (Science Laboratories) Act 1971</w:t>
    </w:r>
    <w:r w:rsidRPr="00357146">
      <w:rPr>
        <w:i/>
        <w:iCs/>
        <w:sz w:val="18"/>
        <w:szCs w:val="18"/>
      </w:rPr>
      <w:fldChar w:fldCharType="end"/>
    </w:r>
    <w:r w:rsidRPr="00357146">
      <w:rPr>
        <w:i/>
        <w:iCs/>
        <w:sz w:val="18"/>
        <w:szCs w:val="18"/>
      </w:rPr>
      <w:t xml:space="preserve">      </w:t>
    </w:r>
    <w:r w:rsidR="00B82E22" w:rsidRPr="00357146">
      <w:rPr>
        <w:i/>
        <w:iCs/>
        <w:sz w:val="18"/>
        <w:szCs w:val="18"/>
      </w:rPr>
      <w:fldChar w:fldCharType="begin"/>
    </w:r>
    <w:r w:rsidR="00B82E22" w:rsidRPr="00357146">
      <w:rPr>
        <w:i/>
        <w:iCs/>
        <w:sz w:val="18"/>
        <w:szCs w:val="18"/>
      </w:rPr>
      <w:instrText xml:space="preserve"> STYLEREF  Actno </w:instrText>
    </w:r>
    <w:r w:rsidR="00B82E22" w:rsidRPr="00357146">
      <w:rPr>
        <w:i/>
        <w:iCs/>
        <w:sz w:val="18"/>
        <w:szCs w:val="18"/>
      </w:rPr>
      <w:fldChar w:fldCharType="separate"/>
    </w:r>
    <w:r w:rsidR="00926333">
      <w:rPr>
        <w:i/>
        <w:iCs/>
        <w:noProof/>
        <w:sz w:val="18"/>
        <w:szCs w:val="18"/>
      </w:rPr>
      <w:t>No. 65 of 1971</w:t>
    </w:r>
    <w:r w:rsidR="00B82E22" w:rsidRPr="00357146">
      <w:rPr>
        <w:i/>
        <w:iCs/>
        <w:sz w:val="18"/>
        <w:szCs w:val="18"/>
      </w:rPr>
      <w:fldChar w:fldCharType="end"/>
    </w:r>
    <w:r w:rsidRPr="00357146">
      <w:rPr>
        <w:i/>
        <w:iCs/>
        <w:sz w:val="18"/>
        <w:szCs w:val="18"/>
      </w:rPr>
      <w:t xml:space="preserve">             </w:t>
    </w:r>
    <w:r w:rsidRPr="00357146">
      <w:rPr>
        <w:i/>
        <w:iCs/>
        <w:sz w:val="18"/>
        <w:szCs w:val="18"/>
      </w:rPr>
      <w:fldChar w:fldCharType="begin"/>
    </w:r>
    <w:r w:rsidRPr="00357146">
      <w:rPr>
        <w:i/>
        <w:iCs/>
        <w:sz w:val="18"/>
        <w:szCs w:val="18"/>
      </w:rPr>
      <w:instrText xml:space="preserve"> PAGE </w:instrText>
    </w:r>
    <w:r w:rsidRPr="00357146">
      <w:rPr>
        <w:i/>
        <w:iCs/>
        <w:sz w:val="18"/>
        <w:szCs w:val="18"/>
      </w:rPr>
      <w:fldChar w:fldCharType="separate"/>
    </w:r>
    <w:r w:rsidR="00926333">
      <w:rPr>
        <w:i/>
        <w:iCs/>
        <w:noProof/>
        <w:sz w:val="18"/>
        <w:szCs w:val="18"/>
      </w:rPr>
      <w:t>1</w:t>
    </w:r>
    <w:r w:rsidRPr="00357146">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pBdr>
        <w:top w:val="single" w:sz="6" w:space="1" w:color="auto"/>
      </w:pBdr>
      <w:jc w:val="right"/>
      <w:rPr>
        <w:i/>
        <w:iCs/>
        <w:sz w:val="18"/>
        <w:szCs w:val="18"/>
      </w:rPr>
    </w:pPr>
  </w:p>
  <w:p w:rsidR="00E44716" w:rsidRPr="00357146" w:rsidRDefault="00357146">
    <w:pPr>
      <w:pBdr>
        <w:top w:val="single" w:sz="6" w:space="1" w:color="auto"/>
      </w:pBdr>
      <w:jc w:val="right"/>
      <w:rPr>
        <w:i/>
        <w:iCs/>
        <w:sz w:val="18"/>
        <w:szCs w:val="18"/>
      </w:rPr>
    </w:pPr>
    <w:r w:rsidRPr="00357146">
      <w:rPr>
        <w:i/>
        <w:iCs/>
        <w:sz w:val="18"/>
        <w:szCs w:val="18"/>
      </w:rPr>
      <w:fldChar w:fldCharType="begin"/>
    </w:r>
    <w:r w:rsidRPr="00357146">
      <w:rPr>
        <w:i/>
        <w:iCs/>
        <w:sz w:val="18"/>
        <w:szCs w:val="18"/>
      </w:rPr>
      <w:instrText xml:space="preserve"> STYLEREF ShortT </w:instrText>
    </w:r>
    <w:r w:rsidRPr="00357146">
      <w:rPr>
        <w:i/>
        <w:iCs/>
        <w:sz w:val="18"/>
        <w:szCs w:val="18"/>
      </w:rPr>
      <w:fldChar w:fldCharType="separate"/>
    </w:r>
    <w:r w:rsidR="00926333">
      <w:rPr>
        <w:i/>
        <w:iCs/>
        <w:noProof/>
        <w:sz w:val="18"/>
        <w:szCs w:val="18"/>
      </w:rPr>
      <w:t>States Grants (Science Laboratories) Act 1971</w:t>
    </w:r>
    <w:r w:rsidRPr="00357146">
      <w:rPr>
        <w:i/>
        <w:iCs/>
        <w:sz w:val="18"/>
        <w:szCs w:val="18"/>
      </w:rPr>
      <w:fldChar w:fldCharType="end"/>
    </w:r>
    <w:r w:rsidRPr="00357146">
      <w:rPr>
        <w:i/>
        <w:iCs/>
        <w:sz w:val="18"/>
        <w:szCs w:val="18"/>
      </w:rPr>
      <w:t xml:space="preserve">        </w:t>
    </w:r>
    <w:r w:rsidRPr="00357146">
      <w:rPr>
        <w:i/>
        <w:iCs/>
        <w:sz w:val="18"/>
        <w:szCs w:val="18"/>
      </w:rPr>
      <w:fldChar w:fldCharType="begin"/>
    </w:r>
    <w:r w:rsidRPr="00357146">
      <w:rPr>
        <w:i/>
        <w:iCs/>
        <w:sz w:val="18"/>
        <w:szCs w:val="18"/>
      </w:rPr>
      <w:instrText xml:space="preserve"> STYLEREF  Actno </w:instrText>
    </w:r>
    <w:r w:rsidRPr="00357146">
      <w:rPr>
        <w:i/>
        <w:iCs/>
        <w:sz w:val="18"/>
        <w:szCs w:val="18"/>
      </w:rPr>
      <w:fldChar w:fldCharType="separate"/>
    </w:r>
    <w:r w:rsidR="00926333">
      <w:rPr>
        <w:i/>
        <w:iCs/>
        <w:noProof/>
        <w:sz w:val="18"/>
        <w:szCs w:val="18"/>
      </w:rPr>
      <w:t>No. 65 of 1971</w:t>
    </w:r>
    <w:r w:rsidRPr="00357146">
      <w:rPr>
        <w:i/>
        <w:iCs/>
        <w:sz w:val="18"/>
        <w:szCs w:val="18"/>
      </w:rPr>
      <w:fldChar w:fldCharType="end"/>
    </w:r>
    <w:r w:rsidRPr="00357146">
      <w:rPr>
        <w:i/>
        <w:iCs/>
        <w:sz w:val="18"/>
        <w:szCs w:val="18"/>
      </w:rPr>
      <w:t xml:space="preserve">           </w:t>
    </w:r>
    <w:r w:rsidRPr="00357146">
      <w:rPr>
        <w:i/>
        <w:iCs/>
        <w:sz w:val="18"/>
        <w:szCs w:val="18"/>
      </w:rPr>
      <w:fldChar w:fldCharType="begin"/>
    </w:r>
    <w:r w:rsidRPr="00357146">
      <w:rPr>
        <w:i/>
        <w:iCs/>
        <w:sz w:val="18"/>
        <w:szCs w:val="18"/>
      </w:rPr>
      <w:instrText xml:space="preserve"> PAGE </w:instrText>
    </w:r>
    <w:r w:rsidRPr="00357146">
      <w:rPr>
        <w:i/>
        <w:iCs/>
        <w:sz w:val="18"/>
        <w:szCs w:val="18"/>
      </w:rPr>
      <w:fldChar w:fldCharType="separate"/>
    </w:r>
    <w:r w:rsidR="00926333">
      <w:rPr>
        <w:i/>
        <w:iCs/>
        <w:noProof/>
        <w:sz w:val="18"/>
        <w:szCs w:val="18"/>
      </w:rPr>
      <w:t>5</w:t>
    </w:r>
    <w:r w:rsidRPr="00357146">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16" w:rsidRDefault="00357146">
      <w:pPr>
        <w:spacing w:line="240" w:lineRule="auto"/>
      </w:pPr>
      <w:r>
        <w:separator/>
      </w:r>
    </w:p>
  </w:footnote>
  <w:footnote w:type="continuationSeparator" w:id="0">
    <w:p w:rsidR="00E44716" w:rsidRDefault="003571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jc w:val="right"/>
    </w:pPr>
  </w:p>
  <w:p w:rsidR="00E44716" w:rsidRDefault="00E44716">
    <w:pPr>
      <w:jc w:val="right"/>
      <w:rPr>
        <w:i/>
        <w:iCs/>
      </w:rPr>
    </w:pPr>
  </w:p>
  <w:p w:rsidR="00E44716" w:rsidRDefault="00E44716">
    <w:pPr>
      <w:jc w:val="right"/>
    </w:pPr>
  </w:p>
  <w:p w:rsidR="00E44716" w:rsidRDefault="00E44716">
    <w:pPr>
      <w:jc w:val="right"/>
    </w:pPr>
  </w:p>
  <w:p w:rsidR="00E44716" w:rsidRDefault="00E44716">
    <w:pPr>
      <w:pBdr>
        <w:bottom w:val="single" w:sz="12" w:space="1" w:color="auto"/>
      </w:pBdr>
      <w:jc w:val="right"/>
      <w:rPr>
        <w:i/>
        <w:iCs/>
      </w:rPr>
    </w:pPr>
  </w:p>
  <w:p w:rsidR="00E44716" w:rsidRDefault="00E447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22" w:rsidRDefault="00B82E22" w:rsidP="00B82E22">
    <w:pPr>
      <w:jc w:val="right"/>
      <w:rPr>
        <w:sz w:val="20"/>
        <w:szCs w:val="20"/>
      </w:rPr>
    </w:pPr>
    <w:r>
      <w:rPr>
        <w:sz w:val="24"/>
        <w:szCs w:val="24"/>
      </w:rPr>
      <w:fldChar w:fldCharType="begin"/>
    </w:r>
    <w:r>
      <w:rPr>
        <w:sz w:val="24"/>
        <w:szCs w:val="24"/>
      </w:rPr>
      <w:instrText xml:space="preserve"> STYLEREF  CharChapText </w:instrText>
    </w:r>
    <w:r>
      <w:rPr>
        <w:sz w:val="24"/>
        <w:szCs w:val="24"/>
      </w:rPr>
      <w:fldChar w:fldCharType="separate"/>
    </w:r>
    <w:r w:rsidR="00926333">
      <w:rPr>
        <w:noProof/>
        <w:sz w:val="24"/>
        <w:szCs w:val="24"/>
      </w:rPr>
      <w:t>Limit of grants</w:t>
    </w:r>
    <w:r>
      <w:rPr>
        <w:sz w:val="24"/>
        <w:szCs w:val="24"/>
      </w:rPr>
      <w:fldChar w:fldCharType="end"/>
    </w:r>
    <w:r w:rsidR="00357146">
      <w:t xml:space="preserve">  </w:t>
    </w:r>
    <w:r w:rsidRPr="00B82E22">
      <w:rPr>
        <w:b/>
        <w:sz w:val="24"/>
        <w:szCs w:val="24"/>
      </w:rPr>
      <w:fldChar w:fldCharType="begin"/>
    </w:r>
    <w:r w:rsidRPr="00B82E22">
      <w:rPr>
        <w:b/>
        <w:sz w:val="24"/>
        <w:szCs w:val="24"/>
      </w:rPr>
      <w:instrText xml:space="preserve"> STYLEREF  CharChapNo </w:instrText>
    </w:r>
    <w:r w:rsidRPr="00B82E22">
      <w:rPr>
        <w:b/>
        <w:sz w:val="24"/>
        <w:szCs w:val="24"/>
      </w:rPr>
      <w:fldChar w:fldCharType="separate"/>
    </w:r>
    <w:r w:rsidR="00926333">
      <w:rPr>
        <w:b/>
        <w:noProof/>
        <w:sz w:val="24"/>
        <w:szCs w:val="24"/>
      </w:rPr>
      <w:t>Schedule 1</w:t>
    </w:r>
    <w:r w:rsidRPr="00B82E22">
      <w:rPr>
        <w:b/>
        <w:sz w:val="24"/>
        <w:szCs w:val="24"/>
      </w:rPr>
      <w:fldChar w:fldCharType="end"/>
    </w:r>
  </w:p>
  <w:p w:rsidR="00B82E22" w:rsidRDefault="00B82E22" w:rsidP="00B82E22">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B82E22" w:rsidRDefault="00B82E22" w:rsidP="00B82E22">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B82E22" w:rsidRDefault="00B82E22" w:rsidP="00B82E22">
    <w:pPr>
      <w:jc w:val="right"/>
      <w:rPr>
        <w:sz w:val="24"/>
        <w:szCs w:val="24"/>
      </w:rPr>
    </w:pPr>
  </w:p>
  <w:p w:rsidR="00B82E22" w:rsidRDefault="00B82E22" w:rsidP="00B82E22">
    <w:pPr>
      <w:pBdr>
        <w:bottom w:val="single" w:sz="6" w:space="1" w:color="auto"/>
      </w:pBdr>
      <w:jc w:val="right"/>
      <w:rPr>
        <w:sz w:val="24"/>
        <w:szCs w:val="24"/>
      </w:rPr>
    </w:pPr>
  </w:p>
  <w:p w:rsidR="00B82E22" w:rsidRDefault="00B82E22" w:rsidP="00B82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jc w:val="right"/>
    </w:pPr>
  </w:p>
  <w:p w:rsidR="00E44716" w:rsidRDefault="00E44716">
    <w:pPr>
      <w:jc w:val="right"/>
      <w:rPr>
        <w:i/>
        <w:iCs/>
      </w:rPr>
    </w:pPr>
  </w:p>
  <w:p w:rsidR="00E44716" w:rsidRDefault="00E44716">
    <w:pPr>
      <w:jc w:val="right"/>
    </w:pPr>
  </w:p>
  <w:p w:rsidR="00E44716" w:rsidRDefault="00E44716">
    <w:pPr>
      <w:jc w:val="right"/>
    </w:pPr>
  </w:p>
  <w:p w:rsidR="00E44716" w:rsidRDefault="00E44716">
    <w:pPr>
      <w:pBdr>
        <w:bottom w:val="single" w:sz="12" w:space="1" w:color="auto"/>
      </w:pBdr>
      <w:jc w:val="right"/>
      <w:rPr>
        <w:i/>
        <w:iCs/>
      </w:rPr>
    </w:pPr>
  </w:p>
  <w:p w:rsidR="00E44716" w:rsidRDefault="00E44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jc w:val="right"/>
    </w:pPr>
  </w:p>
  <w:p w:rsidR="00E44716" w:rsidRDefault="00E44716">
    <w:pPr>
      <w:jc w:val="right"/>
      <w:rPr>
        <w:i/>
        <w:iCs/>
      </w:rPr>
    </w:pPr>
  </w:p>
  <w:p w:rsidR="00E44716" w:rsidRDefault="00E44716">
    <w:pPr>
      <w:jc w:val="right"/>
    </w:pPr>
  </w:p>
  <w:p w:rsidR="00E44716" w:rsidRDefault="00E44716">
    <w:pPr>
      <w:jc w:val="right"/>
    </w:pPr>
  </w:p>
  <w:p w:rsidR="00E44716" w:rsidRDefault="00E44716">
    <w:pPr>
      <w:pBdr>
        <w:bottom w:val="single" w:sz="12" w:space="1" w:color="auto"/>
      </w:pBdr>
      <w:jc w:val="right"/>
      <w:rPr>
        <w:i/>
        <w:iCs/>
      </w:rPr>
    </w:pPr>
  </w:p>
  <w:p w:rsidR="00E44716" w:rsidRDefault="00E447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jc w:val="right"/>
    </w:pPr>
  </w:p>
  <w:p w:rsidR="00E44716" w:rsidRDefault="00E44716">
    <w:pPr>
      <w:jc w:val="right"/>
      <w:rPr>
        <w:i/>
        <w:iCs/>
      </w:rPr>
    </w:pPr>
  </w:p>
  <w:p w:rsidR="00E44716" w:rsidRDefault="00E44716">
    <w:pPr>
      <w:jc w:val="right"/>
    </w:pPr>
  </w:p>
  <w:p w:rsidR="00E44716" w:rsidRDefault="00E44716">
    <w:pPr>
      <w:jc w:val="right"/>
    </w:pPr>
  </w:p>
  <w:p w:rsidR="00E44716" w:rsidRDefault="00E44716">
    <w:pPr>
      <w:pBdr>
        <w:bottom w:val="single" w:sz="12" w:space="1" w:color="auto"/>
      </w:pBdr>
      <w:jc w:val="right"/>
      <w:rPr>
        <w:i/>
        <w:iCs/>
      </w:rPr>
    </w:pPr>
  </w:p>
  <w:p w:rsidR="00E44716" w:rsidRDefault="00E447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357146">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E44716" w:rsidRDefault="00357146">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E44716" w:rsidRDefault="00357146">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E44716" w:rsidRDefault="00E44716">
    <w:pPr>
      <w:rPr>
        <w:b/>
        <w:bCs/>
        <w:sz w:val="24"/>
        <w:szCs w:val="24"/>
      </w:rPr>
    </w:pPr>
  </w:p>
  <w:p w:rsidR="00E44716" w:rsidRDefault="00357146">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926333">
      <w:rPr>
        <w:noProof/>
        <w:sz w:val="24"/>
        <w:szCs w:val="24"/>
      </w:rPr>
      <w:t>3</w:t>
    </w:r>
    <w:r>
      <w:rPr>
        <w:sz w:val="24"/>
        <w:szCs w:val="24"/>
      </w:rPr>
      <w:fldChar w:fldCharType="end"/>
    </w:r>
  </w:p>
  <w:p w:rsidR="00E44716" w:rsidRDefault="00E447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357146">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E44716" w:rsidRDefault="00357146">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E44716" w:rsidRDefault="00357146">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E44716" w:rsidRDefault="00E44716">
    <w:pPr>
      <w:jc w:val="right"/>
      <w:rPr>
        <w:sz w:val="24"/>
        <w:szCs w:val="24"/>
      </w:rPr>
    </w:pPr>
  </w:p>
  <w:p w:rsidR="00E44716" w:rsidRDefault="00357146">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926333">
      <w:rPr>
        <w:noProof/>
        <w:sz w:val="24"/>
        <w:szCs w:val="24"/>
      </w:rPr>
      <w:t>4</w:t>
    </w:r>
    <w:r>
      <w:rPr>
        <w:sz w:val="24"/>
        <w:szCs w:val="24"/>
      </w:rPr>
      <w:fldChar w:fldCharType="end"/>
    </w:r>
  </w:p>
  <w:p w:rsidR="00E44716" w:rsidRDefault="00E447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Pr="00423C80" w:rsidRDefault="00E44716" w:rsidP="00423C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pStyle w:val="headerpartodd"/>
    </w:pPr>
  </w:p>
  <w:p w:rsidR="00E44716" w:rsidRDefault="00357146">
    <w:pPr>
      <w:pStyle w:val="headerpartodd"/>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Pr>
        <w:rFonts w:ascii="Helvetica" w:hAnsi="Helvetica" w:cs="Helvetica"/>
        <w:i/>
        <w:iCs/>
        <w:noProof/>
      </w:rPr>
      <w:t>States Grants (Science Laboratories) Act 1971</w:t>
    </w:r>
    <w:r>
      <w:rPr>
        <w:rFonts w:ascii="Helvetica" w:hAnsi="Helvetica" w:cs="Helvetica"/>
        <w:i/>
        <w:iCs/>
      </w:rPr>
      <w:fldChar w:fldCharType="end"/>
    </w:r>
  </w:p>
  <w:p w:rsidR="00E44716" w:rsidRDefault="00E44716">
    <w:pPr>
      <w:pStyle w:val="headerpart"/>
      <w:rPr>
        <w:rFonts w:ascii="Helvetica" w:hAnsi="Helvetica" w:cs="Helvetica"/>
      </w:rPr>
    </w:pPr>
  </w:p>
  <w:p w:rsidR="00E44716" w:rsidRDefault="00E44716">
    <w:pPr>
      <w:pStyle w:val="headerpart"/>
      <w:rPr>
        <w:rFonts w:ascii="Helvetica" w:hAnsi="Helvetica" w:cs="Helvetica"/>
        <w:sz w:val="24"/>
        <w:szCs w:val="24"/>
      </w:rPr>
    </w:pPr>
  </w:p>
  <w:p w:rsidR="00E44716" w:rsidRDefault="00357146">
    <w:pPr>
      <w:pBdr>
        <w:bottom w:val="single" w:sz="6" w:space="3" w:color="auto"/>
      </w:pBdr>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E44716">
      <w:trPr>
        <w:tblHeader/>
      </w:trPr>
      <w:tc>
        <w:tcPr>
          <w:tcW w:w="2235"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E44716" w:rsidRDefault="00357146">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E44716" w:rsidRDefault="00E44716">
    <w:pPr>
      <w:pBdr>
        <w:bottom w:val="single" w:sz="6" w:space="0" w:color="auto"/>
      </w:pBdr>
      <w:spacing w:line="20" w:lineRule="exact"/>
      <w:rPr>
        <w:sz w:val="24"/>
        <w:szCs w:val="24"/>
      </w:rPr>
    </w:pPr>
  </w:p>
  <w:p w:rsidR="00E44716" w:rsidRDefault="00E44716">
    <w:pPr>
      <w:spacing w:line="80" w:lineRule="atLeast"/>
      <w:rPr>
        <w:sz w:val="8"/>
        <w:szCs w:val="8"/>
      </w:rPr>
    </w:pPr>
  </w:p>
  <w:p w:rsidR="00E44716" w:rsidRDefault="00E447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16" w:rsidRDefault="00E44716">
    <w:pPr>
      <w:pStyle w:val="headerpartodd"/>
      <w:jc w:val="right"/>
    </w:pPr>
  </w:p>
  <w:p w:rsidR="00E44716" w:rsidRDefault="00357146">
    <w:pPr>
      <w:pStyle w:val="headerpart"/>
      <w:jc w:val="right"/>
      <w:rPr>
        <w:rFonts w:ascii="Helvetica" w:hAnsi="Helvetica" w:cs="Helvetica"/>
        <w:b w:val="0"/>
        <w:bCs w:val="0"/>
      </w:rPr>
    </w:pPr>
    <w:r>
      <w:rPr>
        <w:rFonts w:ascii="Helvetica" w:hAnsi="Helvetica" w:cs="Helvetica"/>
        <w:b w:val="0"/>
        <w:bCs w:val="0"/>
      </w:rPr>
      <w:fldChar w:fldCharType="begin"/>
    </w:r>
    <w:r>
      <w:rPr>
        <w:rFonts w:ascii="Helvetica" w:hAnsi="Helvetica" w:cs="Helvetica"/>
        <w:b w:val="0"/>
        <w:bCs w:val="0"/>
      </w:rPr>
      <w:instrText xml:space="preserve"> STYLEREF CharNotesReg \* charFORMAT </w:instrText>
    </w:r>
    <w:r>
      <w:rPr>
        <w:rFonts w:ascii="Helvetica" w:hAnsi="Helvetica" w:cs="Helvetica"/>
        <w:b w:val="0"/>
        <w:bCs w:val="0"/>
      </w:rPr>
      <w:fldChar w:fldCharType="separate"/>
    </w:r>
    <w:r>
      <w:rPr>
        <w:rFonts w:ascii="Helvetica" w:hAnsi="Helvetica" w:cs="Helvetica"/>
        <w:b w:val="0"/>
        <w:bCs w:val="0"/>
        <w:noProof/>
      </w:rPr>
      <w:t>Notes to the</w:t>
    </w:r>
    <w:r>
      <w:rPr>
        <w:rFonts w:ascii="Helvetica" w:hAnsi="Helvetica" w:cs="Helvetica"/>
        <w:b w:val="0"/>
        <w:bCs w:val="0"/>
      </w:rPr>
      <w:fldChar w:fldCharType="end"/>
    </w:r>
    <w:r>
      <w:rPr>
        <w:rFonts w:ascii="Helvetica" w:hAnsi="Helvetica" w:cs="Helvetica"/>
        <w:b w:val="0"/>
        <w:bCs w:val="0"/>
      </w:rPr>
      <w:t xml:space="preserve"> </w:t>
    </w:r>
    <w:r>
      <w:rPr>
        <w:rFonts w:ascii="Helvetica" w:hAnsi="Helvetica" w:cs="Helvetica"/>
        <w:b w:val="0"/>
        <w:bCs w:val="0"/>
        <w:i/>
        <w:iCs/>
      </w:rPr>
      <w:fldChar w:fldCharType="begin"/>
    </w:r>
    <w:r>
      <w:rPr>
        <w:rFonts w:ascii="Helvetica" w:hAnsi="Helvetica" w:cs="Helvetica"/>
        <w:b w:val="0"/>
        <w:bCs w:val="0"/>
        <w:i/>
        <w:iCs/>
      </w:rPr>
      <w:instrText xml:space="preserve"> STYLEREF CharNotesItals \* charFORMAT </w:instrText>
    </w:r>
    <w:r>
      <w:rPr>
        <w:rFonts w:ascii="Helvetica" w:hAnsi="Helvetica" w:cs="Helvetica"/>
        <w:b w:val="0"/>
        <w:bCs w:val="0"/>
        <w:i/>
        <w:iCs/>
      </w:rPr>
      <w:fldChar w:fldCharType="separate"/>
    </w:r>
    <w:r>
      <w:rPr>
        <w:rFonts w:ascii="Helvetica" w:hAnsi="Helvetica" w:cs="Helvetica"/>
        <w:b w:val="0"/>
        <w:bCs w:val="0"/>
        <w:i/>
        <w:iCs/>
        <w:noProof/>
      </w:rPr>
      <w:t>States Grants (Science Laboratories) Act 1971</w:t>
    </w:r>
    <w:r>
      <w:rPr>
        <w:rFonts w:ascii="Helvetica" w:hAnsi="Helvetica" w:cs="Helvetica"/>
        <w:b w:val="0"/>
        <w:bCs w:val="0"/>
        <w:i/>
        <w:iCs/>
      </w:rPr>
      <w:fldChar w:fldCharType="end"/>
    </w:r>
  </w:p>
  <w:p w:rsidR="00E44716" w:rsidRDefault="00E44716">
    <w:pPr>
      <w:pStyle w:val="headerpart"/>
      <w:jc w:val="right"/>
      <w:rPr>
        <w:rFonts w:ascii="Helvetica" w:hAnsi="Helvetica" w:cs="Helvetica"/>
      </w:rPr>
    </w:pPr>
  </w:p>
  <w:p w:rsidR="00E44716" w:rsidRDefault="00E44716">
    <w:pPr>
      <w:pStyle w:val="headerpart"/>
      <w:jc w:val="right"/>
      <w:rPr>
        <w:rFonts w:ascii="Helvetica" w:hAnsi="Helvetica" w:cs="Helvetica"/>
        <w:sz w:val="24"/>
        <w:szCs w:val="24"/>
      </w:rPr>
    </w:pPr>
  </w:p>
  <w:p w:rsidR="00E44716" w:rsidRDefault="00357146">
    <w:pPr>
      <w:pBdr>
        <w:bottom w:val="single" w:sz="6" w:space="3" w:color="auto"/>
      </w:pBdr>
      <w:jc w:val="right"/>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E44716">
      <w:trPr>
        <w:tblHeader/>
      </w:trPr>
      <w:tc>
        <w:tcPr>
          <w:tcW w:w="2235"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E44716" w:rsidRDefault="00357146">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E44716" w:rsidRDefault="00357146">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E44716" w:rsidRDefault="00E44716">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mirrorMargins/>
  <w:proofState w:spelling="clean"/>
  <w:attachedTemplate r:id="rId1"/>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F3"/>
    <w:rsid w:val="00357146"/>
    <w:rsid w:val="00423C80"/>
    <w:rsid w:val="004659C0"/>
    <w:rsid w:val="00680650"/>
    <w:rsid w:val="00926333"/>
    <w:rsid w:val="009C5410"/>
    <w:rsid w:val="00B82E22"/>
    <w:rsid w:val="00C0078F"/>
    <w:rsid w:val="00D35EF3"/>
    <w:rsid w:val="00E44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17"/>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1"/>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styleId="BalloonText">
    <w:name w:val="Balloon Text"/>
    <w:basedOn w:val="Normal"/>
    <w:link w:val="BalloonTextChar"/>
    <w:uiPriority w:val="99"/>
    <w:semiHidden/>
    <w:unhideWhenUsed/>
    <w:rsid w:val="004659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9C0"/>
    <w:rPr>
      <w:rFonts w:ascii="Tahoma" w:hAnsi="Tahoma" w:cs="Tahoma"/>
      <w:sz w:val="16"/>
      <w:szCs w:val="16"/>
    </w:rPr>
  </w:style>
  <w:style w:type="paragraph" w:customStyle="1" w:styleId="AssentDt">
    <w:name w:val="AssentDt"/>
    <w:basedOn w:val="Normal"/>
    <w:rsid w:val="00423C80"/>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571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17"/>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1"/>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styleId="BalloonText">
    <w:name w:val="Balloon Text"/>
    <w:basedOn w:val="Normal"/>
    <w:link w:val="BalloonTextChar"/>
    <w:uiPriority w:val="99"/>
    <w:semiHidden/>
    <w:unhideWhenUsed/>
    <w:rsid w:val="004659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9C0"/>
    <w:rPr>
      <w:rFonts w:ascii="Tahoma" w:hAnsi="Tahoma" w:cs="Tahoma"/>
      <w:sz w:val="16"/>
      <w:szCs w:val="16"/>
    </w:rPr>
  </w:style>
  <w:style w:type="paragraph" w:customStyle="1" w:styleId="AssentDt">
    <w:name w:val="AssentDt"/>
    <w:basedOn w:val="Normal"/>
    <w:rsid w:val="00423C80"/>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57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B762-6A95-4FF7-85B7-E55671B6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1</TotalTime>
  <Pages>9</Pages>
  <Words>1204</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States Grants (Science Laboratories) Act 1971</vt:lpstr>
    </vt:vector>
  </TitlesOfParts>
  <Company>Attorney-General's Department</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Grants (Science Laboratories) Act 1971</dc:title>
  <dc:creator>Winchester</dc:creator>
  <cp:lastModifiedBy>Harper, Michael</cp:lastModifiedBy>
  <cp:revision>2</cp:revision>
  <cp:lastPrinted>2000-11-27T00:54:00Z</cp:lastPrinted>
  <dcterms:created xsi:type="dcterms:W3CDTF">2019-03-19T22:01:00Z</dcterms:created>
  <dcterms:modified xsi:type="dcterms:W3CDTF">2019-03-19T22:01:00Z</dcterms:modified>
</cp:coreProperties>
</file>