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38" w:rsidRPr="00582538" w:rsidRDefault="00D03B38" w:rsidP="00A319E3">
      <w:pPr>
        <w:spacing w:before="9000"/>
        <w:jc w:val="center"/>
        <w:rPr>
          <w:b/>
          <w:sz w:val="36"/>
        </w:rPr>
      </w:pPr>
      <w:r w:rsidRPr="00582538">
        <w:rPr>
          <w:b/>
          <w:sz w:val="36"/>
        </w:rPr>
        <w:t>Social Services (No. 2)</w:t>
      </w:r>
    </w:p>
    <w:p w:rsidR="00D03B38" w:rsidRPr="00A319E3" w:rsidRDefault="00D03B38" w:rsidP="00A319E3">
      <w:pPr>
        <w:spacing w:before="180" w:after="180"/>
        <w:jc w:val="center"/>
        <w:rPr>
          <w:b/>
          <w:sz w:val="28"/>
        </w:rPr>
      </w:pPr>
      <w:r w:rsidRPr="00A319E3">
        <w:rPr>
          <w:b/>
          <w:sz w:val="28"/>
        </w:rPr>
        <w:t>No. 61 of 1967</w:t>
      </w:r>
    </w:p>
    <w:p w:rsidR="005B6FBE" w:rsidRPr="00A319E3" w:rsidRDefault="005B6FBE" w:rsidP="00A319E3">
      <w:pPr>
        <w:jc w:val="center"/>
        <w:rPr>
          <w:sz w:val="26"/>
        </w:rPr>
      </w:pPr>
      <w:r w:rsidRPr="00A319E3">
        <w:rPr>
          <w:sz w:val="26"/>
        </w:rPr>
        <w:t>An Act relating to Child Endowment.</w:t>
      </w:r>
    </w:p>
    <w:p w:rsidR="005B6FBE" w:rsidRPr="00582538" w:rsidRDefault="005B6FBE" w:rsidP="00A319E3">
      <w:pPr>
        <w:spacing w:before="180" w:after="180"/>
        <w:jc w:val="right"/>
        <w:rPr>
          <w:sz w:val="26"/>
        </w:rPr>
      </w:pPr>
      <w:r w:rsidRPr="00582538">
        <w:rPr>
          <w:sz w:val="26"/>
        </w:rPr>
        <w:t>[</w:t>
      </w:r>
      <w:r w:rsidR="00D03B38" w:rsidRPr="00582538">
        <w:rPr>
          <w:sz w:val="26"/>
        </w:rPr>
        <w:t>Assented to 18 September 1967</w:t>
      </w:r>
      <w:r w:rsidRPr="00582538">
        <w:rPr>
          <w:sz w:val="26"/>
        </w:rPr>
        <w:t>]</w:t>
      </w:r>
    </w:p>
    <w:p w:rsidR="005B6FBE" w:rsidRPr="00582538" w:rsidRDefault="005B6FBE" w:rsidP="007A7B1C">
      <w:pPr>
        <w:jc w:val="both"/>
        <w:rPr>
          <w:sz w:val="22"/>
          <w:szCs w:val="22"/>
        </w:rPr>
      </w:pPr>
      <w:r w:rsidRPr="00582538">
        <w:rPr>
          <w:sz w:val="22"/>
          <w:szCs w:val="22"/>
        </w:rPr>
        <w:t>BE it enacted by the Queen</w:t>
      </w:r>
      <w:r w:rsidR="00524B02" w:rsidRPr="00582538">
        <w:rPr>
          <w:sz w:val="22"/>
          <w:szCs w:val="22"/>
        </w:rPr>
        <w:t>’</w:t>
      </w:r>
      <w:r w:rsidRPr="00582538">
        <w:rPr>
          <w:sz w:val="22"/>
          <w:szCs w:val="22"/>
        </w:rPr>
        <w:t>s Most Excellent Majesty, the Senate, and the House of Representatives of the Commonwealth of Australia, as follows:—</w:t>
      </w:r>
    </w:p>
    <w:p w:rsidR="00D03B38" w:rsidRPr="00A319E3" w:rsidRDefault="00D03B38" w:rsidP="00A319E3">
      <w:pPr>
        <w:spacing w:before="120" w:after="60"/>
        <w:rPr>
          <w:b/>
          <w:sz w:val="20"/>
        </w:rPr>
      </w:pPr>
      <w:r w:rsidRPr="00A319E3">
        <w:rPr>
          <w:b/>
          <w:sz w:val="20"/>
        </w:rPr>
        <w:t>Short title and citation.</w:t>
      </w:r>
    </w:p>
    <w:p w:rsidR="00A319E3" w:rsidRDefault="00D03B38" w:rsidP="00F13805">
      <w:pPr>
        <w:tabs>
          <w:tab w:val="left" w:pos="1350"/>
          <w:tab w:val="left" w:pos="1440"/>
          <w:tab w:val="left" w:pos="1530"/>
        </w:tabs>
        <w:ind w:firstLine="432"/>
        <w:jc w:val="both"/>
        <w:rPr>
          <w:sz w:val="22"/>
        </w:rPr>
      </w:pPr>
      <w:r w:rsidRPr="007A7B1C">
        <w:rPr>
          <w:b/>
          <w:sz w:val="22"/>
        </w:rPr>
        <w:t>1.</w:t>
      </w:r>
      <w:r w:rsidR="005B6FBE" w:rsidRPr="007A7B1C">
        <w:rPr>
          <w:sz w:val="22"/>
        </w:rPr>
        <w:t>—(1.)</w:t>
      </w:r>
      <w:r w:rsidR="00F13805">
        <w:rPr>
          <w:sz w:val="22"/>
        </w:rPr>
        <w:tab/>
      </w:r>
      <w:r w:rsidR="005B6FBE" w:rsidRPr="007A7B1C">
        <w:rPr>
          <w:sz w:val="22"/>
        </w:rPr>
        <w:t xml:space="preserve">This Act may be cited as the </w:t>
      </w:r>
      <w:r w:rsidRPr="007A7B1C">
        <w:rPr>
          <w:i/>
          <w:sz w:val="22"/>
        </w:rPr>
        <w:t xml:space="preserve">Social Services Act </w:t>
      </w:r>
      <w:r w:rsidR="001D3353" w:rsidRPr="001D3353">
        <w:rPr>
          <w:sz w:val="22"/>
        </w:rPr>
        <w:t>(</w:t>
      </w:r>
      <w:r w:rsidRPr="007A7B1C">
        <w:rPr>
          <w:i/>
          <w:sz w:val="22"/>
        </w:rPr>
        <w:t>No.</w:t>
      </w:r>
      <w:r w:rsidRPr="00A67E7E">
        <w:rPr>
          <w:sz w:val="22"/>
        </w:rPr>
        <w:t xml:space="preserve"> 2</w:t>
      </w:r>
      <w:r w:rsidR="001D3353" w:rsidRPr="001D3353">
        <w:rPr>
          <w:sz w:val="22"/>
        </w:rPr>
        <w:t>)</w:t>
      </w:r>
      <w:r w:rsidRPr="007A7B1C">
        <w:rPr>
          <w:i/>
          <w:sz w:val="22"/>
        </w:rPr>
        <w:t xml:space="preserve"> </w:t>
      </w:r>
      <w:r w:rsidR="005B6FBE" w:rsidRPr="007A7B1C">
        <w:rPr>
          <w:sz w:val="22"/>
        </w:rPr>
        <w:t>1967.</w:t>
      </w:r>
    </w:p>
    <w:p w:rsidR="005B6FBE" w:rsidRPr="007A7B1C" w:rsidRDefault="00A319E3" w:rsidP="00F13805">
      <w:pPr>
        <w:tabs>
          <w:tab w:val="left" w:pos="900"/>
          <w:tab w:val="left" w:pos="1350"/>
          <w:tab w:val="left" w:pos="1440"/>
        </w:tabs>
        <w:ind w:firstLine="432"/>
        <w:jc w:val="both"/>
        <w:rPr>
          <w:sz w:val="22"/>
        </w:rPr>
      </w:pPr>
      <w:r>
        <w:rPr>
          <w:sz w:val="22"/>
        </w:rPr>
        <w:br w:type="page"/>
      </w:r>
      <w:r w:rsidR="005B6FBE" w:rsidRPr="007A7B1C">
        <w:rPr>
          <w:sz w:val="22"/>
        </w:rPr>
        <w:lastRenderedPageBreak/>
        <w:t>(2.)</w:t>
      </w:r>
      <w:r w:rsidR="00F13805">
        <w:rPr>
          <w:sz w:val="22"/>
        </w:rPr>
        <w:tab/>
      </w:r>
      <w:r w:rsidR="00D03B38" w:rsidRPr="00F13805">
        <w:rPr>
          <w:sz w:val="22"/>
        </w:rPr>
        <w:t>The</w:t>
      </w:r>
      <w:r w:rsidR="00D03B38" w:rsidRPr="007A7B1C">
        <w:rPr>
          <w:i/>
          <w:sz w:val="22"/>
        </w:rPr>
        <w:t xml:space="preserve"> Social Services Act </w:t>
      </w:r>
      <w:r w:rsidR="005B6FBE" w:rsidRPr="007A7B1C">
        <w:rPr>
          <w:sz w:val="22"/>
        </w:rPr>
        <w:t>1947</w:t>
      </w:r>
      <w:r w:rsidR="001D3353">
        <w:rPr>
          <w:sz w:val="22"/>
        </w:rPr>
        <w:t>–</w:t>
      </w:r>
      <w:r w:rsidR="00582538">
        <w:rPr>
          <w:sz w:val="22"/>
        </w:rPr>
        <w:t>1966,</w:t>
      </w:r>
      <w:r w:rsidR="005B6FBE" w:rsidRPr="007A7B1C">
        <w:rPr>
          <w:sz w:val="22"/>
        </w:rPr>
        <w:t xml:space="preserve"> as amended by the </w:t>
      </w:r>
      <w:r w:rsidR="00D03B38" w:rsidRPr="007A7B1C">
        <w:rPr>
          <w:i/>
          <w:sz w:val="22"/>
        </w:rPr>
        <w:t xml:space="preserve">Social Services Act </w:t>
      </w:r>
      <w:r w:rsidR="005B6FBE" w:rsidRPr="007A7B1C">
        <w:rPr>
          <w:sz w:val="22"/>
        </w:rPr>
        <w:t>1967, is in this Act referred to as the Principal Act.</w:t>
      </w:r>
    </w:p>
    <w:p w:rsidR="005B6FBE" w:rsidRPr="007A7B1C" w:rsidRDefault="005B6FBE" w:rsidP="00F13805">
      <w:pPr>
        <w:tabs>
          <w:tab w:val="left" w:pos="900"/>
          <w:tab w:val="left" w:pos="1350"/>
          <w:tab w:val="left" w:pos="1440"/>
        </w:tabs>
        <w:spacing w:before="60"/>
        <w:ind w:firstLine="432"/>
        <w:jc w:val="both"/>
        <w:rPr>
          <w:sz w:val="22"/>
        </w:rPr>
      </w:pPr>
      <w:r w:rsidRPr="007A7B1C">
        <w:rPr>
          <w:sz w:val="22"/>
        </w:rPr>
        <w:t>(3.)</w:t>
      </w:r>
      <w:r w:rsidR="00F13805">
        <w:rPr>
          <w:sz w:val="22"/>
        </w:rPr>
        <w:tab/>
      </w:r>
      <w:r w:rsidRPr="007A7B1C">
        <w:rPr>
          <w:sz w:val="22"/>
        </w:rPr>
        <w:t xml:space="preserve">Section 1 of the </w:t>
      </w:r>
      <w:r w:rsidR="00D03B38" w:rsidRPr="007A7B1C">
        <w:rPr>
          <w:i/>
          <w:sz w:val="22"/>
        </w:rPr>
        <w:t xml:space="preserve">Social Services Act </w:t>
      </w:r>
      <w:r w:rsidRPr="007A7B1C">
        <w:rPr>
          <w:sz w:val="22"/>
        </w:rPr>
        <w:t>1967 is amended by omitting sub-section (3.).</w:t>
      </w:r>
    </w:p>
    <w:p w:rsidR="005B6FBE" w:rsidRPr="007A7B1C" w:rsidRDefault="005B6FBE" w:rsidP="00F13805">
      <w:pPr>
        <w:tabs>
          <w:tab w:val="left" w:pos="900"/>
          <w:tab w:val="left" w:pos="1350"/>
          <w:tab w:val="left" w:pos="1440"/>
        </w:tabs>
        <w:spacing w:before="60"/>
        <w:ind w:firstLine="432"/>
        <w:jc w:val="both"/>
        <w:rPr>
          <w:sz w:val="22"/>
        </w:rPr>
      </w:pPr>
      <w:r w:rsidRPr="007A7B1C">
        <w:rPr>
          <w:sz w:val="22"/>
        </w:rPr>
        <w:t>(4.)</w:t>
      </w:r>
      <w:r w:rsidR="00F13805">
        <w:rPr>
          <w:sz w:val="22"/>
        </w:rPr>
        <w:tab/>
      </w:r>
      <w:r w:rsidRPr="007A7B1C">
        <w:rPr>
          <w:sz w:val="22"/>
        </w:rPr>
        <w:t xml:space="preserve">The Principal Act, as amended by this Act, may be cited as the </w:t>
      </w:r>
      <w:r w:rsidR="00D03B38" w:rsidRPr="007A7B1C">
        <w:rPr>
          <w:i/>
          <w:sz w:val="22"/>
        </w:rPr>
        <w:t xml:space="preserve">Social Services Act </w:t>
      </w:r>
      <w:r w:rsidRPr="007A7B1C">
        <w:rPr>
          <w:sz w:val="22"/>
        </w:rPr>
        <w:t>1947</w:t>
      </w:r>
      <w:r w:rsidR="001D3353">
        <w:rPr>
          <w:sz w:val="22"/>
        </w:rPr>
        <w:t>–</w:t>
      </w:r>
      <w:r w:rsidRPr="007A7B1C">
        <w:rPr>
          <w:sz w:val="22"/>
        </w:rPr>
        <w:t>1967.</w:t>
      </w:r>
    </w:p>
    <w:p w:rsidR="00D03B38" w:rsidRPr="007A7B1C" w:rsidRDefault="00D03B38" w:rsidP="00F13805">
      <w:pPr>
        <w:spacing w:before="120" w:after="60"/>
        <w:rPr>
          <w:b/>
          <w:sz w:val="22"/>
        </w:rPr>
      </w:pPr>
      <w:r w:rsidRPr="00F13805">
        <w:rPr>
          <w:b/>
          <w:sz w:val="20"/>
        </w:rPr>
        <w:t>Commencement</w:t>
      </w:r>
      <w:r w:rsidRPr="007A7B1C">
        <w:rPr>
          <w:b/>
          <w:sz w:val="22"/>
        </w:rPr>
        <w:t>.</w:t>
      </w:r>
    </w:p>
    <w:p w:rsidR="005B6FBE" w:rsidRPr="007A7B1C" w:rsidRDefault="00D03B38" w:rsidP="00F13805">
      <w:pPr>
        <w:ind w:firstLine="432"/>
        <w:jc w:val="both"/>
        <w:rPr>
          <w:sz w:val="22"/>
        </w:rPr>
      </w:pPr>
      <w:r w:rsidRPr="007A7B1C">
        <w:rPr>
          <w:b/>
          <w:sz w:val="22"/>
        </w:rPr>
        <w:t>2.</w:t>
      </w:r>
      <w:r w:rsidR="00F13805">
        <w:rPr>
          <w:sz w:val="22"/>
        </w:rPr>
        <w:tab/>
      </w:r>
      <w:r w:rsidR="005B6FBE" w:rsidRPr="007A7B1C">
        <w:rPr>
          <w:sz w:val="22"/>
        </w:rPr>
        <w:t xml:space="preserve">This Act shall come into operation on the nineteenth day of September, One thousand nine hundred </w:t>
      </w:r>
      <w:r w:rsidR="005B6FBE" w:rsidRPr="00F13805">
        <w:rPr>
          <w:sz w:val="22"/>
        </w:rPr>
        <w:t>and sixty-seven.</w:t>
      </w:r>
    </w:p>
    <w:p w:rsidR="00D03B38" w:rsidRPr="007A7B1C" w:rsidRDefault="00D03B38" w:rsidP="00F13805">
      <w:pPr>
        <w:spacing w:before="120" w:after="60"/>
        <w:rPr>
          <w:b/>
          <w:sz w:val="22"/>
        </w:rPr>
      </w:pPr>
      <w:r w:rsidRPr="00F13805">
        <w:rPr>
          <w:b/>
          <w:sz w:val="20"/>
        </w:rPr>
        <w:t>Child endowment</w:t>
      </w:r>
      <w:r w:rsidRPr="007A7B1C">
        <w:rPr>
          <w:b/>
          <w:sz w:val="22"/>
        </w:rPr>
        <w:t>.</w:t>
      </w:r>
    </w:p>
    <w:p w:rsidR="005B6FBE" w:rsidRPr="007A7B1C" w:rsidRDefault="00D03B38" w:rsidP="00F13805">
      <w:pPr>
        <w:ind w:firstLine="432"/>
        <w:jc w:val="both"/>
        <w:rPr>
          <w:sz w:val="22"/>
        </w:rPr>
      </w:pPr>
      <w:r w:rsidRPr="007A7B1C">
        <w:rPr>
          <w:b/>
          <w:sz w:val="22"/>
        </w:rPr>
        <w:t>3.</w:t>
      </w:r>
      <w:r w:rsidR="00F13805">
        <w:rPr>
          <w:sz w:val="22"/>
        </w:rPr>
        <w:tab/>
      </w:r>
      <w:r w:rsidR="005B6FBE" w:rsidRPr="007A7B1C">
        <w:rPr>
          <w:sz w:val="22"/>
        </w:rPr>
        <w:t>Section 95 of the Principal Act is amended—</w:t>
      </w:r>
    </w:p>
    <w:p w:rsidR="005B6FBE" w:rsidRPr="007A7B1C" w:rsidRDefault="001D3353" w:rsidP="00F13805">
      <w:pPr>
        <w:spacing w:before="60"/>
        <w:ind w:left="1008" w:hanging="432"/>
        <w:jc w:val="both"/>
        <w:rPr>
          <w:sz w:val="22"/>
        </w:rPr>
      </w:pPr>
      <w:r w:rsidRPr="001D3353">
        <w:rPr>
          <w:sz w:val="22"/>
        </w:rPr>
        <w:t>(</w:t>
      </w:r>
      <w:r w:rsidR="00D03B38" w:rsidRPr="007A7B1C">
        <w:rPr>
          <w:i/>
          <w:sz w:val="22"/>
        </w:rPr>
        <w:t>a</w:t>
      </w:r>
      <w:r w:rsidRPr="001D3353">
        <w:rPr>
          <w:sz w:val="22"/>
        </w:rPr>
        <w:t>)</w:t>
      </w:r>
      <w:r w:rsidR="00D03B38" w:rsidRPr="007A7B1C">
        <w:rPr>
          <w:i/>
          <w:sz w:val="22"/>
        </w:rPr>
        <w:t xml:space="preserve"> </w:t>
      </w:r>
      <w:r w:rsidR="005B6FBE" w:rsidRPr="007A7B1C">
        <w:rPr>
          <w:sz w:val="22"/>
        </w:rPr>
        <w:t>by omitting sub-section (2.) and inserting in its stead the following sub-sections:—</w:t>
      </w:r>
    </w:p>
    <w:p w:rsidR="005B6FBE" w:rsidRPr="007A7B1C" w:rsidRDefault="00524B02" w:rsidP="00F13805">
      <w:pPr>
        <w:spacing w:before="60"/>
        <w:ind w:left="1008" w:firstLine="288"/>
        <w:jc w:val="both"/>
        <w:rPr>
          <w:sz w:val="22"/>
        </w:rPr>
      </w:pPr>
      <w:r>
        <w:rPr>
          <w:sz w:val="22"/>
        </w:rPr>
        <w:t>“</w:t>
      </w:r>
      <w:r w:rsidR="005B6FBE" w:rsidRPr="007A7B1C">
        <w:rPr>
          <w:sz w:val="22"/>
        </w:rPr>
        <w:t>(1</w:t>
      </w:r>
      <w:r w:rsidR="00D03B38" w:rsidRPr="007A7B1C">
        <w:rPr>
          <w:b/>
          <w:smallCaps/>
          <w:sz w:val="22"/>
        </w:rPr>
        <w:t>a</w:t>
      </w:r>
      <w:r w:rsidR="005B6FBE" w:rsidRPr="007A7B1C">
        <w:rPr>
          <w:sz w:val="22"/>
        </w:rPr>
        <w:t>.) The rate at which an endowment is payable is the rate applicable from time to time in accordance with this section.</w:t>
      </w:r>
    </w:p>
    <w:p w:rsidR="005B6FBE" w:rsidRPr="007A7B1C" w:rsidRDefault="00524B02" w:rsidP="00F13805">
      <w:pPr>
        <w:spacing w:before="60"/>
        <w:ind w:left="1008" w:firstLine="288"/>
        <w:jc w:val="both"/>
        <w:rPr>
          <w:sz w:val="22"/>
        </w:rPr>
      </w:pPr>
      <w:r>
        <w:rPr>
          <w:sz w:val="22"/>
        </w:rPr>
        <w:t>“</w:t>
      </w:r>
      <w:r w:rsidR="005B6FBE" w:rsidRPr="007A7B1C">
        <w:rPr>
          <w:sz w:val="22"/>
        </w:rPr>
        <w:t>(2.) The rate of endowment in respect of a child under the age of sixteen years in respect of whom an endowment is payable to a person other than an institution is—</w:t>
      </w:r>
    </w:p>
    <w:p w:rsidR="005B6FBE" w:rsidRPr="007A7B1C" w:rsidRDefault="001D3353" w:rsidP="00F13805">
      <w:pPr>
        <w:spacing w:before="60"/>
        <w:ind w:left="1584" w:hanging="288"/>
        <w:jc w:val="both"/>
        <w:rPr>
          <w:sz w:val="22"/>
        </w:rPr>
      </w:pPr>
      <w:r w:rsidRPr="001D3353">
        <w:rPr>
          <w:sz w:val="22"/>
        </w:rPr>
        <w:t>(</w:t>
      </w:r>
      <w:r w:rsidR="00D03B38" w:rsidRPr="007A7B1C">
        <w:rPr>
          <w:i/>
          <w:sz w:val="22"/>
        </w:rPr>
        <w:t>a</w:t>
      </w:r>
      <w:r w:rsidRPr="001D3353">
        <w:rPr>
          <w:sz w:val="22"/>
        </w:rPr>
        <w:t>)</w:t>
      </w:r>
      <w:r w:rsidR="00D03B38" w:rsidRPr="007A7B1C">
        <w:rPr>
          <w:i/>
          <w:sz w:val="22"/>
        </w:rPr>
        <w:t xml:space="preserve"> </w:t>
      </w:r>
      <w:r w:rsidR="005B6FBE" w:rsidRPr="007A7B1C">
        <w:rPr>
          <w:sz w:val="22"/>
        </w:rPr>
        <w:t>where the child is the only such child, or where there are two or more such children and the child is the elder or eldest of them—Fifty cents per week;</w:t>
      </w:r>
    </w:p>
    <w:p w:rsidR="005B6FBE" w:rsidRPr="007A7B1C" w:rsidRDefault="001D3353" w:rsidP="00F13805">
      <w:pPr>
        <w:spacing w:before="60"/>
        <w:ind w:left="1584" w:hanging="288"/>
        <w:jc w:val="both"/>
        <w:rPr>
          <w:sz w:val="22"/>
        </w:rPr>
      </w:pPr>
      <w:r w:rsidRPr="001D3353">
        <w:rPr>
          <w:sz w:val="22"/>
        </w:rPr>
        <w:t>(</w:t>
      </w:r>
      <w:r w:rsidR="00D03B38" w:rsidRPr="007A7B1C">
        <w:rPr>
          <w:i/>
          <w:sz w:val="22"/>
        </w:rPr>
        <w:t>b</w:t>
      </w:r>
      <w:r w:rsidRPr="001D3353">
        <w:rPr>
          <w:sz w:val="22"/>
        </w:rPr>
        <w:t>)</w:t>
      </w:r>
      <w:r w:rsidR="00D03B38" w:rsidRPr="007A7B1C">
        <w:rPr>
          <w:i/>
          <w:sz w:val="22"/>
        </w:rPr>
        <w:t xml:space="preserve"> </w:t>
      </w:r>
      <w:r w:rsidR="005B6FBE" w:rsidRPr="007A7B1C">
        <w:rPr>
          <w:sz w:val="22"/>
        </w:rPr>
        <w:t>where there are two or more such children and the child is the younger or second eldest of them—One dollar per week;</w:t>
      </w:r>
    </w:p>
    <w:p w:rsidR="005B6FBE" w:rsidRPr="007A7B1C" w:rsidRDefault="001D3353" w:rsidP="00F13805">
      <w:pPr>
        <w:spacing w:before="60"/>
        <w:ind w:left="1584" w:hanging="288"/>
        <w:jc w:val="both"/>
        <w:rPr>
          <w:sz w:val="22"/>
        </w:rPr>
      </w:pPr>
      <w:r w:rsidRPr="001D3353">
        <w:rPr>
          <w:sz w:val="22"/>
        </w:rPr>
        <w:t>(</w:t>
      </w:r>
      <w:r w:rsidR="00D03B38" w:rsidRPr="007A7B1C">
        <w:rPr>
          <w:i/>
          <w:sz w:val="22"/>
        </w:rPr>
        <w:t>c</w:t>
      </w:r>
      <w:r w:rsidRPr="001D3353">
        <w:rPr>
          <w:sz w:val="22"/>
        </w:rPr>
        <w:t>)</w:t>
      </w:r>
      <w:r w:rsidR="00D03B38" w:rsidRPr="007A7B1C">
        <w:rPr>
          <w:i/>
          <w:sz w:val="22"/>
        </w:rPr>
        <w:t xml:space="preserve"> </w:t>
      </w:r>
      <w:r w:rsidR="005B6FBE" w:rsidRPr="007A7B1C">
        <w:rPr>
          <w:sz w:val="22"/>
        </w:rPr>
        <w:t>where there are three or more such children and the child is the third eldest of them—One dollar fifty cents per week; and</w:t>
      </w:r>
    </w:p>
    <w:p w:rsidR="005B6FBE" w:rsidRPr="007A7B1C" w:rsidRDefault="001D3353" w:rsidP="00F13805">
      <w:pPr>
        <w:spacing w:before="60"/>
        <w:ind w:left="1584" w:hanging="288"/>
        <w:jc w:val="both"/>
        <w:rPr>
          <w:sz w:val="22"/>
        </w:rPr>
      </w:pPr>
      <w:r w:rsidRPr="001D3353">
        <w:rPr>
          <w:sz w:val="22"/>
        </w:rPr>
        <w:t>(</w:t>
      </w:r>
      <w:r w:rsidR="00D03B38" w:rsidRPr="00F13805">
        <w:rPr>
          <w:i/>
          <w:sz w:val="22"/>
        </w:rPr>
        <w:t>d</w:t>
      </w:r>
      <w:r w:rsidRPr="001D3353">
        <w:rPr>
          <w:sz w:val="22"/>
        </w:rPr>
        <w:t>)</w:t>
      </w:r>
      <w:r w:rsidR="00D03B38" w:rsidRPr="00F13805">
        <w:rPr>
          <w:i/>
          <w:sz w:val="22"/>
        </w:rPr>
        <w:t xml:space="preserve"> </w:t>
      </w:r>
      <w:r w:rsidR="005B6FBE" w:rsidRPr="00F13805">
        <w:rPr>
          <w:sz w:val="22"/>
        </w:rPr>
        <w:t>where</w:t>
      </w:r>
      <w:r w:rsidR="005B6FBE" w:rsidRPr="007A7B1C">
        <w:rPr>
          <w:sz w:val="22"/>
        </w:rPr>
        <w:t xml:space="preserve"> there are four or more such children and the child is not one of the three eldest of them—an amount per week that exceeds by Twenty-five cents the amount payable in respect of the next elder of those children</w:t>
      </w:r>
      <w:r w:rsidR="00524B02">
        <w:rPr>
          <w:sz w:val="22"/>
        </w:rPr>
        <w:t>”</w:t>
      </w:r>
      <w:r w:rsidR="005B6FBE" w:rsidRPr="007A7B1C">
        <w:rPr>
          <w:sz w:val="22"/>
        </w:rPr>
        <w:t>; and</w:t>
      </w:r>
    </w:p>
    <w:p w:rsidR="005B6FBE" w:rsidRPr="007A7B1C" w:rsidRDefault="001D3353" w:rsidP="00F13805">
      <w:pPr>
        <w:spacing w:before="60"/>
        <w:ind w:left="1008" w:hanging="432"/>
        <w:jc w:val="both"/>
        <w:rPr>
          <w:sz w:val="22"/>
        </w:rPr>
      </w:pPr>
      <w:r w:rsidRPr="001D3353">
        <w:rPr>
          <w:sz w:val="22"/>
        </w:rPr>
        <w:t>(</w:t>
      </w:r>
      <w:r w:rsidR="00D03B38" w:rsidRPr="007A7B1C">
        <w:rPr>
          <w:i/>
          <w:sz w:val="22"/>
        </w:rPr>
        <w:t>b</w:t>
      </w:r>
      <w:r w:rsidRPr="001D3353">
        <w:rPr>
          <w:sz w:val="22"/>
        </w:rPr>
        <w:t>)</w:t>
      </w:r>
      <w:r w:rsidR="00D03B38" w:rsidRPr="007A7B1C">
        <w:rPr>
          <w:i/>
          <w:sz w:val="22"/>
        </w:rPr>
        <w:t xml:space="preserve"> </w:t>
      </w:r>
      <w:r w:rsidR="005B6FBE" w:rsidRPr="007A7B1C">
        <w:rPr>
          <w:sz w:val="22"/>
        </w:rPr>
        <w:t>by adding at the end thereof the following sub-section:—</w:t>
      </w:r>
    </w:p>
    <w:p w:rsidR="005B6FBE" w:rsidRDefault="00524B02" w:rsidP="00A67E7E">
      <w:pPr>
        <w:spacing w:before="60"/>
        <w:ind w:left="1008" w:firstLine="288"/>
        <w:jc w:val="both"/>
        <w:rPr>
          <w:sz w:val="22"/>
        </w:rPr>
      </w:pPr>
      <w:r>
        <w:rPr>
          <w:sz w:val="22"/>
        </w:rPr>
        <w:t>“</w:t>
      </w:r>
      <w:r w:rsidR="005B6FBE" w:rsidRPr="007A7B1C">
        <w:rPr>
          <w:sz w:val="22"/>
        </w:rPr>
        <w:t>(8.) Where an endowment granted in respect of a child is payable from a date before the date on which it is granted, the endowment shall, for the purposes of calculating the rate of an endowment in respect of a younger child, be deemed to have become payable on the date from which it is payable.</w:t>
      </w:r>
      <w:r>
        <w:rPr>
          <w:sz w:val="22"/>
        </w:rPr>
        <w:t>”</w:t>
      </w:r>
      <w:r w:rsidR="005B6FBE" w:rsidRPr="007A7B1C">
        <w:rPr>
          <w:sz w:val="22"/>
        </w:rPr>
        <w:t>.</w:t>
      </w:r>
    </w:p>
    <w:p w:rsidR="005B6FBE" w:rsidRPr="007A7B1C" w:rsidRDefault="001347FC" w:rsidP="001347FC">
      <w:pPr>
        <w:ind w:firstLine="432"/>
        <w:jc w:val="both"/>
        <w:rPr>
          <w:sz w:val="22"/>
        </w:rPr>
      </w:pPr>
      <w:bookmarkStart w:id="0" w:name="_GoBack"/>
      <w:bookmarkEnd w:id="0"/>
      <w:r>
        <w:rPr>
          <w:color w:val="000000"/>
          <w:sz w:val="20"/>
          <w:szCs w:val="12"/>
        </w:rPr>
        <w:br w:type="page"/>
      </w:r>
      <w:r>
        <w:rPr>
          <w:b/>
          <w:sz w:val="22"/>
        </w:rPr>
        <w:lastRenderedPageBreak/>
        <w:t>4.</w:t>
      </w:r>
      <w:r>
        <w:rPr>
          <w:b/>
          <w:sz w:val="22"/>
        </w:rPr>
        <w:tab/>
      </w:r>
      <w:r w:rsidR="005B6FBE" w:rsidRPr="001D3353">
        <w:rPr>
          <w:sz w:val="22"/>
        </w:rPr>
        <w:t>Sections 103</w:t>
      </w:r>
      <w:r w:rsidR="00D03B38" w:rsidRPr="001D3353">
        <w:rPr>
          <w:smallCaps/>
          <w:sz w:val="22"/>
        </w:rPr>
        <w:t xml:space="preserve">a </w:t>
      </w:r>
      <w:r w:rsidR="005B6FBE" w:rsidRPr="001D3353">
        <w:rPr>
          <w:sz w:val="22"/>
        </w:rPr>
        <w:t>to 103</w:t>
      </w:r>
      <w:r w:rsidR="00D03B38" w:rsidRPr="001D3353">
        <w:rPr>
          <w:smallCaps/>
          <w:sz w:val="22"/>
        </w:rPr>
        <w:t xml:space="preserve">d </w:t>
      </w:r>
      <w:r w:rsidR="005B6FBE" w:rsidRPr="001D3353">
        <w:rPr>
          <w:sz w:val="22"/>
        </w:rPr>
        <w:t>(inclusive) of</w:t>
      </w:r>
      <w:r w:rsidR="005B6FBE" w:rsidRPr="007A7B1C">
        <w:rPr>
          <w:sz w:val="22"/>
        </w:rPr>
        <w:t xml:space="preserve"> the Principal Act are repealed and the following sections inserted in their stead:—</w:t>
      </w:r>
    </w:p>
    <w:p w:rsidR="00D03B38" w:rsidRPr="001347FC" w:rsidRDefault="00D03B38" w:rsidP="001347FC">
      <w:pPr>
        <w:spacing w:before="120" w:after="60"/>
        <w:rPr>
          <w:b/>
          <w:sz w:val="20"/>
        </w:rPr>
      </w:pPr>
      <w:r w:rsidRPr="001347FC">
        <w:rPr>
          <w:b/>
          <w:sz w:val="20"/>
        </w:rPr>
        <w:t>Adjustment of rates where child becomes student child.</w:t>
      </w:r>
    </w:p>
    <w:p w:rsidR="005B6FBE" w:rsidRPr="007A7B1C" w:rsidRDefault="00524B02" w:rsidP="001347FC">
      <w:pPr>
        <w:ind w:firstLine="432"/>
        <w:jc w:val="both"/>
        <w:rPr>
          <w:sz w:val="22"/>
        </w:rPr>
      </w:pPr>
      <w:r>
        <w:rPr>
          <w:sz w:val="22"/>
        </w:rPr>
        <w:t>“</w:t>
      </w:r>
      <w:r w:rsidR="005B6FBE" w:rsidRPr="00524B02">
        <w:rPr>
          <w:sz w:val="22"/>
        </w:rPr>
        <w:t>103</w:t>
      </w:r>
      <w:r w:rsidR="00D03B38" w:rsidRPr="00524B02">
        <w:rPr>
          <w:smallCaps/>
          <w:sz w:val="22"/>
        </w:rPr>
        <w:t>a</w:t>
      </w:r>
      <w:r w:rsidR="005B6FBE" w:rsidRPr="00524B02">
        <w:rPr>
          <w:sz w:val="22"/>
        </w:rPr>
        <w:t>. Where a child in respect of whom an endowment is payable becomes a student child, the rate of the endowment</w:t>
      </w:r>
      <w:r w:rsidR="005B6FBE" w:rsidRPr="007A7B1C">
        <w:rPr>
          <w:sz w:val="22"/>
        </w:rPr>
        <w:t xml:space="preserve"> in respect of that child or any other child is not affected by reason of that event in respect of the endowment period during which the child becomes a student child.</w:t>
      </w:r>
    </w:p>
    <w:p w:rsidR="00D03B38" w:rsidRPr="001347FC" w:rsidRDefault="00D03B38" w:rsidP="001347FC">
      <w:pPr>
        <w:spacing w:before="120" w:after="60"/>
        <w:rPr>
          <w:b/>
          <w:sz w:val="20"/>
        </w:rPr>
      </w:pPr>
      <w:r w:rsidRPr="001347FC">
        <w:rPr>
          <w:b/>
          <w:sz w:val="20"/>
        </w:rPr>
        <w:t>Adjustment of rates where there is a non-endowed child in family.</w:t>
      </w:r>
    </w:p>
    <w:p w:rsidR="005B6FBE" w:rsidRPr="007A7B1C" w:rsidRDefault="00524B02" w:rsidP="001347FC">
      <w:pPr>
        <w:ind w:firstLine="432"/>
        <w:jc w:val="both"/>
        <w:rPr>
          <w:sz w:val="22"/>
        </w:rPr>
      </w:pPr>
      <w:r>
        <w:rPr>
          <w:sz w:val="22"/>
        </w:rPr>
        <w:t>“</w:t>
      </w:r>
      <w:r w:rsidR="005B6FBE" w:rsidRPr="00524B02">
        <w:rPr>
          <w:sz w:val="22"/>
        </w:rPr>
        <w:t>103</w:t>
      </w:r>
      <w:r w:rsidR="00D03B38" w:rsidRPr="00524B02">
        <w:rPr>
          <w:smallCaps/>
          <w:sz w:val="22"/>
        </w:rPr>
        <w:t>b</w:t>
      </w:r>
      <w:r w:rsidR="005B6FBE" w:rsidRPr="00524B02">
        <w:rPr>
          <w:sz w:val="22"/>
        </w:rPr>
        <w:t xml:space="preserve">. In respect of any period during which an </w:t>
      </w:r>
      <w:proofErr w:type="spellStart"/>
      <w:r w:rsidR="005B6FBE" w:rsidRPr="00524B02">
        <w:rPr>
          <w:sz w:val="22"/>
        </w:rPr>
        <w:t>endowee</w:t>
      </w:r>
      <w:proofErr w:type="spellEnd"/>
      <w:r w:rsidR="005B6FBE" w:rsidRPr="00524B02">
        <w:rPr>
          <w:sz w:val="22"/>
        </w:rPr>
        <w:t xml:space="preserve"> has the custody, care and control of a child under</w:t>
      </w:r>
      <w:r w:rsidR="005B6FBE" w:rsidRPr="007A7B1C">
        <w:rPr>
          <w:sz w:val="22"/>
        </w:rPr>
        <w:t xml:space="preserve"> the age of sixteen years in respect of whom endowment is not payable (in this section referred to as </w:t>
      </w:r>
      <w:r>
        <w:rPr>
          <w:sz w:val="22"/>
        </w:rPr>
        <w:t>‘</w:t>
      </w:r>
      <w:r w:rsidR="005B6FBE" w:rsidRPr="007A7B1C">
        <w:rPr>
          <w:sz w:val="22"/>
        </w:rPr>
        <w:t>the excluded child</w:t>
      </w:r>
      <w:r>
        <w:rPr>
          <w:sz w:val="22"/>
        </w:rPr>
        <w:t>’</w:t>
      </w:r>
      <w:r w:rsidR="005B6FBE" w:rsidRPr="007A7B1C">
        <w:rPr>
          <w:sz w:val="22"/>
        </w:rPr>
        <w:t xml:space="preserve">), the Director-General may, if he thinks fit, authorize payment, in respect of every child under the age of sixteen years in respect of whom endowment is payable to the </w:t>
      </w:r>
      <w:proofErr w:type="spellStart"/>
      <w:r w:rsidR="005B6FBE" w:rsidRPr="007A7B1C">
        <w:rPr>
          <w:sz w:val="22"/>
        </w:rPr>
        <w:t>endowee</w:t>
      </w:r>
      <w:proofErr w:type="spellEnd"/>
      <w:r w:rsidR="005B6FBE" w:rsidRPr="007A7B1C">
        <w:rPr>
          <w:sz w:val="22"/>
        </w:rPr>
        <w:t>, of endowment at the rate that would be applicable—</w:t>
      </w:r>
    </w:p>
    <w:p w:rsidR="005B6FBE" w:rsidRPr="007A7B1C" w:rsidRDefault="001D3353" w:rsidP="001347FC">
      <w:pPr>
        <w:spacing w:before="60"/>
        <w:ind w:left="1008" w:hanging="432"/>
        <w:jc w:val="both"/>
        <w:rPr>
          <w:sz w:val="22"/>
        </w:rPr>
      </w:pPr>
      <w:r w:rsidRPr="001D3353">
        <w:rPr>
          <w:sz w:val="22"/>
        </w:rPr>
        <w:t>(</w:t>
      </w:r>
      <w:r w:rsidR="00D03B38" w:rsidRPr="007A7B1C">
        <w:rPr>
          <w:i/>
          <w:sz w:val="22"/>
        </w:rPr>
        <w:t>a</w:t>
      </w:r>
      <w:r w:rsidRPr="001D3353">
        <w:rPr>
          <w:sz w:val="22"/>
        </w:rPr>
        <w:t>)</w:t>
      </w:r>
      <w:r w:rsidR="00D03B38" w:rsidRPr="007A7B1C">
        <w:rPr>
          <w:i/>
          <w:sz w:val="22"/>
        </w:rPr>
        <w:t xml:space="preserve"> </w:t>
      </w:r>
      <w:r w:rsidR="005B6FBE" w:rsidRPr="007A7B1C">
        <w:rPr>
          <w:sz w:val="22"/>
        </w:rPr>
        <w:t>if the excluded child were a child in respect of whom endowment is payable; and</w:t>
      </w:r>
    </w:p>
    <w:p w:rsidR="005B6FBE" w:rsidRPr="007A7B1C" w:rsidRDefault="001D3353" w:rsidP="001347FC">
      <w:pPr>
        <w:spacing w:before="60"/>
        <w:ind w:left="1008" w:hanging="432"/>
        <w:jc w:val="both"/>
        <w:rPr>
          <w:sz w:val="22"/>
        </w:rPr>
      </w:pPr>
      <w:r w:rsidRPr="001D3353">
        <w:rPr>
          <w:sz w:val="22"/>
        </w:rPr>
        <w:t>(</w:t>
      </w:r>
      <w:r w:rsidR="00D03B38" w:rsidRPr="007A7B1C">
        <w:rPr>
          <w:i/>
          <w:sz w:val="22"/>
        </w:rPr>
        <w:t>b</w:t>
      </w:r>
      <w:r w:rsidRPr="001D3353">
        <w:rPr>
          <w:sz w:val="22"/>
        </w:rPr>
        <w:t>)</w:t>
      </w:r>
      <w:r w:rsidR="00D03B38" w:rsidRPr="007A7B1C">
        <w:rPr>
          <w:i/>
          <w:sz w:val="22"/>
        </w:rPr>
        <w:t xml:space="preserve"> </w:t>
      </w:r>
      <w:r w:rsidR="005B6FBE" w:rsidRPr="007A7B1C">
        <w:rPr>
          <w:sz w:val="22"/>
        </w:rPr>
        <w:t xml:space="preserve">where the excluded child is not older than every child under the age of sixteen years in respect of whom endowment is payable to the </w:t>
      </w:r>
      <w:proofErr w:type="spellStart"/>
      <w:r w:rsidR="005B6FBE" w:rsidRPr="007A7B1C">
        <w:rPr>
          <w:sz w:val="22"/>
        </w:rPr>
        <w:t>endowee</w:t>
      </w:r>
      <w:proofErr w:type="spellEnd"/>
      <w:r w:rsidR="005B6FBE" w:rsidRPr="007A7B1C">
        <w:rPr>
          <w:sz w:val="22"/>
        </w:rPr>
        <w:t>—if the excluded child were older than every such child.</w:t>
      </w:r>
      <w:r w:rsidR="00524B02">
        <w:rPr>
          <w:sz w:val="22"/>
        </w:rPr>
        <w:t>”</w:t>
      </w:r>
      <w:r w:rsidR="005B6FBE" w:rsidRPr="007A7B1C">
        <w:rPr>
          <w:sz w:val="22"/>
        </w:rPr>
        <w:t>.</w:t>
      </w:r>
    </w:p>
    <w:p w:rsidR="00D03B38" w:rsidRPr="007A7B1C" w:rsidRDefault="00D03B38" w:rsidP="001347FC">
      <w:pPr>
        <w:spacing w:before="120" w:after="60"/>
        <w:rPr>
          <w:b/>
          <w:sz w:val="22"/>
        </w:rPr>
      </w:pPr>
      <w:r w:rsidRPr="001347FC">
        <w:rPr>
          <w:b/>
          <w:sz w:val="20"/>
        </w:rPr>
        <w:t>Payment of endowment during temporary absence from Australia</w:t>
      </w:r>
      <w:r w:rsidRPr="007A7B1C">
        <w:rPr>
          <w:b/>
          <w:sz w:val="22"/>
        </w:rPr>
        <w:t>.</w:t>
      </w:r>
    </w:p>
    <w:p w:rsidR="005B6FBE" w:rsidRPr="007A7B1C" w:rsidRDefault="00D03B38" w:rsidP="001347FC">
      <w:pPr>
        <w:ind w:firstLine="432"/>
        <w:jc w:val="both"/>
        <w:rPr>
          <w:sz w:val="22"/>
        </w:rPr>
      </w:pPr>
      <w:r w:rsidRPr="007A7B1C">
        <w:rPr>
          <w:b/>
          <w:sz w:val="22"/>
        </w:rPr>
        <w:t>5.</w:t>
      </w:r>
      <w:r w:rsidR="001347FC">
        <w:rPr>
          <w:sz w:val="22"/>
        </w:rPr>
        <w:tab/>
      </w:r>
      <w:r w:rsidR="005B6FBE" w:rsidRPr="007A7B1C">
        <w:rPr>
          <w:sz w:val="22"/>
        </w:rPr>
        <w:t xml:space="preserve">Section 104 of the Principal Act is amended by adding at the end of sub-section (3.) the words </w:t>
      </w:r>
      <w:r w:rsidR="00524B02">
        <w:rPr>
          <w:sz w:val="22"/>
        </w:rPr>
        <w:t>“</w:t>
      </w:r>
      <w:r w:rsidR="005B6FBE" w:rsidRPr="007A7B1C">
        <w:rPr>
          <w:sz w:val="22"/>
        </w:rPr>
        <w:t xml:space="preserve">but, where an endowment would, but for this sub-section, be payable in respect of a child (in this sub-section referred to </w:t>
      </w:r>
      <w:r w:rsidR="005B6FBE" w:rsidRPr="001D3353">
        <w:rPr>
          <w:sz w:val="22"/>
        </w:rPr>
        <w:t xml:space="preserve">as </w:t>
      </w:r>
      <w:r w:rsidR="00524B02">
        <w:rPr>
          <w:sz w:val="22"/>
        </w:rPr>
        <w:t>‘</w:t>
      </w:r>
      <w:r w:rsidR="005B6FBE" w:rsidRPr="001D3353">
        <w:rPr>
          <w:sz w:val="22"/>
        </w:rPr>
        <w:t>the excluded child</w:t>
      </w:r>
      <w:r w:rsidR="00524B02">
        <w:rPr>
          <w:sz w:val="22"/>
        </w:rPr>
        <w:t>’</w:t>
      </w:r>
      <w:r w:rsidR="005B6FBE" w:rsidRPr="001D3353">
        <w:rPr>
          <w:sz w:val="22"/>
        </w:rPr>
        <w:t xml:space="preserve">), an endowment in respect of any other child is, subject to section one hundred and three </w:t>
      </w:r>
      <w:r w:rsidRPr="001D3353">
        <w:rPr>
          <w:smallCaps/>
          <w:sz w:val="22"/>
        </w:rPr>
        <w:t xml:space="preserve">b </w:t>
      </w:r>
      <w:r w:rsidR="005B6FBE" w:rsidRPr="001D3353">
        <w:rPr>
          <w:sz w:val="22"/>
        </w:rPr>
        <w:t>of this Act, payable at the rate that would be applicable if an endowment were payable in respect of the excluded</w:t>
      </w:r>
      <w:r w:rsidR="005B6FBE" w:rsidRPr="007A7B1C">
        <w:rPr>
          <w:sz w:val="22"/>
        </w:rPr>
        <w:t xml:space="preserve"> child.</w:t>
      </w:r>
      <w:r w:rsidR="00524B02">
        <w:rPr>
          <w:sz w:val="22"/>
        </w:rPr>
        <w:t>”</w:t>
      </w:r>
      <w:r w:rsidR="005B6FBE" w:rsidRPr="007A7B1C">
        <w:rPr>
          <w:sz w:val="22"/>
        </w:rPr>
        <w:t>.</w:t>
      </w:r>
    </w:p>
    <w:p w:rsidR="00D03B38" w:rsidRPr="001347FC" w:rsidRDefault="00D03B38" w:rsidP="001347FC">
      <w:pPr>
        <w:spacing w:before="120" w:after="60"/>
        <w:rPr>
          <w:b/>
          <w:sz w:val="20"/>
        </w:rPr>
      </w:pPr>
      <w:r w:rsidRPr="001347FC">
        <w:rPr>
          <w:b/>
          <w:sz w:val="20"/>
        </w:rPr>
        <w:t>Saving.</w:t>
      </w:r>
    </w:p>
    <w:p w:rsidR="005B6FBE" w:rsidRDefault="00D03B38" w:rsidP="001347FC">
      <w:pPr>
        <w:ind w:firstLine="432"/>
        <w:jc w:val="both"/>
        <w:rPr>
          <w:sz w:val="22"/>
        </w:rPr>
      </w:pPr>
      <w:r w:rsidRPr="007A7B1C">
        <w:rPr>
          <w:b/>
          <w:sz w:val="22"/>
        </w:rPr>
        <w:t>6.</w:t>
      </w:r>
      <w:r w:rsidR="001347FC">
        <w:rPr>
          <w:sz w:val="22"/>
        </w:rPr>
        <w:tab/>
      </w:r>
      <w:r w:rsidR="005B6FBE" w:rsidRPr="007A7B1C">
        <w:rPr>
          <w:sz w:val="22"/>
        </w:rPr>
        <w:t>The amendments made by this Act shall not be taken to affect the rate at which any endowment is payable in respect of an endowment period that ended before the date of commencement of this Act.</w:t>
      </w:r>
    </w:p>
    <w:p w:rsidR="001347FC" w:rsidRPr="001347FC" w:rsidRDefault="001347FC" w:rsidP="001347FC">
      <w:pPr>
        <w:pBdr>
          <w:bottom w:val="double" w:sz="4" w:space="1" w:color="auto"/>
        </w:pBdr>
        <w:jc w:val="center"/>
        <w:rPr>
          <w:sz w:val="16"/>
        </w:rPr>
      </w:pPr>
    </w:p>
    <w:sectPr w:rsidR="001347FC" w:rsidRPr="001347FC" w:rsidSect="00530F87">
      <w:headerReference w:type="even" r:id="rId7"/>
      <w:headerReference w:type="default" r:id="rId8"/>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F6" w:rsidRDefault="00381CF6">
      <w:r>
        <w:separator/>
      </w:r>
    </w:p>
  </w:endnote>
  <w:endnote w:type="continuationSeparator" w:id="0">
    <w:p w:rsidR="00381CF6" w:rsidRDefault="0038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F6" w:rsidRDefault="00381CF6">
      <w:r>
        <w:separator/>
      </w:r>
    </w:p>
  </w:footnote>
  <w:footnote w:type="continuationSeparator" w:id="0">
    <w:p w:rsidR="00381CF6" w:rsidRDefault="0038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05" w:rsidRPr="00F13805" w:rsidRDefault="00F13805" w:rsidP="00F13805">
    <w:pPr>
      <w:pStyle w:val="Header"/>
      <w:tabs>
        <w:tab w:val="clear" w:pos="9360"/>
        <w:tab w:val="right" w:pos="9000"/>
      </w:tabs>
      <w:rPr>
        <w:sz w:val="20"/>
      </w:rPr>
    </w:pPr>
    <w:r w:rsidRPr="00F13805">
      <w:rPr>
        <w:sz w:val="20"/>
      </w:rPr>
      <w:t>No. 61</w:t>
    </w:r>
    <w:r w:rsidRPr="00F13805">
      <w:rPr>
        <w:sz w:val="20"/>
      </w:rPr>
      <w:tab/>
    </w:r>
    <w:r w:rsidRPr="00F13805">
      <w:rPr>
        <w:i/>
        <w:sz w:val="20"/>
      </w:rPr>
      <w:t xml:space="preserve">Social Services </w:t>
    </w:r>
    <w:r w:rsidR="001D3353" w:rsidRPr="001D3353">
      <w:rPr>
        <w:sz w:val="20"/>
      </w:rPr>
      <w:t>(</w:t>
    </w:r>
    <w:r w:rsidRPr="00F13805">
      <w:rPr>
        <w:i/>
        <w:sz w:val="20"/>
      </w:rPr>
      <w:t xml:space="preserve">No. </w:t>
    </w:r>
    <w:r w:rsidRPr="00F13805">
      <w:rPr>
        <w:sz w:val="20"/>
      </w:rPr>
      <w:t>2)</w:t>
    </w:r>
    <w:r w:rsidRPr="00F13805">
      <w:rPr>
        <w:sz w:val="20"/>
      </w:rPr>
      <w:tab/>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FC" w:rsidRPr="001347FC" w:rsidRDefault="001347FC" w:rsidP="001347FC">
    <w:pPr>
      <w:pStyle w:val="Header"/>
      <w:tabs>
        <w:tab w:val="clear" w:pos="9360"/>
        <w:tab w:val="right" w:pos="9000"/>
      </w:tabs>
      <w:rPr>
        <w:sz w:val="20"/>
      </w:rPr>
    </w:pPr>
    <w:r w:rsidRPr="001347FC">
      <w:rPr>
        <w:sz w:val="20"/>
      </w:rPr>
      <w:t>1967</w:t>
    </w:r>
    <w:r w:rsidRPr="001347FC">
      <w:rPr>
        <w:sz w:val="20"/>
      </w:rPr>
      <w:tab/>
    </w:r>
    <w:r w:rsidRPr="001347FC">
      <w:rPr>
        <w:i/>
        <w:sz w:val="20"/>
      </w:rPr>
      <w:t xml:space="preserve">Social Services </w:t>
    </w:r>
    <w:r w:rsidR="001D3353" w:rsidRPr="001D3353">
      <w:rPr>
        <w:sz w:val="20"/>
      </w:rPr>
      <w:t>(</w:t>
    </w:r>
    <w:r w:rsidRPr="001347FC">
      <w:rPr>
        <w:i/>
        <w:sz w:val="20"/>
      </w:rPr>
      <w:t xml:space="preserve">No. </w:t>
    </w:r>
    <w:r w:rsidRPr="001347FC">
      <w:rPr>
        <w:sz w:val="20"/>
      </w:rPr>
      <w:t>2)</w:t>
    </w:r>
    <w:r w:rsidRPr="001347FC">
      <w:rPr>
        <w:sz w:val="20"/>
      </w:rPr>
      <w:tab/>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D03B38"/>
    <w:rsid w:val="001347FC"/>
    <w:rsid w:val="001433F0"/>
    <w:rsid w:val="00163BCE"/>
    <w:rsid w:val="00197609"/>
    <w:rsid w:val="001C20E6"/>
    <w:rsid w:val="001D3353"/>
    <w:rsid w:val="002C1A45"/>
    <w:rsid w:val="00344032"/>
    <w:rsid w:val="00381CF6"/>
    <w:rsid w:val="00524B02"/>
    <w:rsid w:val="00530F87"/>
    <w:rsid w:val="00582538"/>
    <w:rsid w:val="005B6FBE"/>
    <w:rsid w:val="005C1544"/>
    <w:rsid w:val="007766A3"/>
    <w:rsid w:val="007A7B1C"/>
    <w:rsid w:val="00A01F44"/>
    <w:rsid w:val="00A319E3"/>
    <w:rsid w:val="00A67E7E"/>
    <w:rsid w:val="00AF6A35"/>
    <w:rsid w:val="00CA2C7F"/>
    <w:rsid w:val="00CC2FCA"/>
    <w:rsid w:val="00D03B38"/>
    <w:rsid w:val="00E40316"/>
    <w:rsid w:val="00E7587D"/>
    <w:rsid w:val="00F1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DefaultParagraphFont"/>
    <w:uiPriority w:val="99"/>
    <w:rPr>
      <w:rFonts w:ascii="Times New Roman" w:hAnsi="Times New Roman" w:cs="Times New Roman"/>
      <w:b/>
      <w:bCs/>
      <w:spacing w:val="-10"/>
      <w:sz w:val="36"/>
      <w:szCs w:val="36"/>
    </w:rPr>
  </w:style>
  <w:style w:type="character" w:customStyle="1" w:styleId="FontStyle13">
    <w:name w:val="Font Style13"/>
    <w:basedOn w:val="DefaultParagraphFont"/>
    <w:uiPriority w:val="99"/>
    <w:rPr>
      <w:rFonts w:ascii="Times New Roman" w:hAnsi="Times New Roman" w:cs="Times New Roman"/>
      <w:b/>
      <w:bCs/>
      <w:spacing w:val="-10"/>
      <w:sz w:val="24"/>
      <w:szCs w:val="24"/>
    </w:rPr>
  </w:style>
  <w:style w:type="character" w:customStyle="1" w:styleId="FontStyle14">
    <w:name w:val="Font Style14"/>
    <w:basedOn w:val="DefaultParagraphFont"/>
    <w:uiPriority w:val="99"/>
    <w:rPr>
      <w:rFonts w:ascii="Times New Roman" w:hAnsi="Times New Roman" w:cs="Times New Roman"/>
      <w:sz w:val="26"/>
      <w:szCs w:val="26"/>
    </w:rPr>
  </w:style>
  <w:style w:type="character" w:customStyle="1" w:styleId="FontStyle15">
    <w:name w:val="Font Style15"/>
    <w:basedOn w:val="DefaultParagraphFont"/>
    <w:uiPriority w:val="99"/>
    <w:rPr>
      <w:rFonts w:ascii="Times New Roman" w:hAnsi="Times New Roman" w:cs="Times New Roman"/>
      <w:i/>
      <w:iCs/>
      <w:sz w:val="22"/>
      <w:szCs w:val="22"/>
    </w:rPr>
  </w:style>
  <w:style w:type="character" w:customStyle="1" w:styleId="FontStyle16">
    <w:name w:val="Font Style16"/>
    <w:basedOn w:val="DefaultParagraphFont"/>
    <w:uiPriority w:val="99"/>
    <w:rPr>
      <w:rFonts w:ascii="Sylfaen" w:hAnsi="Sylfaen" w:cs="Sylfaen"/>
      <w:sz w:val="52"/>
      <w:szCs w:val="52"/>
    </w:rPr>
  </w:style>
  <w:style w:type="character" w:customStyle="1" w:styleId="FontStyle17">
    <w:name w:val="Font Style17"/>
    <w:basedOn w:val="DefaultParagraphFont"/>
    <w:uiPriority w:val="99"/>
    <w:rPr>
      <w:rFonts w:ascii="Times New Roman" w:hAnsi="Times New Roman" w:cs="Times New Roman"/>
      <w:b/>
      <w:bCs/>
      <w:spacing w:val="-10"/>
      <w:sz w:val="22"/>
      <w:szCs w:val="22"/>
    </w:rPr>
  </w:style>
  <w:style w:type="character" w:customStyle="1" w:styleId="FontStyle18">
    <w:name w:val="Font Style18"/>
    <w:basedOn w:val="DefaultParagraphFont"/>
    <w:uiPriority w:val="99"/>
    <w:rPr>
      <w:rFonts w:ascii="Garamond" w:hAnsi="Garamond" w:cs="Garamond"/>
      <w:b/>
      <w:bCs/>
      <w:i/>
      <w:iCs/>
      <w:spacing w:val="30"/>
      <w:sz w:val="22"/>
      <w:szCs w:val="22"/>
    </w:rPr>
  </w:style>
  <w:style w:type="character" w:customStyle="1" w:styleId="FontStyle19">
    <w:name w:val="Font Style19"/>
    <w:basedOn w:val="DefaultParagraphFont"/>
    <w:uiPriority w:val="99"/>
    <w:rPr>
      <w:rFonts w:ascii="Constantia" w:hAnsi="Constantia" w:cs="Constantia"/>
      <w:b/>
      <w:bCs/>
      <w:sz w:val="12"/>
      <w:szCs w:val="12"/>
    </w:rPr>
  </w:style>
  <w:style w:type="character" w:customStyle="1" w:styleId="FontStyle20">
    <w:name w:val="Font Style20"/>
    <w:basedOn w:val="DefaultParagraphFont"/>
    <w:uiPriority w:val="99"/>
    <w:rPr>
      <w:rFonts w:ascii="Constantia" w:hAnsi="Constantia" w:cs="Constantia"/>
      <w:b/>
      <w:bCs/>
      <w:sz w:val="12"/>
      <w:szCs w:val="12"/>
    </w:rPr>
  </w:style>
  <w:style w:type="character" w:customStyle="1" w:styleId="FontStyle21">
    <w:name w:val="Font Style21"/>
    <w:basedOn w:val="DefaultParagraphFont"/>
    <w:uiPriority w:val="99"/>
    <w:rPr>
      <w:rFonts w:ascii="Times New Roman" w:hAnsi="Times New Roman" w:cs="Times New Roman"/>
      <w:b/>
      <w:bCs/>
      <w:smallCaps/>
      <w:sz w:val="20"/>
      <w:szCs w:val="20"/>
    </w:rPr>
  </w:style>
  <w:style w:type="character" w:customStyle="1" w:styleId="FontStyle22">
    <w:name w:val="Font Style22"/>
    <w:basedOn w:val="DefaultParagraphFont"/>
    <w:uiPriority w:val="99"/>
    <w:rPr>
      <w:rFonts w:ascii="Times New Roman" w:hAnsi="Times New Roman" w:cs="Times New Roman"/>
      <w:b/>
      <w:bCs/>
      <w:sz w:val="22"/>
      <w:szCs w:val="22"/>
    </w:rPr>
  </w:style>
  <w:style w:type="character" w:customStyle="1" w:styleId="FontStyle23">
    <w:name w:val="Font Style23"/>
    <w:basedOn w:val="DefaultParagraphFont"/>
    <w:uiPriority w:val="99"/>
    <w:rPr>
      <w:rFonts w:ascii="Times New Roman" w:hAnsi="Times New Roman" w:cs="Times New Roman"/>
      <w:b/>
      <w:bCs/>
      <w:sz w:val="12"/>
      <w:szCs w:val="12"/>
    </w:rPr>
  </w:style>
  <w:style w:type="character" w:customStyle="1" w:styleId="FontStyle24">
    <w:name w:val="Font Style24"/>
    <w:basedOn w:val="DefaultParagraphFont"/>
    <w:uiPriority w:val="99"/>
    <w:rPr>
      <w:rFonts w:ascii="Times New Roman" w:hAnsi="Times New Roman" w:cs="Times New Roman"/>
      <w:sz w:val="22"/>
      <w:szCs w:val="22"/>
    </w:rPr>
  </w:style>
  <w:style w:type="paragraph" w:styleId="Header">
    <w:name w:val="header"/>
    <w:basedOn w:val="Normal"/>
    <w:link w:val="HeaderChar"/>
    <w:uiPriority w:val="99"/>
    <w:unhideWhenUsed/>
    <w:rsid w:val="00F13805"/>
    <w:pPr>
      <w:tabs>
        <w:tab w:val="center" w:pos="4680"/>
        <w:tab w:val="right" w:pos="9360"/>
      </w:tabs>
    </w:pPr>
  </w:style>
  <w:style w:type="character" w:customStyle="1" w:styleId="HeaderChar">
    <w:name w:val="Header Char"/>
    <w:basedOn w:val="DefaultParagraphFont"/>
    <w:link w:val="Header"/>
    <w:uiPriority w:val="99"/>
    <w:locked/>
    <w:rsid w:val="00F13805"/>
    <w:rPr>
      <w:rFonts w:hAnsi="Times New Roman" w:cs="Times New Roman"/>
      <w:sz w:val="24"/>
      <w:szCs w:val="24"/>
    </w:rPr>
  </w:style>
  <w:style w:type="paragraph" w:styleId="Footer">
    <w:name w:val="footer"/>
    <w:basedOn w:val="Normal"/>
    <w:link w:val="FooterChar"/>
    <w:uiPriority w:val="99"/>
    <w:unhideWhenUsed/>
    <w:rsid w:val="00F13805"/>
    <w:pPr>
      <w:tabs>
        <w:tab w:val="center" w:pos="4680"/>
        <w:tab w:val="right" w:pos="9360"/>
      </w:tabs>
    </w:pPr>
  </w:style>
  <w:style w:type="character" w:customStyle="1" w:styleId="FooterChar">
    <w:name w:val="Footer Char"/>
    <w:basedOn w:val="DefaultParagraphFont"/>
    <w:link w:val="Footer"/>
    <w:uiPriority w:val="99"/>
    <w:locked/>
    <w:rsid w:val="00F13805"/>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762</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5</cp:revision>
  <dcterms:created xsi:type="dcterms:W3CDTF">2017-06-17T05:40:00Z</dcterms:created>
  <dcterms:modified xsi:type="dcterms:W3CDTF">2019-01-06T22:25:00Z</dcterms:modified>
</cp:coreProperties>
</file>