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EF5" w:rsidRPr="00412F90" w:rsidRDefault="001A03B7" w:rsidP="00B26EF5">
      <w:pPr>
        <w:spacing w:after="0" w:line="240" w:lineRule="auto"/>
        <w:jc w:val="center"/>
        <w:rPr>
          <w:rFonts w:ascii="Times New Roman" w:hAnsi="Times New Roman" w:cs="Times New Roman"/>
          <w:b/>
          <w:sz w:val="36"/>
        </w:rPr>
      </w:pPr>
      <w:r w:rsidRPr="00412F90">
        <w:rPr>
          <w:rFonts w:ascii="Times New Roman" w:hAnsi="Times New Roman" w:cs="Times New Roman"/>
          <w:b/>
          <w:sz w:val="36"/>
        </w:rPr>
        <w:t>Sales Tax (Exemptions and Classifications)</w:t>
      </w:r>
    </w:p>
    <w:p w:rsidR="00D6714C" w:rsidRPr="00B26EF5" w:rsidRDefault="001A03B7" w:rsidP="00B26EF5">
      <w:pPr>
        <w:spacing w:before="120" w:after="120" w:line="240" w:lineRule="auto"/>
        <w:jc w:val="center"/>
        <w:rPr>
          <w:rFonts w:ascii="Times New Roman" w:hAnsi="Times New Roman" w:cs="Times New Roman"/>
          <w:b/>
          <w:sz w:val="28"/>
        </w:rPr>
      </w:pPr>
      <w:r w:rsidRPr="00B26EF5">
        <w:rPr>
          <w:rFonts w:ascii="Times New Roman" w:hAnsi="Times New Roman" w:cs="Times New Roman"/>
          <w:b/>
          <w:sz w:val="28"/>
        </w:rPr>
        <w:t>No. 26 of 1966</w:t>
      </w:r>
    </w:p>
    <w:p w:rsidR="00D6714C" w:rsidRPr="00B26EF5" w:rsidRDefault="00D6714C" w:rsidP="00B26EF5">
      <w:pPr>
        <w:spacing w:before="120" w:after="120" w:line="240" w:lineRule="auto"/>
        <w:jc w:val="center"/>
        <w:rPr>
          <w:rFonts w:ascii="Times New Roman" w:hAnsi="Times New Roman" w:cs="Times New Roman"/>
          <w:sz w:val="26"/>
        </w:rPr>
      </w:pPr>
      <w:r w:rsidRPr="00B26EF5">
        <w:rPr>
          <w:rFonts w:ascii="Times New Roman" w:hAnsi="Times New Roman" w:cs="Times New Roman"/>
          <w:sz w:val="26"/>
        </w:rPr>
        <w:t>An Act relating to Sales Tax Exemptions and Classifications.</w:t>
      </w:r>
    </w:p>
    <w:p w:rsidR="00D6714C" w:rsidRPr="00EB1B97" w:rsidRDefault="001A03B7" w:rsidP="00B26EF5">
      <w:pPr>
        <w:spacing w:before="120" w:after="120" w:line="240" w:lineRule="auto"/>
        <w:jc w:val="right"/>
        <w:rPr>
          <w:rFonts w:ascii="Times New Roman" w:hAnsi="Times New Roman" w:cs="Times New Roman"/>
          <w:sz w:val="26"/>
        </w:rPr>
      </w:pPr>
      <w:r w:rsidRPr="00EB1B97">
        <w:rPr>
          <w:rFonts w:ascii="Times New Roman" w:hAnsi="Times New Roman" w:cs="Times New Roman"/>
          <w:sz w:val="26"/>
        </w:rPr>
        <w:t>[Assented to 24 May, 1966]</w:t>
      </w:r>
    </w:p>
    <w:p w:rsidR="00D6714C" w:rsidRPr="00EB1B97" w:rsidRDefault="00BA7A5D" w:rsidP="00E1766D">
      <w:pPr>
        <w:spacing w:after="0" w:line="240" w:lineRule="auto"/>
        <w:jc w:val="both"/>
        <w:rPr>
          <w:rFonts w:ascii="Times New Roman" w:hAnsi="Times New Roman"/>
        </w:rPr>
      </w:pPr>
      <w:r w:rsidRPr="00EB1B97">
        <w:rPr>
          <w:rFonts w:ascii="Times New Roman" w:hAnsi="Times New Roman"/>
        </w:rPr>
        <w:t>B</w:t>
      </w:r>
      <w:r w:rsidR="00D6714C" w:rsidRPr="00EB1B97">
        <w:rPr>
          <w:rFonts w:ascii="Times New Roman" w:hAnsi="Times New Roman"/>
        </w:rPr>
        <w:t>E it enacted by the Queen</w:t>
      </w:r>
      <w:r w:rsidR="001440D3" w:rsidRPr="00EB1B97">
        <w:rPr>
          <w:rFonts w:ascii="Times New Roman" w:hAnsi="Times New Roman"/>
        </w:rPr>
        <w:t>’</w:t>
      </w:r>
      <w:r w:rsidR="00D6714C" w:rsidRPr="00EB1B97">
        <w:rPr>
          <w:rFonts w:ascii="Times New Roman" w:hAnsi="Times New Roman"/>
        </w:rPr>
        <w:t>s Most Excellent Majesty, the Senate,</w:t>
      </w:r>
      <w:r w:rsidR="00AC3A76" w:rsidRPr="00EB1B97">
        <w:rPr>
          <w:rFonts w:ascii="Times New Roman" w:hAnsi="Times New Roman"/>
        </w:rPr>
        <w:t xml:space="preserve"> </w:t>
      </w:r>
      <w:r w:rsidR="00D6714C" w:rsidRPr="00EB1B97">
        <w:rPr>
          <w:rFonts w:ascii="Times New Roman" w:hAnsi="Times New Roman"/>
        </w:rPr>
        <w:t>and</w:t>
      </w:r>
      <w:r w:rsidR="001440D3" w:rsidRPr="00EB1B97">
        <w:rPr>
          <w:rFonts w:ascii="Times New Roman" w:hAnsi="Times New Roman"/>
        </w:rPr>
        <w:t xml:space="preserve"> </w:t>
      </w:r>
      <w:r w:rsidR="00D6714C" w:rsidRPr="00EB1B97">
        <w:rPr>
          <w:rFonts w:ascii="Times New Roman" w:hAnsi="Times New Roman"/>
        </w:rPr>
        <w:t>the</w:t>
      </w:r>
      <w:r w:rsidR="001440D3" w:rsidRPr="00EB1B97">
        <w:rPr>
          <w:rFonts w:ascii="Times New Roman" w:hAnsi="Times New Roman"/>
        </w:rPr>
        <w:t xml:space="preserve"> </w:t>
      </w:r>
      <w:r w:rsidR="00D6714C" w:rsidRPr="00EB1B97">
        <w:rPr>
          <w:rFonts w:ascii="Times New Roman" w:hAnsi="Times New Roman"/>
        </w:rPr>
        <w:t>House</w:t>
      </w:r>
      <w:r w:rsidR="001440D3" w:rsidRPr="00EB1B97">
        <w:rPr>
          <w:rFonts w:ascii="Times New Roman" w:hAnsi="Times New Roman"/>
        </w:rPr>
        <w:t xml:space="preserve"> </w:t>
      </w:r>
      <w:r w:rsidR="00D6714C" w:rsidRPr="00EB1B97">
        <w:rPr>
          <w:rFonts w:ascii="Times New Roman" w:hAnsi="Times New Roman"/>
        </w:rPr>
        <w:t>of</w:t>
      </w:r>
      <w:r w:rsidR="001440D3" w:rsidRPr="00EB1B97">
        <w:rPr>
          <w:rFonts w:ascii="Times New Roman" w:hAnsi="Times New Roman"/>
        </w:rPr>
        <w:t xml:space="preserve"> </w:t>
      </w:r>
      <w:r w:rsidR="00D6714C" w:rsidRPr="00EB1B97">
        <w:rPr>
          <w:rFonts w:ascii="Times New Roman" w:hAnsi="Times New Roman"/>
        </w:rPr>
        <w:t>Representatives</w:t>
      </w:r>
      <w:r w:rsidR="001440D3" w:rsidRPr="00EB1B97">
        <w:rPr>
          <w:rFonts w:ascii="Times New Roman" w:hAnsi="Times New Roman"/>
        </w:rPr>
        <w:t xml:space="preserve"> </w:t>
      </w:r>
      <w:r w:rsidR="00D6714C" w:rsidRPr="00EB1B97">
        <w:rPr>
          <w:rFonts w:ascii="Times New Roman" w:hAnsi="Times New Roman"/>
        </w:rPr>
        <w:t>of the Commonwealth of Australia, as follows:—</w:t>
      </w:r>
    </w:p>
    <w:p w:rsidR="00D6714C" w:rsidRPr="000777AF" w:rsidRDefault="001A03B7" w:rsidP="000777AF">
      <w:pPr>
        <w:spacing w:before="120" w:after="60" w:line="240" w:lineRule="auto"/>
        <w:jc w:val="both"/>
        <w:rPr>
          <w:rFonts w:ascii="Times New Roman" w:hAnsi="Times New Roman" w:cs="Times New Roman"/>
          <w:b/>
          <w:sz w:val="20"/>
        </w:rPr>
      </w:pPr>
      <w:r w:rsidRPr="000777AF">
        <w:rPr>
          <w:rFonts w:ascii="Times New Roman" w:hAnsi="Times New Roman" w:cs="Times New Roman"/>
          <w:b/>
          <w:sz w:val="20"/>
        </w:rPr>
        <w:t>Short title and citation.</w:t>
      </w:r>
    </w:p>
    <w:p w:rsidR="00D6714C" w:rsidRPr="00AC1999" w:rsidRDefault="001A03B7" w:rsidP="000777AF">
      <w:pPr>
        <w:spacing w:after="0" w:line="240" w:lineRule="auto"/>
        <w:ind w:firstLine="432"/>
        <w:jc w:val="both"/>
        <w:rPr>
          <w:rFonts w:ascii="Times New Roman" w:hAnsi="Times New Roman"/>
        </w:rPr>
      </w:pPr>
      <w:r w:rsidRPr="00AC1999">
        <w:rPr>
          <w:rFonts w:ascii="Times New Roman" w:hAnsi="Times New Roman"/>
          <w:b/>
        </w:rPr>
        <w:t>1.</w:t>
      </w:r>
      <w:r w:rsidR="00D6714C" w:rsidRPr="00AC1999">
        <w:rPr>
          <w:rFonts w:ascii="Times New Roman" w:hAnsi="Times New Roman"/>
        </w:rPr>
        <w:t>—(1.)</w:t>
      </w:r>
      <w:r w:rsidR="000777AF">
        <w:rPr>
          <w:rFonts w:ascii="Times New Roman" w:hAnsi="Times New Roman"/>
        </w:rPr>
        <w:tab/>
      </w:r>
      <w:r w:rsidR="00D6714C" w:rsidRPr="00AC1999">
        <w:rPr>
          <w:rFonts w:ascii="Times New Roman" w:hAnsi="Times New Roman"/>
        </w:rPr>
        <w:t xml:space="preserve">This Act may be cited as the </w:t>
      </w:r>
      <w:r w:rsidRPr="00AC1999">
        <w:rPr>
          <w:rFonts w:ascii="Times New Roman" w:hAnsi="Times New Roman"/>
          <w:i/>
        </w:rPr>
        <w:t xml:space="preserve">Sales Tax </w:t>
      </w:r>
      <w:r w:rsidRPr="00EB1B97">
        <w:rPr>
          <w:rFonts w:ascii="Times New Roman" w:hAnsi="Times New Roman"/>
        </w:rPr>
        <w:t>(</w:t>
      </w:r>
      <w:r w:rsidRPr="00AC1999">
        <w:rPr>
          <w:rFonts w:ascii="Times New Roman" w:hAnsi="Times New Roman"/>
          <w:i/>
        </w:rPr>
        <w:t>Exemptions and Classifications</w:t>
      </w:r>
      <w:r w:rsidRPr="00EB1B97">
        <w:rPr>
          <w:rFonts w:ascii="Times New Roman" w:hAnsi="Times New Roman"/>
        </w:rPr>
        <w:t xml:space="preserve">) </w:t>
      </w:r>
      <w:r w:rsidRPr="00AC1999">
        <w:rPr>
          <w:rFonts w:ascii="Times New Roman" w:hAnsi="Times New Roman"/>
          <w:i/>
        </w:rPr>
        <w:t xml:space="preserve">Act </w:t>
      </w:r>
      <w:r w:rsidR="00D6714C" w:rsidRPr="00AC1999">
        <w:rPr>
          <w:rFonts w:ascii="Times New Roman" w:hAnsi="Times New Roman"/>
        </w:rPr>
        <w:t>1966.</w:t>
      </w:r>
    </w:p>
    <w:p w:rsidR="00D6714C" w:rsidRPr="00AC1999" w:rsidRDefault="00D6714C" w:rsidP="00B424CA">
      <w:pPr>
        <w:tabs>
          <w:tab w:val="left" w:pos="1080"/>
        </w:tabs>
        <w:spacing w:after="0" w:line="240" w:lineRule="auto"/>
        <w:ind w:firstLine="432"/>
        <w:jc w:val="both"/>
        <w:rPr>
          <w:rFonts w:ascii="Times New Roman" w:hAnsi="Times New Roman"/>
        </w:rPr>
      </w:pPr>
      <w:r w:rsidRPr="00AC1999">
        <w:rPr>
          <w:rFonts w:ascii="Times New Roman" w:hAnsi="Times New Roman"/>
        </w:rPr>
        <w:t>(2.)</w:t>
      </w:r>
      <w:r w:rsidR="00D068B6">
        <w:rPr>
          <w:rFonts w:ascii="Times New Roman" w:hAnsi="Times New Roman"/>
        </w:rPr>
        <w:tab/>
      </w:r>
      <w:r w:rsidRPr="00AC1999">
        <w:rPr>
          <w:rFonts w:ascii="Times New Roman" w:hAnsi="Times New Roman"/>
        </w:rPr>
        <w:t xml:space="preserve">The </w:t>
      </w:r>
      <w:r w:rsidR="001A03B7" w:rsidRPr="00AC1999">
        <w:rPr>
          <w:rFonts w:ascii="Times New Roman" w:hAnsi="Times New Roman"/>
          <w:i/>
        </w:rPr>
        <w:t xml:space="preserve">Sales Tax </w:t>
      </w:r>
      <w:r w:rsidR="001A03B7" w:rsidRPr="00EB1B97">
        <w:rPr>
          <w:rFonts w:ascii="Times New Roman" w:hAnsi="Times New Roman"/>
        </w:rPr>
        <w:t>(</w:t>
      </w:r>
      <w:r w:rsidR="001A03B7" w:rsidRPr="00AC1999">
        <w:rPr>
          <w:rFonts w:ascii="Times New Roman" w:hAnsi="Times New Roman"/>
          <w:i/>
        </w:rPr>
        <w:t>Exemptions and Classifications</w:t>
      </w:r>
      <w:r w:rsidR="001A03B7" w:rsidRPr="00EB1B97">
        <w:rPr>
          <w:rFonts w:ascii="Times New Roman" w:hAnsi="Times New Roman"/>
        </w:rPr>
        <w:t>)</w:t>
      </w:r>
      <w:r w:rsidR="001A03B7" w:rsidRPr="00AC1999">
        <w:rPr>
          <w:rFonts w:ascii="Times New Roman" w:hAnsi="Times New Roman"/>
          <w:i/>
        </w:rPr>
        <w:t xml:space="preserve"> Act </w:t>
      </w:r>
      <w:r w:rsidR="005C1C80">
        <w:rPr>
          <w:rFonts w:ascii="Times New Roman" w:hAnsi="Times New Roman"/>
        </w:rPr>
        <w:t>1935–</w:t>
      </w:r>
      <w:r w:rsidR="00EB1B97">
        <w:rPr>
          <w:rFonts w:ascii="Times New Roman" w:hAnsi="Times New Roman"/>
        </w:rPr>
        <w:t>1965</w:t>
      </w:r>
      <w:r w:rsidRPr="00AC1999">
        <w:rPr>
          <w:rFonts w:ascii="Times New Roman" w:hAnsi="Times New Roman"/>
        </w:rPr>
        <w:t xml:space="preserve"> is in this Act referred to as the Principal Act.</w:t>
      </w:r>
    </w:p>
    <w:p w:rsidR="00D6714C" w:rsidRPr="00AC1999" w:rsidRDefault="00D6714C" w:rsidP="00A15AF4">
      <w:pPr>
        <w:tabs>
          <w:tab w:val="left" w:pos="1080"/>
        </w:tabs>
        <w:spacing w:after="0" w:line="240" w:lineRule="auto"/>
        <w:ind w:firstLine="432"/>
        <w:jc w:val="both"/>
        <w:rPr>
          <w:rFonts w:ascii="Times New Roman" w:hAnsi="Times New Roman"/>
        </w:rPr>
      </w:pPr>
      <w:r w:rsidRPr="00AC1999">
        <w:rPr>
          <w:rFonts w:ascii="Times New Roman" w:hAnsi="Times New Roman"/>
        </w:rPr>
        <w:t>(3.)</w:t>
      </w:r>
      <w:r w:rsidR="00D33A48">
        <w:rPr>
          <w:rFonts w:ascii="Times New Roman" w:hAnsi="Times New Roman"/>
        </w:rPr>
        <w:tab/>
      </w:r>
      <w:r w:rsidRPr="00AC1999">
        <w:rPr>
          <w:rFonts w:ascii="Times New Roman" w:hAnsi="Times New Roman"/>
        </w:rPr>
        <w:t xml:space="preserve">The Principal Act, as amended by this Act, may be cited as the </w:t>
      </w:r>
      <w:r w:rsidR="001A03B7" w:rsidRPr="00AC1999">
        <w:rPr>
          <w:rFonts w:ascii="Times New Roman" w:hAnsi="Times New Roman"/>
          <w:i/>
        </w:rPr>
        <w:t xml:space="preserve">Sales Tax </w:t>
      </w:r>
      <w:r w:rsidR="001A03B7" w:rsidRPr="00EB1B97">
        <w:rPr>
          <w:rFonts w:ascii="Times New Roman" w:hAnsi="Times New Roman"/>
        </w:rPr>
        <w:t>(</w:t>
      </w:r>
      <w:r w:rsidR="001A03B7" w:rsidRPr="00AC1999">
        <w:rPr>
          <w:rFonts w:ascii="Times New Roman" w:hAnsi="Times New Roman"/>
          <w:i/>
        </w:rPr>
        <w:t>Exemptions and Classifications</w:t>
      </w:r>
      <w:r w:rsidR="001A03B7" w:rsidRPr="00EB1B97">
        <w:rPr>
          <w:rFonts w:ascii="Times New Roman" w:hAnsi="Times New Roman"/>
        </w:rPr>
        <w:t>)</w:t>
      </w:r>
      <w:r w:rsidR="001A03B7" w:rsidRPr="00AC1999">
        <w:rPr>
          <w:rFonts w:ascii="Times New Roman" w:hAnsi="Times New Roman"/>
          <w:i/>
        </w:rPr>
        <w:t xml:space="preserve"> Act </w:t>
      </w:r>
      <w:r w:rsidR="006862D0">
        <w:rPr>
          <w:rFonts w:ascii="Times New Roman" w:hAnsi="Times New Roman"/>
        </w:rPr>
        <w:t>1935–</w:t>
      </w:r>
      <w:r w:rsidRPr="00AC1999">
        <w:rPr>
          <w:rFonts w:ascii="Times New Roman" w:hAnsi="Times New Roman"/>
        </w:rPr>
        <w:t>1966.</w:t>
      </w:r>
    </w:p>
    <w:p w:rsidR="00D6714C" w:rsidRPr="00C97E59" w:rsidRDefault="001A03B7" w:rsidP="00C97E59">
      <w:pPr>
        <w:spacing w:before="120" w:after="60" w:line="240" w:lineRule="auto"/>
        <w:jc w:val="both"/>
        <w:rPr>
          <w:rFonts w:ascii="Times New Roman" w:hAnsi="Times New Roman" w:cs="Times New Roman"/>
          <w:b/>
          <w:sz w:val="20"/>
        </w:rPr>
      </w:pPr>
      <w:r w:rsidRPr="00C97E59">
        <w:rPr>
          <w:rFonts w:ascii="Times New Roman" w:hAnsi="Times New Roman" w:cs="Times New Roman"/>
          <w:b/>
          <w:sz w:val="20"/>
        </w:rPr>
        <w:t>Commencement.</w:t>
      </w:r>
    </w:p>
    <w:p w:rsidR="00D6714C" w:rsidRPr="00AC1999" w:rsidRDefault="001A03B7" w:rsidP="00C97E59">
      <w:pPr>
        <w:spacing w:after="0" w:line="240" w:lineRule="auto"/>
        <w:ind w:firstLine="432"/>
        <w:jc w:val="both"/>
        <w:rPr>
          <w:rFonts w:ascii="Times New Roman" w:hAnsi="Times New Roman"/>
        </w:rPr>
      </w:pPr>
      <w:r w:rsidRPr="00AC1999">
        <w:rPr>
          <w:rFonts w:ascii="Times New Roman" w:hAnsi="Times New Roman"/>
          <w:b/>
        </w:rPr>
        <w:t>2.</w:t>
      </w:r>
      <w:r w:rsidR="00D6714C" w:rsidRPr="00AC1999">
        <w:rPr>
          <w:rFonts w:ascii="Times New Roman" w:hAnsi="Times New Roman"/>
        </w:rPr>
        <w:t>—(1.)</w:t>
      </w:r>
      <w:r w:rsidR="00C97E59">
        <w:rPr>
          <w:rFonts w:ascii="Times New Roman" w:hAnsi="Times New Roman"/>
        </w:rPr>
        <w:tab/>
      </w:r>
      <w:bookmarkStart w:id="0" w:name="_GoBack"/>
      <w:r w:rsidR="00D6714C" w:rsidRPr="00AC1999">
        <w:rPr>
          <w:rFonts w:ascii="Times New Roman" w:hAnsi="Times New Roman"/>
        </w:rPr>
        <w:t>Subject to this section, this Act shall come into operation on the day on which it receives the Royal Assent.</w:t>
      </w:r>
      <w:bookmarkEnd w:id="0"/>
    </w:p>
    <w:p w:rsidR="00D6714C" w:rsidRPr="00AC1999" w:rsidRDefault="00D6714C" w:rsidP="0086270E">
      <w:pPr>
        <w:tabs>
          <w:tab w:val="left" w:pos="1080"/>
        </w:tabs>
        <w:spacing w:after="0" w:line="240" w:lineRule="auto"/>
        <w:ind w:firstLine="432"/>
        <w:jc w:val="both"/>
        <w:rPr>
          <w:rFonts w:ascii="Times New Roman" w:hAnsi="Times New Roman"/>
        </w:rPr>
      </w:pPr>
      <w:r w:rsidRPr="00AC1999">
        <w:rPr>
          <w:rFonts w:ascii="Times New Roman" w:hAnsi="Times New Roman"/>
        </w:rPr>
        <w:t>(2.)</w:t>
      </w:r>
      <w:r w:rsidR="00032A68">
        <w:rPr>
          <w:rFonts w:ascii="Times New Roman" w:hAnsi="Times New Roman"/>
        </w:rPr>
        <w:tab/>
      </w:r>
      <w:r w:rsidRPr="00AC1999">
        <w:rPr>
          <w:rFonts w:ascii="Times New Roman" w:hAnsi="Times New Roman"/>
        </w:rPr>
        <w:t>The amendments made by sub-sections (1.) and (5.) of section 4 of this Act shall be deemed to have taken effect on the first day of January, One thousand nine hundred and sixty-six.</w:t>
      </w:r>
    </w:p>
    <w:p w:rsidR="00D6714C" w:rsidRPr="00AC1999" w:rsidRDefault="00D6714C" w:rsidP="0086270E">
      <w:pPr>
        <w:tabs>
          <w:tab w:val="left" w:pos="1080"/>
        </w:tabs>
        <w:spacing w:after="0" w:line="240" w:lineRule="auto"/>
        <w:ind w:firstLine="432"/>
        <w:jc w:val="both"/>
        <w:rPr>
          <w:rFonts w:ascii="Times New Roman" w:hAnsi="Times New Roman"/>
        </w:rPr>
      </w:pPr>
      <w:r w:rsidRPr="00AC1999">
        <w:rPr>
          <w:rFonts w:ascii="Times New Roman" w:hAnsi="Times New Roman"/>
        </w:rPr>
        <w:t>(3.)</w:t>
      </w:r>
      <w:r w:rsidR="00A65125">
        <w:rPr>
          <w:rFonts w:ascii="Times New Roman" w:hAnsi="Times New Roman"/>
        </w:rPr>
        <w:tab/>
      </w:r>
      <w:r w:rsidRPr="00AC1999">
        <w:rPr>
          <w:rFonts w:ascii="Times New Roman" w:hAnsi="Times New Roman"/>
        </w:rPr>
        <w:t>The amendment made by sub-section (14.) of section 4 of this Act shall be deemed to have taken effect on the first day of April, One thousand nine hundred and sixty-five.</w:t>
      </w:r>
    </w:p>
    <w:p w:rsidR="00D6714C" w:rsidRPr="004303BE" w:rsidRDefault="001A03B7" w:rsidP="004303BE">
      <w:pPr>
        <w:spacing w:before="120" w:after="60" w:line="240" w:lineRule="auto"/>
        <w:jc w:val="both"/>
        <w:rPr>
          <w:rFonts w:ascii="Times New Roman" w:hAnsi="Times New Roman" w:cs="Times New Roman"/>
          <w:b/>
          <w:sz w:val="20"/>
        </w:rPr>
      </w:pPr>
      <w:r w:rsidRPr="004303BE">
        <w:rPr>
          <w:rFonts w:ascii="Times New Roman" w:hAnsi="Times New Roman" w:cs="Times New Roman"/>
          <w:b/>
          <w:sz w:val="20"/>
        </w:rPr>
        <w:t>Definitions.</w:t>
      </w:r>
    </w:p>
    <w:p w:rsidR="00D6714C" w:rsidRPr="00AC1999" w:rsidRDefault="001A03B7" w:rsidP="004303BE">
      <w:pPr>
        <w:spacing w:after="0" w:line="240" w:lineRule="auto"/>
        <w:ind w:firstLine="432"/>
        <w:jc w:val="both"/>
        <w:rPr>
          <w:rFonts w:ascii="Times New Roman" w:hAnsi="Times New Roman"/>
        </w:rPr>
      </w:pPr>
      <w:r w:rsidRPr="00AC1999">
        <w:rPr>
          <w:rFonts w:ascii="Times New Roman" w:hAnsi="Times New Roman"/>
          <w:b/>
        </w:rPr>
        <w:t>3.</w:t>
      </w:r>
      <w:r w:rsidR="004303BE">
        <w:rPr>
          <w:rFonts w:ascii="Times New Roman" w:hAnsi="Times New Roman"/>
          <w:b/>
        </w:rPr>
        <w:tab/>
      </w:r>
      <w:r w:rsidR="00D6714C" w:rsidRPr="00AC1999">
        <w:rPr>
          <w:rFonts w:ascii="Times New Roman" w:hAnsi="Times New Roman"/>
        </w:rPr>
        <w:t xml:space="preserve">Section 2 of the Principal Act is amended by omitting from the definition of </w:t>
      </w:r>
      <w:r w:rsidR="001440D3">
        <w:rPr>
          <w:rFonts w:ascii="Times New Roman" w:hAnsi="Times New Roman"/>
        </w:rPr>
        <w:t>“</w:t>
      </w:r>
      <w:r w:rsidR="00D6714C" w:rsidRPr="00AC1999">
        <w:rPr>
          <w:rFonts w:ascii="Times New Roman" w:hAnsi="Times New Roman"/>
        </w:rPr>
        <w:t>the Customs Tariff</w:t>
      </w:r>
      <w:r w:rsidR="001440D3">
        <w:rPr>
          <w:rFonts w:ascii="Times New Roman" w:hAnsi="Times New Roman"/>
        </w:rPr>
        <w:t>”</w:t>
      </w:r>
      <w:r w:rsidR="00D6714C" w:rsidRPr="00AC1999">
        <w:rPr>
          <w:rFonts w:ascii="Times New Roman" w:hAnsi="Times New Roman"/>
        </w:rPr>
        <w:t xml:space="preserve"> the words </w:t>
      </w:r>
      <w:r w:rsidR="001440D3">
        <w:rPr>
          <w:rFonts w:ascii="Times New Roman" w:hAnsi="Times New Roman"/>
        </w:rPr>
        <w:t>“</w:t>
      </w:r>
      <w:r w:rsidRPr="00AC1999">
        <w:rPr>
          <w:rFonts w:ascii="Times New Roman" w:hAnsi="Times New Roman"/>
          <w:i/>
        </w:rPr>
        <w:t xml:space="preserve">Customs Tariff </w:t>
      </w:r>
      <w:r w:rsidR="00D6714C" w:rsidRPr="00AC1999">
        <w:rPr>
          <w:rFonts w:ascii="Times New Roman" w:hAnsi="Times New Roman"/>
        </w:rPr>
        <w:t>1965</w:t>
      </w:r>
      <w:r w:rsidR="001440D3">
        <w:rPr>
          <w:rFonts w:ascii="Times New Roman" w:hAnsi="Times New Roman"/>
        </w:rPr>
        <w:t>”</w:t>
      </w:r>
      <w:r w:rsidR="00D6714C" w:rsidRPr="00AC1999">
        <w:rPr>
          <w:rFonts w:ascii="Times New Roman" w:hAnsi="Times New Roman"/>
        </w:rPr>
        <w:t xml:space="preserve"> and inserting in their stead the words </w:t>
      </w:r>
      <w:r w:rsidR="001440D3">
        <w:rPr>
          <w:rFonts w:ascii="Times New Roman" w:hAnsi="Times New Roman"/>
        </w:rPr>
        <w:t>“</w:t>
      </w:r>
      <w:r w:rsidRPr="00AC1999">
        <w:rPr>
          <w:rFonts w:ascii="Times New Roman" w:hAnsi="Times New Roman"/>
          <w:i/>
        </w:rPr>
        <w:t xml:space="preserve">Customs Tariff </w:t>
      </w:r>
      <w:r w:rsidR="00D6714C" w:rsidRPr="00AC1999">
        <w:rPr>
          <w:rFonts w:ascii="Times New Roman" w:hAnsi="Times New Roman"/>
        </w:rPr>
        <w:t>1966</w:t>
      </w:r>
      <w:r w:rsidR="001440D3">
        <w:rPr>
          <w:rFonts w:ascii="Times New Roman" w:hAnsi="Times New Roman"/>
        </w:rPr>
        <w:t>”</w:t>
      </w:r>
      <w:r w:rsidR="00D6714C" w:rsidRPr="00AC1999">
        <w:rPr>
          <w:rFonts w:ascii="Times New Roman" w:hAnsi="Times New Roman"/>
        </w:rPr>
        <w:t>.</w:t>
      </w:r>
    </w:p>
    <w:p w:rsidR="00D6714C" w:rsidRPr="006F08E9" w:rsidRDefault="005C1C80" w:rsidP="006F08E9">
      <w:pPr>
        <w:spacing w:before="120" w:after="60" w:line="240" w:lineRule="auto"/>
        <w:jc w:val="both"/>
        <w:rPr>
          <w:rFonts w:ascii="Times New Roman" w:hAnsi="Times New Roman" w:cs="Times New Roman"/>
          <w:b/>
          <w:sz w:val="20"/>
        </w:rPr>
      </w:pPr>
      <w:r w:rsidRPr="006F08E9">
        <w:rPr>
          <w:rFonts w:ascii="Times New Roman" w:hAnsi="Times New Roman" w:cs="Times New Roman"/>
          <w:b/>
          <w:sz w:val="20"/>
        </w:rPr>
        <w:t>F</w:t>
      </w:r>
      <w:r w:rsidR="001A03B7" w:rsidRPr="006F08E9">
        <w:rPr>
          <w:rFonts w:ascii="Times New Roman" w:hAnsi="Times New Roman" w:cs="Times New Roman"/>
          <w:b/>
          <w:sz w:val="20"/>
        </w:rPr>
        <w:t>irst Schedule.</w:t>
      </w:r>
    </w:p>
    <w:p w:rsidR="00D6714C" w:rsidRPr="00AC1999" w:rsidRDefault="001A03B7" w:rsidP="00BF3D1A">
      <w:pPr>
        <w:spacing w:after="120" w:line="240" w:lineRule="auto"/>
        <w:ind w:firstLine="432"/>
        <w:jc w:val="both"/>
        <w:rPr>
          <w:rFonts w:ascii="Times New Roman" w:hAnsi="Times New Roman"/>
        </w:rPr>
      </w:pPr>
      <w:r w:rsidRPr="00AC1999">
        <w:rPr>
          <w:rFonts w:ascii="Times New Roman" w:hAnsi="Times New Roman"/>
          <w:b/>
        </w:rPr>
        <w:t>4.</w:t>
      </w:r>
      <w:r w:rsidR="00D6714C" w:rsidRPr="00AC1999">
        <w:rPr>
          <w:rFonts w:ascii="Times New Roman" w:hAnsi="Times New Roman"/>
        </w:rPr>
        <w:t>—(1.)</w:t>
      </w:r>
      <w:r w:rsidR="006F08E9">
        <w:rPr>
          <w:rFonts w:ascii="Times New Roman" w:hAnsi="Times New Roman"/>
        </w:rPr>
        <w:tab/>
      </w:r>
      <w:r w:rsidR="00D6714C" w:rsidRPr="00AC1999">
        <w:rPr>
          <w:rFonts w:ascii="Times New Roman" w:hAnsi="Times New Roman"/>
        </w:rPr>
        <w:t>The First Schedule to the Principal Act is amended by inserting after item 36 the following item:—</w:t>
      </w:r>
    </w:p>
    <w:tbl>
      <w:tblPr>
        <w:tblW w:w="5000" w:type="pct"/>
        <w:tblCellMar>
          <w:left w:w="40" w:type="dxa"/>
          <w:right w:w="40" w:type="dxa"/>
        </w:tblCellMar>
        <w:tblLook w:val="0000" w:firstRow="0" w:lastRow="0" w:firstColumn="0" w:lastColumn="0" w:noHBand="0" w:noVBand="0"/>
      </w:tblPr>
      <w:tblGrid>
        <w:gridCol w:w="7233"/>
        <w:gridCol w:w="1876"/>
      </w:tblGrid>
      <w:tr w:rsidR="00D6714C" w:rsidRPr="00AC1999" w:rsidTr="009012AB">
        <w:trPr>
          <w:trHeight w:val="1498"/>
        </w:trPr>
        <w:tc>
          <w:tcPr>
            <w:tcW w:w="3970" w:type="pct"/>
            <w:tcBorders>
              <w:bottom w:val="single" w:sz="6" w:space="0" w:color="auto"/>
              <w:right w:val="single" w:sz="6" w:space="0" w:color="auto"/>
            </w:tcBorders>
          </w:tcPr>
          <w:p w:rsidR="00D6714C" w:rsidRPr="00AC1999" w:rsidRDefault="001440D3" w:rsidP="005C1C80">
            <w:pPr>
              <w:spacing w:after="0" w:line="240" w:lineRule="auto"/>
              <w:ind w:left="1152" w:hanging="720"/>
              <w:jc w:val="both"/>
              <w:rPr>
                <w:rFonts w:ascii="Times New Roman" w:hAnsi="Times New Roman"/>
              </w:rPr>
            </w:pPr>
            <w:r>
              <w:rPr>
                <w:rFonts w:ascii="Times New Roman" w:hAnsi="Times New Roman"/>
              </w:rPr>
              <w:t>“</w:t>
            </w:r>
            <w:r w:rsidR="00D6714C" w:rsidRPr="00AC1999">
              <w:rPr>
                <w:rFonts w:ascii="Times New Roman" w:hAnsi="Times New Roman"/>
              </w:rPr>
              <w:t>36</w:t>
            </w:r>
            <w:r w:rsidR="00D6714C" w:rsidRPr="00E47CEE">
              <w:rPr>
                <w:rFonts w:ascii="Times New Roman" w:hAnsi="Times New Roman"/>
                <w:smallCaps/>
              </w:rPr>
              <w:t>a</w:t>
            </w:r>
            <w:r w:rsidR="00D6714C" w:rsidRPr="00AC1999">
              <w:rPr>
                <w:rFonts w:ascii="Times New Roman" w:hAnsi="Times New Roman"/>
              </w:rPr>
              <w:t>. Fruit juice products to which the New Zealand-Australia Free Trade Agreement signed on the thirty-first day of August, One thousand nine hundred and sixty-five, applies, being goods that would fall within a description of goods contained in sub-item (3) of item 36 in this Schedule if each reference in that sub-item to juices of Australian fruits were a reference to juices of New Zealand fruits</w:t>
            </w:r>
          </w:p>
        </w:tc>
        <w:tc>
          <w:tcPr>
            <w:tcW w:w="1030" w:type="pct"/>
            <w:tcBorders>
              <w:left w:val="single" w:sz="6" w:space="0" w:color="auto"/>
              <w:bottom w:val="single" w:sz="6" w:space="0" w:color="auto"/>
            </w:tcBorders>
          </w:tcPr>
          <w:p w:rsidR="00D6714C" w:rsidRPr="00AC1999" w:rsidRDefault="002319AB" w:rsidP="005C1C80">
            <w:pPr>
              <w:spacing w:before="640" w:after="0" w:line="240" w:lineRule="auto"/>
              <w:ind w:left="144"/>
              <w:jc w:val="both"/>
              <w:rPr>
                <w:rFonts w:ascii="Times New Roman" w:hAnsi="Times New Roman"/>
              </w:rPr>
            </w:pPr>
            <w:r>
              <w:rPr>
                <w:rFonts w:ascii="Times New Roman" w:hAnsi="Times New Roman"/>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left:0;text-align:left;margin-left:-2.1pt;margin-top:.35pt;width:7.15pt;height:76.4pt;z-index:251658240;mso-position-horizontal-relative:text;mso-position-vertical-relative:text"/>
              </w:pict>
            </w:r>
            <w:r w:rsidR="00D6714C" w:rsidRPr="00AC1999">
              <w:rPr>
                <w:rFonts w:ascii="Times New Roman" w:hAnsi="Times New Roman"/>
              </w:rPr>
              <w:t>Nos.5 to 8</w:t>
            </w:r>
            <w:r w:rsidR="001440D3">
              <w:rPr>
                <w:rFonts w:ascii="Times New Roman" w:hAnsi="Times New Roman"/>
              </w:rPr>
              <w:t>”</w:t>
            </w:r>
            <w:r w:rsidR="00D6714C" w:rsidRPr="00AC1999">
              <w:rPr>
                <w:rFonts w:ascii="Times New Roman" w:hAnsi="Times New Roman"/>
              </w:rPr>
              <w:t>.</w:t>
            </w:r>
          </w:p>
        </w:tc>
      </w:tr>
    </w:tbl>
    <w:p w:rsidR="00D6714C" w:rsidRPr="00AC1999" w:rsidRDefault="00EE589E" w:rsidP="006E7085">
      <w:pPr>
        <w:tabs>
          <w:tab w:val="left" w:pos="1080"/>
        </w:tabs>
        <w:spacing w:after="120" w:line="240" w:lineRule="auto"/>
        <w:ind w:firstLine="432"/>
        <w:jc w:val="both"/>
        <w:rPr>
          <w:rFonts w:ascii="Times New Roman" w:hAnsi="Times New Roman"/>
        </w:rPr>
      </w:pPr>
      <w:r>
        <w:rPr>
          <w:rFonts w:ascii="Times New Roman" w:hAnsi="Times New Roman"/>
          <w:sz w:val="20"/>
        </w:rPr>
        <w:br w:type="page"/>
      </w:r>
      <w:r w:rsidR="00D6714C" w:rsidRPr="00AC1999">
        <w:rPr>
          <w:rFonts w:ascii="Times New Roman" w:hAnsi="Times New Roman"/>
        </w:rPr>
        <w:lastRenderedPageBreak/>
        <w:t>(2.)</w:t>
      </w:r>
      <w:r w:rsidR="00DD4EC9">
        <w:rPr>
          <w:rFonts w:ascii="Times New Roman" w:hAnsi="Times New Roman"/>
        </w:rPr>
        <w:tab/>
      </w:r>
      <w:r w:rsidR="00D6714C" w:rsidRPr="00AC1999">
        <w:rPr>
          <w:rFonts w:ascii="Times New Roman" w:hAnsi="Times New Roman"/>
        </w:rPr>
        <w:t>The First Schedule to the Principal Act is amended by omitting sub-item (2) of item 50 and inserting in its stead the following sub-item:—</w:t>
      </w:r>
    </w:p>
    <w:tbl>
      <w:tblPr>
        <w:tblW w:w="5000" w:type="pct"/>
        <w:tblCellMar>
          <w:left w:w="40" w:type="dxa"/>
          <w:right w:w="40" w:type="dxa"/>
        </w:tblCellMar>
        <w:tblLook w:val="0000" w:firstRow="0" w:lastRow="0" w:firstColumn="0" w:lastColumn="0" w:noHBand="0" w:noVBand="0"/>
      </w:tblPr>
      <w:tblGrid>
        <w:gridCol w:w="6766"/>
        <w:gridCol w:w="2343"/>
      </w:tblGrid>
      <w:tr w:rsidR="00D6714C" w:rsidRPr="00AC1999" w:rsidTr="00F91857">
        <w:trPr>
          <w:trHeight w:val="821"/>
        </w:trPr>
        <w:tc>
          <w:tcPr>
            <w:tcW w:w="3714" w:type="pct"/>
            <w:tcBorders>
              <w:right w:val="single" w:sz="6" w:space="0" w:color="auto"/>
            </w:tcBorders>
          </w:tcPr>
          <w:p w:rsidR="00D6714C" w:rsidRPr="00AC1999" w:rsidRDefault="001440D3" w:rsidP="00F91857">
            <w:pPr>
              <w:spacing w:after="0" w:line="240" w:lineRule="auto"/>
              <w:ind w:left="432" w:hanging="432"/>
              <w:jc w:val="both"/>
              <w:rPr>
                <w:rFonts w:ascii="Times New Roman" w:hAnsi="Times New Roman"/>
              </w:rPr>
            </w:pPr>
            <w:r>
              <w:rPr>
                <w:rFonts w:ascii="Times New Roman" w:hAnsi="Times New Roman"/>
              </w:rPr>
              <w:t>“</w:t>
            </w:r>
            <w:r w:rsidR="00D6714C" w:rsidRPr="00AC1999">
              <w:rPr>
                <w:rFonts w:ascii="Times New Roman" w:hAnsi="Times New Roman"/>
              </w:rPr>
              <w:t>(2) Gas that is commercially known as coal gas, and any other gas that is supplied to the public through a system of reticulation and is of a kind ordinarily used for a purpose similar to any purpose for which coal gas is used</w:t>
            </w:r>
          </w:p>
        </w:tc>
        <w:tc>
          <w:tcPr>
            <w:tcW w:w="1286" w:type="pct"/>
            <w:tcBorders>
              <w:left w:val="single" w:sz="6" w:space="0" w:color="auto"/>
            </w:tcBorders>
          </w:tcPr>
          <w:p w:rsidR="00D6714C" w:rsidRPr="00AC1999" w:rsidRDefault="002319AB" w:rsidP="00627D34">
            <w:pPr>
              <w:spacing w:before="360" w:after="0" w:line="240" w:lineRule="auto"/>
              <w:ind w:left="288"/>
              <w:jc w:val="both"/>
              <w:rPr>
                <w:rFonts w:ascii="Times New Roman" w:hAnsi="Times New Roman"/>
              </w:rPr>
            </w:pPr>
            <w:r>
              <w:rPr>
                <w:rFonts w:ascii="Times New Roman" w:hAnsi="Times New Roman"/>
                <w:noProof/>
              </w:rPr>
              <w:pict>
                <v:shape id="_x0000_s1027" type="#_x0000_t88" style="position:absolute;left:0;text-align:left;margin-left:-2.2pt;margin-top:.3pt;width:7.15pt;height:50.8pt;z-index:251659264;mso-position-horizontal-relative:text;mso-position-vertical-relative:text"/>
              </w:pict>
            </w:r>
            <w:r w:rsidR="00D6714C" w:rsidRPr="00AC1999">
              <w:rPr>
                <w:rFonts w:ascii="Times New Roman" w:hAnsi="Times New Roman"/>
              </w:rPr>
              <w:t>Nos. 1 to 4 and 9</w:t>
            </w:r>
            <w:r w:rsidR="001440D3">
              <w:rPr>
                <w:rFonts w:ascii="Times New Roman" w:hAnsi="Times New Roman"/>
              </w:rPr>
              <w:t>”</w:t>
            </w:r>
            <w:r w:rsidR="00D6714C" w:rsidRPr="00AC1999">
              <w:rPr>
                <w:rFonts w:ascii="Times New Roman" w:hAnsi="Times New Roman"/>
              </w:rPr>
              <w:t>.</w:t>
            </w:r>
          </w:p>
        </w:tc>
      </w:tr>
    </w:tbl>
    <w:p w:rsidR="00D6714C" w:rsidRPr="00AC1999" w:rsidRDefault="00D6714C" w:rsidP="00A23305">
      <w:pPr>
        <w:tabs>
          <w:tab w:val="left" w:pos="1080"/>
        </w:tabs>
        <w:spacing w:before="120" w:after="0" w:line="240" w:lineRule="auto"/>
        <w:ind w:firstLine="432"/>
        <w:jc w:val="both"/>
        <w:rPr>
          <w:rFonts w:ascii="Times New Roman" w:hAnsi="Times New Roman"/>
        </w:rPr>
      </w:pPr>
      <w:r w:rsidRPr="00AC1999">
        <w:rPr>
          <w:rFonts w:ascii="Times New Roman" w:hAnsi="Times New Roman"/>
        </w:rPr>
        <w:t>(3.)</w:t>
      </w:r>
      <w:r w:rsidR="006F7504">
        <w:rPr>
          <w:rFonts w:ascii="Times New Roman" w:hAnsi="Times New Roman"/>
        </w:rPr>
        <w:tab/>
      </w:r>
      <w:r w:rsidRPr="00AC1999">
        <w:rPr>
          <w:rFonts w:ascii="Times New Roman" w:hAnsi="Times New Roman"/>
        </w:rPr>
        <w:t xml:space="preserve">The First Schedule to the Principal Act is amended by inserting in item 58, and in sub-item (2) of item 59 (wherever occurring), before the words </w:t>
      </w:r>
      <w:r w:rsidR="001440D3">
        <w:rPr>
          <w:rFonts w:ascii="Times New Roman" w:hAnsi="Times New Roman"/>
        </w:rPr>
        <w:t>“</w:t>
      </w:r>
      <w:r w:rsidRPr="00AC1999">
        <w:rPr>
          <w:rFonts w:ascii="Times New Roman" w:hAnsi="Times New Roman"/>
        </w:rPr>
        <w:t>the First Schedule</w:t>
      </w:r>
      <w:r w:rsidR="001440D3">
        <w:rPr>
          <w:rFonts w:ascii="Times New Roman" w:hAnsi="Times New Roman"/>
        </w:rPr>
        <w:t>”</w:t>
      </w:r>
      <w:r w:rsidRPr="00AC1999">
        <w:rPr>
          <w:rFonts w:ascii="Times New Roman" w:hAnsi="Times New Roman"/>
        </w:rPr>
        <w:t xml:space="preserve">, the words </w:t>
      </w:r>
      <w:r w:rsidR="001440D3">
        <w:rPr>
          <w:rFonts w:ascii="Times New Roman" w:hAnsi="Times New Roman"/>
        </w:rPr>
        <w:t>“</w:t>
      </w:r>
      <w:r w:rsidRPr="00AC1999">
        <w:rPr>
          <w:rFonts w:ascii="Times New Roman" w:hAnsi="Times New Roman"/>
        </w:rPr>
        <w:t>Part II. of</w:t>
      </w:r>
      <w:r w:rsidR="001440D3">
        <w:rPr>
          <w:rFonts w:ascii="Times New Roman" w:hAnsi="Times New Roman"/>
        </w:rPr>
        <w:t>”</w:t>
      </w:r>
      <w:r w:rsidRPr="00AC1999">
        <w:rPr>
          <w:rFonts w:ascii="Times New Roman" w:hAnsi="Times New Roman"/>
        </w:rPr>
        <w:t>.</w:t>
      </w:r>
    </w:p>
    <w:p w:rsidR="00D6714C" w:rsidRPr="00AC1999" w:rsidRDefault="00D6714C" w:rsidP="0054289C">
      <w:pPr>
        <w:tabs>
          <w:tab w:val="left" w:pos="1080"/>
        </w:tabs>
        <w:spacing w:after="120" w:line="240" w:lineRule="auto"/>
        <w:ind w:firstLine="432"/>
        <w:jc w:val="both"/>
        <w:rPr>
          <w:rFonts w:ascii="Times New Roman" w:hAnsi="Times New Roman"/>
        </w:rPr>
      </w:pPr>
      <w:r w:rsidRPr="00AC1999">
        <w:rPr>
          <w:rFonts w:ascii="Times New Roman" w:hAnsi="Times New Roman"/>
        </w:rPr>
        <w:t>(4.)</w:t>
      </w:r>
      <w:r w:rsidR="003B32DA">
        <w:rPr>
          <w:rFonts w:ascii="Times New Roman" w:hAnsi="Times New Roman"/>
        </w:rPr>
        <w:tab/>
      </w:r>
      <w:r w:rsidRPr="00AC1999">
        <w:rPr>
          <w:rFonts w:ascii="Times New Roman" w:hAnsi="Times New Roman"/>
        </w:rPr>
        <w:t>The First Schedule to the Principal Act is amended by omitting sub-item (3) of item 66</w:t>
      </w:r>
      <w:r w:rsidRPr="00D67176">
        <w:rPr>
          <w:rFonts w:ascii="Times New Roman" w:hAnsi="Times New Roman"/>
          <w:smallCaps/>
        </w:rPr>
        <w:t>a</w:t>
      </w:r>
      <w:r w:rsidRPr="00AC1999">
        <w:rPr>
          <w:rFonts w:ascii="Times New Roman" w:hAnsi="Times New Roman"/>
        </w:rPr>
        <w:t xml:space="preserve"> and inserting in its stead the folio wins sub-item:—</w:t>
      </w:r>
    </w:p>
    <w:tbl>
      <w:tblPr>
        <w:tblW w:w="5000" w:type="pct"/>
        <w:tblCellMar>
          <w:left w:w="40" w:type="dxa"/>
          <w:right w:w="40" w:type="dxa"/>
        </w:tblCellMar>
        <w:tblLook w:val="0000" w:firstRow="0" w:lastRow="0" w:firstColumn="0" w:lastColumn="0" w:noHBand="0" w:noVBand="0"/>
      </w:tblPr>
      <w:tblGrid>
        <w:gridCol w:w="6892"/>
        <w:gridCol w:w="2217"/>
      </w:tblGrid>
      <w:tr w:rsidR="00D6714C" w:rsidRPr="00AC1999" w:rsidTr="001B18DB">
        <w:trPr>
          <w:trHeight w:val="634"/>
        </w:trPr>
        <w:tc>
          <w:tcPr>
            <w:tcW w:w="3783" w:type="pct"/>
            <w:tcBorders>
              <w:right w:val="single" w:sz="6" w:space="0" w:color="auto"/>
            </w:tcBorders>
          </w:tcPr>
          <w:p w:rsidR="00D6714C" w:rsidRPr="00AC1999" w:rsidRDefault="001440D3" w:rsidP="006862D0">
            <w:pPr>
              <w:spacing w:after="0" w:line="240" w:lineRule="auto"/>
              <w:ind w:left="1296" w:hanging="576"/>
              <w:jc w:val="both"/>
              <w:rPr>
                <w:rFonts w:ascii="Times New Roman" w:hAnsi="Times New Roman"/>
              </w:rPr>
            </w:pPr>
            <w:r>
              <w:rPr>
                <w:rFonts w:ascii="Times New Roman" w:hAnsi="Times New Roman"/>
              </w:rPr>
              <w:t>“</w:t>
            </w:r>
            <w:r w:rsidR="00D6714C" w:rsidRPr="00AC1999">
              <w:rPr>
                <w:rFonts w:ascii="Times New Roman" w:hAnsi="Times New Roman"/>
              </w:rPr>
              <w:t>(3) Honour boards or honour rolls on which are inscribed, or are to be inscribed, the names of persons who have served in the Defence Force or in any other armed forces of Her Majesty</w:t>
            </w:r>
          </w:p>
        </w:tc>
        <w:tc>
          <w:tcPr>
            <w:tcW w:w="1217" w:type="pct"/>
            <w:tcBorders>
              <w:left w:val="single" w:sz="6" w:space="0" w:color="auto"/>
            </w:tcBorders>
          </w:tcPr>
          <w:p w:rsidR="00D6714C" w:rsidRPr="00AC1999" w:rsidRDefault="002319AB" w:rsidP="00270BB7">
            <w:pPr>
              <w:spacing w:before="240" w:after="0" w:line="240" w:lineRule="auto"/>
              <w:ind w:left="288"/>
              <w:jc w:val="both"/>
              <w:rPr>
                <w:rFonts w:ascii="Times New Roman" w:hAnsi="Times New Roman"/>
              </w:rPr>
            </w:pPr>
            <w:r>
              <w:rPr>
                <w:rFonts w:ascii="Times New Roman" w:hAnsi="Times New Roman"/>
                <w:noProof/>
              </w:rPr>
              <w:pict>
                <v:shape id="_x0000_s1028" type="#_x0000_t88" style="position:absolute;left:0;text-align:left;margin-left:-1.6pt;margin-top:.6pt;width:7.15pt;height:37.1pt;z-index:251660288;mso-position-horizontal-relative:text;mso-position-vertical-relative:text"/>
              </w:pict>
            </w:r>
            <w:r w:rsidR="00D6714C" w:rsidRPr="00AC1999">
              <w:rPr>
                <w:rFonts w:ascii="Times New Roman" w:hAnsi="Times New Roman"/>
              </w:rPr>
              <w:t xml:space="preserve">Nos. 1 to 9 </w:t>
            </w:r>
            <w:r w:rsidR="001440D3">
              <w:rPr>
                <w:rFonts w:ascii="Times New Roman" w:hAnsi="Times New Roman"/>
              </w:rPr>
              <w:t>“</w:t>
            </w:r>
            <w:r w:rsidR="00D6714C" w:rsidRPr="00AC1999">
              <w:rPr>
                <w:rFonts w:ascii="Times New Roman" w:hAnsi="Times New Roman"/>
              </w:rPr>
              <w:t>.</w:t>
            </w:r>
          </w:p>
        </w:tc>
      </w:tr>
    </w:tbl>
    <w:p w:rsidR="00D6714C" w:rsidRPr="00AC1999" w:rsidRDefault="00D6714C" w:rsidP="00345850">
      <w:pPr>
        <w:tabs>
          <w:tab w:val="left" w:pos="1080"/>
        </w:tabs>
        <w:spacing w:after="120" w:line="240" w:lineRule="auto"/>
        <w:ind w:firstLine="432"/>
        <w:jc w:val="both"/>
        <w:rPr>
          <w:rFonts w:ascii="Times New Roman" w:hAnsi="Times New Roman"/>
        </w:rPr>
      </w:pPr>
      <w:r w:rsidRPr="00AC1999">
        <w:rPr>
          <w:rFonts w:ascii="Times New Roman" w:hAnsi="Times New Roman"/>
        </w:rPr>
        <w:t>(5.)</w:t>
      </w:r>
      <w:r w:rsidR="000439E6">
        <w:rPr>
          <w:rFonts w:ascii="Times New Roman" w:hAnsi="Times New Roman"/>
        </w:rPr>
        <w:tab/>
      </w:r>
      <w:r w:rsidRPr="00AC1999">
        <w:rPr>
          <w:rFonts w:ascii="Times New Roman" w:hAnsi="Times New Roman"/>
        </w:rPr>
        <w:t>The First Schedule to the Principal Act is amended by inserting after item 68 the following item:—</w:t>
      </w:r>
    </w:p>
    <w:tbl>
      <w:tblPr>
        <w:tblW w:w="5000" w:type="pct"/>
        <w:tblCellMar>
          <w:left w:w="40" w:type="dxa"/>
          <w:right w:w="40" w:type="dxa"/>
        </w:tblCellMar>
        <w:tblLook w:val="0000" w:firstRow="0" w:lastRow="0" w:firstColumn="0" w:lastColumn="0" w:noHBand="0" w:noVBand="0"/>
      </w:tblPr>
      <w:tblGrid>
        <w:gridCol w:w="6850"/>
        <w:gridCol w:w="2259"/>
      </w:tblGrid>
      <w:tr w:rsidR="00D6714C" w:rsidRPr="00AC1999" w:rsidTr="00DB31D7">
        <w:trPr>
          <w:trHeight w:val="821"/>
        </w:trPr>
        <w:tc>
          <w:tcPr>
            <w:tcW w:w="3760" w:type="pct"/>
            <w:tcBorders>
              <w:right w:val="single" w:sz="6" w:space="0" w:color="auto"/>
            </w:tcBorders>
          </w:tcPr>
          <w:p w:rsidR="00D6714C" w:rsidRPr="00AC1999" w:rsidRDefault="001440D3" w:rsidP="006862D0">
            <w:pPr>
              <w:spacing w:after="0" w:line="240" w:lineRule="auto"/>
              <w:ind w:left="1296" w:hanging="576"/>
              <w:jc w:val="both"/>
              <w:rPr>
                <w:rFonts w:ascii="Times New Roman" w:hAnsi="Times New Roman"/>
              </w:rPr>
            </w:pPr>
            <w:r>
              <w:rPr>
                <w:rFonts w:ascii="Times New Roman" w:hAnsi="Times New Roman"/>
              </w:rPr>
              <w:t>“</w:t>
            </w:r>
            <w:r w:rsidR="00D6714C" w:rsidRPr="00AC1999">
              <w:rPr>
                <w:rFonts w:ascii="Times New Roman" w:hAnsi="Times New Roman"/>
              </w:rPr>
              <w:t>68</w:t>
            </w:r>
            <w:r w:rsidR="00D6714C" w:rsidRPr="00DB31D7">
              <w:rPr>
                <w:rFonts w:ascii="Times New Roman" w:hAnsi="Times New Roman"/>
                <w:smallCaps/>
              </w:rPr>
              <w:t>a</w:t>
            </w:r>
            <w:r w:rsidR="00D6714C" w:rsidRPr="00AC1999">
              <w:rPr>
                <w:rFonts w:ascii="Times New Roman" w:hAnsi="Times New Roman"/>
              </w:rPr>
              <w:t>. Works of art by New Zealand artists, being works of art to which the New Zealand-Australia Free Trade Agreement signed on the thirty-first day of August, One thousand nine hundred and sixty-five, applies</w:t>
            </w:r>
          </w:p>
        </w:tc>
        <w:tc>
          <w:tcPr>
            <w:tcW w:w="1240" w:type="pct"/>
            <w:tcBorders>
              <w:left w:val="single" w:sz="6" w:space="0" w:color="auto"/>
            </w:tcBorders>
          </w:tcPr>
          <w:p w:rsidR="00D6714C" w:rsidRPr="00AC1999" w:rsidRDefault="002319AB" w:rsidP="006862D0">
            <w:pPr>
              <w:spacing w:before="360" w:after="0" w:line="240" w:lineRule="auto"/>
              <w:ind w:left="288"/>
              <w:jc w:val="both"/>
              <w:rPr>
                <w:rFonts w:ascii="Times New Roman" w:hAnsi="Times New Roman"/>
              </w:rPr>
            </w:pPr>
            <w:r>
              <w:rPr>
                <w:rFonts w:ascii="Times New Roman" w:hAnsi="Times New Roman"/>
                <w:noProof/>
              </w:rPr>
              <w:pict>
                <v:shape id="_x0000_s1029" type="#_x0000_t88" style="position:absolute;left:0;text-align:left;margin-left:-.65pt;margin-top:1.55pt;width:7.4pt;height:46.95pt;z-index:251661312;mso-position-horizontal-relative:text;mso-position-vertical-relative:text"/>
              </w:pict>
            </w:r>
            <w:r w:rsidR="00D6714C" w:rsidRPr="00AC1999">
              <w:rPr>
                <w:rFonts w:ascii="Times New Roman" w:hAnsi="Times New Roman"/>
              </w:rPr>
              <w:t>Nos. 5 to 9</w:t>
            </w:r>
            <w:r w:rsidR="001440D3">
              <w:rPr>
                <w:rFonts w:ascii="Times New Roman" w:hAnsi="Times New Roman"/>
              </w:rPr>
              <w:t>”</w:t>
            </w:r>
            <w:r w:rsidR="00D6714C" w:rsidRPr="00AC1999">
              <w:rPr>
                <w:rFonts w:ascii="Times New Roman" w:hAnsi="Times New Roman"/>
              </w:rPr>
              <w:t>.</w:t>
            </w:r>
          </w:p>
        </w:tc>
      </w:tr>
    </w:tbl>
    <w:p w:rsidR="00D6714C" w:rsidRPr="00AC1999" w:rsidRDefault="00D6714C" w:rsidP="007A2CFE">
      <w:pPr>
        <w:tabs>
          <w:tab w:val="left" w:pos="1080"/>
        </w:tabs>
        <w:spacing w:after="0" w:line="240" w:lineRule="auto"/>
        <w:ind w:firstLine="432"/>
        <w:jc w:val="both"/>
        <w:rPr>
          <w:rFonts w:ascii="Times New Roman" w:hAnsi="Times New Roman"/>
        </w:rPr>
      </w:pPr>
      <w:r w:rsidRPr="00AC1999">
        <w:rPr>
          <w:rFonts w:ascii="Times New Roman" w:hAnsi="Times New Roman"/>
        </w:rPr>
        <w:t>(6.)</w:t>
      </w:r>
      <w:r w:rsidR="00C12B48">
        <w:rPr>
          <w:rFonts w:ascii="Times New Roman" w:hAnsi="Times New Roman"/>
        </w:rPr>
        <w:tab/>
      </w:r>
      <w:r w:rsidRPr="00AC1999">
        <w:rPr>
          <w:rFonts w:ascii="Times New Roman" w:hAnsi="Times New Roman"/>
          <w:noProof/>
        </w:rPr>
        <w:t>The</w:t>
      </w:r>
      <w:r w:rsidRPr="00AC1999">
        <w:rPr>
          <w:rFonts w:ascii="Times New Roman" w:hAnsi="Times New Roman"/>
        </w:rPr>
        <w:t xml:space="preserve"> First Schedule to the Principal Act is amended by inserting in items 69, 69</w:t>
      </w:r>
      <w:r w:rsidRPr="00007AA6">
        <w:rPr>
          <w:rFonts w:ascii="Times New Roman" w:hAnsi="Times New Roman"/>
          <w:smallCaps/>
        </w:rPr>
        <w:t>a</w:t>
      </w:r>
      <w:r w:rsidRPr="00AC1999">
        <w:rPr>
          <w:rFonts w:ascii="Times New Roman" w:hAnsi="Times New Roman"/>
        </w:rPr>
        <w:t>, 69</w:t>
      </w:r>
      <w:r w:rsidRPr="00007AA6">
        <w:rPr>
          <w:rFonts w:ascii="Times New Roman" w:hAnsi="Times New Roman"/>
          <w:smallCaps/>
        </w:rPr>
        <w:t>b</w:t>
      </w:r>
      <w:r w:rsidRPr="00AC1999">
        <w:rPr>
          <w:rFonts w:ascii="Times New Roman" w:hAnsi="Times New Roman"/>
        </w:rPr>
        <w:t xml:space="preserve"> and 69</w:t>
      </w:r>
      <w:r w:rsidRPr="007A7257">
        <w:rPr>
          <w:rFonts w:ascii="Times New Roman" w:hAnsi="Times New Roman"/>
          <w:smallCaps/>
        </w:rPr>
        <w:t>c</w:t>
      </w:r>
      <w:r w:rsidRPr="00AC1999">
        <w:rPr>
          <w:rFonts w:ascii="Times New Roman" w:hAnsi="Times New Roman"/>
        </w:rPr>
        <w:t xml:space="preserve">, before the words </w:t>
      </w:r>
      <w:r w:rsidR="001440D3">
        <w:rPr>
          <w:rFonts w:ascii="Times New Roman" w:hAnsi="Times New Roman"/>
        </w:rPr>
        <w:t>“</w:t>
      </w:r>
      <w:r w:rsidRPr="00AC1999">
        <w:rPr>
          <w:rFonts w:ascii="Times New Roman" w:hAnsi="Times New Roman"/>
        </w:rPr>
        <w:t>the First Schedule</w:t>
      </w:r>
      <w:r w:rsidR="001440D3">
        <w:rPr>
          <w:rFonts w:ascii="Times New Roman" w:hAnsi="Times New Roman"/>
        </w:rPr>
        <w:t>”</w:t>
      </w:r>
      <w:r w:rsidRPr="00AC1999">
        <w:rPr>
          <w:rFonts w:ascii="Times New Roman" w:hAnsi="Times New Roman"/>
        </w:rPr>
        <w:t xml:space="preserve"> the words </w:t>
      </w:r>
      <w:r w:rsidR="001440D3">
        <w:rPr>
          <w:rFonts w:ascii="Times New Roman" w:hAnsi="Times New Roman"/>
        </w:rPr>
        <w:t>“</w:t>
      </w:r>
      <w:r w:rsidRPr="00AC1999">
        <w:rPr>
          <w:rFonts w:ascii="Times New Roman" w:hAnsi="Times New Roman"/>
        </w:rPr>
        <w:t>Part II. of</w:t>
      </w:r>
      <w:r w:rsidR="001440D3">
        <w:rPr>
          <w:rFonts w:ascii="Times New Roman" w:hAnsi="Times New Roman"/>
        </w:rPr>
        <w:t>”</w:t>
      </w:r>
      <w:r w:rsidRPr="00AC1999">
        <w:rPr>
          <w:rFonts w:ascii="Times New Roman" w:hAnsi="Times New Roman"/>
        </w:rPr>
        <w:t>.</w:t>
      </w:r>
    </w:p>
    <w:p w:rsidR="00D6714C" w:rsidRPr="00AC1999" w:rsidRDefault="00D6714C" w:rsidP="007A2CFE">
      <w:pPr>
        <w:tabs>
          <w:tab w:val="left" w:pos="1080"/>
        </w:tabs>
        <w:spacing w:after="0" w:line="240" w:lineRule="auto"/>
        <w:ind w:firstLine="432"/>
        <w:jc w:val="both"/>
        <w:rPr>
          <w:rFonts w:ascii="Times New Roman" w:hAnsi="Times New Roman"/>
        </w:rPr>
      </w:pPr>
      <w:r w:rsidRPr="00AC1999">
        <w:rPr>
          <w:rFonts w:ascii="Times New Roman" w:hAnsi="Times New Roman"/>
        </w:rPr>
        <w:t>(7.)</w:t>
      </w:r>
      <w:r w:rsidR="00A01531">
        <w:rPr>
          <w:rFonts w:ascii="Times New Roman" w:hAnsi="Times New Roman"/>
        </w:rPr>
        <w:tab/>
      </w:r>
      <w:r w:rsidRPr="00AC1999">
        <w:rPr>
          <w:rFonts w:ascii="Times New Roman" w:hAnsi="Times New Roman"/>
        </w:rPr>
        <w:t xml:space="preserve">The First Schedule to the Principal Act is amended by inserting in item 70, before the words </w:t>
      </w:r>
      <w:r w:rsidR="001440D3">
        <w:rPr>
          <w:rFonts w:ascii="Times New Roman" w:hAnsi="Times New Roman"/>
        </w:rPr>
        <w:t>“</w:t>
      </w:r>
      <w:r w:rsidRPr="00AC1999">
        <w:rPr>
          <w:rFonts w:ascii="Times New Roman" w:hAnsi="Times New Roman"/>
        </w:rPr>
        <w:t>the Second Schedule</w:t>
      </w:r>
      <w:r w:rsidR="001440D3">
        <w:rPr>
          <w:rFonts w:ascii="Times New Roman" w:hAnsi="Times New Roman"/>
        </w:rPr>
        <w:t>”</w:t>
      </w:r>
      <w:r w:rsidRPr="00AC1999">
        <w:rPr>
          <w:rFonts w:ascii="Times New Roman" w:hAnsi="Times New Roman"/>
        </w:rPr>
        <w:t xml:space="preserve">, the words </w:t>
      </w:r>
      <w:r w:rsidR="001440D3">
        <w:rPr>
          <w:rFonts w:ascii="Times New Roman" w:hAnsi="Times New Roman"/>
        </w:rPr>
        <w:t>“</w:t>
      </w:r>
      <w:r w:rsidRPr="00AC1999">
        <w:rPr>
          <w:rFonts w:ascii="Times New Roman" w:hAnsi="Times New Roman"/>
        </w:rPr>
        <w:t>Part I. of</w:t>
      </w:r>
      <w:r w:rsidR="001440D3">
        <w:rPr>
          <w:rFonts w:ascii="Times New Roman" w:hAnsi="Times New Roman"/>
        </w:rPr>
        <w:t>”</w:t>
      </w:r>
      <w:r w:rsidRPr="00AC1999">
        <w:rPr>
          <w:rFonts w:ascii="Times New Roman" w:hAnsi="Times New Roman"/>
        </w:rPr>
        <w:t>.</w:t>
      </w:r>
    </w:p>
    <w:p w:rsidR="00D6714C" w:rsidRPr="00AC1999" w:rsidRDefault="00D6714C" w:rsidP="007A2CFE">
      <w:pPr>
        <w:tabs>
          <w:tab w:val="left" w:pos="1080"/>
        </w:tabs>
        <w:spacing w:after="0" w:line="240" w:lineRule="auto"/>
        <w:ind w:firstLine="432"/>
        <w:jc w:val="both"/>
        <w:rPr>
          <w:rFonts w:ascii="Times New Roman" w:hAnsi="Times New Roman"/>
        </w:rPr>
      </w:pPr>
      <w:r w:rsidRPr="00AC1999">
        <w:rPr>
          <w:rFonts w:ascii="Times New Roman" w:hAnsi="Times New Roman"/>
        </w:rPr>
        <w:t>(8.)</w:t>
      </w:r>
      <w:r w:rsidR="00AD084C">
        <w:rPr>
          <w:rFonts w:ascii="Times New Roman" w:hAnsi="Times New Roman"/>
        </w:rPr>
        <w:tab/>
      </w:r>
      <w:r w:rsidRPr="00AC1999">
        <w:rPr>
          <w:rFonts w:ascii="Times New Roman" w:hAnsi="Times New Roman"/>
        </w:rPr>
        <w:t>The First Schedule to the Principal Act is amended by omitting from item 74</w:t>
      </w:r>
      <w:r w:rsidRPr="00934637">
        <w:rPr>
          <w:rFonts w:ascii="Times New Roman" w:hAnsi="Times New Roman"/>
          <w:smallCaps/>
        </w:rPr>
        <w:t>g</w:t>
      </w:r>
      <w:r w:rsidRPr="00AC1999">
        <w:rPr>
          <w:rFonts w:ascii="Times New Roman" w:hAnsi="Times New Roman"/>
        </w:rPr>
        <w:t xml:space="preserve"> the words </w:t>
      </w:r>
      <w:r w:rsidR="001440D3">
        <w:rPr>
          <w:rFonts w:ascii="Times New Roman" w:hAnsi="Times New Roman"/>
        </w:rPr>
        <w:t>“</w:t>
      </w:r>
      <w:r w:rsidRPr="00AC1999">
        <w:rPr>
          <w:rFonts w:ascii="Times New Roman" w:hAnsi="Times New Roman"/>
        </w:rPr>
        <w:t>Imperial War Graves Commission</w:t>
      </w:r>
      <w:r w:rsidR="001440D3">
        <w:rPr>
          <w:rFonts w:ascii="Times New Roman" w:hAnsi="Times New Roman"/>
        </w:rPr>
        <w:t>”</w:t>
      </w:r>
      <w:r w:rsidRPr="00AC1999">
        <w:rPr>
          <w:rFonts w:ascii="Times New Roman" w:hAnsi="Times New Roman"/>
        </w:rPr>
        <w:t xml:space="preserve"> and inserting in their stead the words </w:t>
      </w:r>
      <w:r w:rsidR="001440D3">
        <w:rPr>
          <w:rFonts w:ascii="Times New Roman" w:hAnsi="Times New Roman"/>
        </w:rPr>
        <w:t>“</w:t>
      </w:r>
      <w:r w:rsidRPr="00AC1999">
        <w:rPr>
          <w:rFonts w:ascii="Times New Roman" w:hAnsi="Times New Roman"/>
        </w:rPr>
        <w:t>Commonwealth War Graves Commission</w:t>
      </w:r>
      <w:r w:rsidR="001440D3">
        <w:rPr>
          <w:rFonts w:ascii="Times New Roman" w:hAnsi="Times New Roman"/>
        </w:rPr>
        <w:t>”</w:t>
      </w:r>
      <w:r w:rsidRPr="00AC1999">
        <w:rPr>
          <w:rFonts w:ascii="Times New Roman" w:hAnsi="Times New Roman"/>
        </w:rPr>
        <w:t>.</w:t>
      </w:r>
    </w:p>
    <w:p w:rsidR="00D6714C" w:rsidRPr="00AC1999" w:rsidRDefault="00D6714C" w:rsidP="007A2CFE">
      <w:pPr>
        <w:tabs>
          <w:tab w:val="left" w:pos="1080"/>
        </w:tabs>
        <w:spacing w:after="0" w:line="240" w:lineRule="auto"/>
        <w:ind w:firstLine="432"/>
        <w:jc w:val="both"/>
        <w:rPr>
          <w:rFonts w:ascii="Times New Roman" w:hAnsi="Times New Roman"/>
        </w:rPr>
      </w:pPr>
      <w:r w:rsidRPr="00AC1999">
        <w:rPr>
          <w:rFonts w:ascii="Times New Roman" w:hAnsi="Times New Roman"/>
        </w:rPr>
        <w:t>(9.)</w:t>
      </w:r>
      <w:r w:rsidR="003852E0">
        <w:rPr>
          <w:rFonts w:ascii="Times New Roman" w:hAnsi="Times New Roman"/>
        </w:rPr>
        <w:tab/>
      </w:r>
      <w:r w:rsidRPr="00AC1999">
        <w:rPr>
          <w:rFonts w:ascii="Times New Roman" w:hAnsi="Times New Roman"/>
        </w:rPr>
        <w:t xml:space="preserve">The First Schedule to the Principal Act is amended by inserting in sub-item (3) of item 107, before the words </w:t>
      </w:r>
      <w:r w:rsidR="001440D3">
        <w:rPr>
          <w:rFonts w:ascii="Times New Roman" w:hAnsi="Times New Roman"/>
        </w:rPr>
        <w:t>“</w:t>
      </w:r>
      <w:r w:rsidRPr="00AC1999">
        <w:rPr>
          <w:rFonts w:ascii="Times New Roman" w:hAnsi="Times New Roman"/>
        </w:rPr>
        <w:t>the First Schedule</w:t>
      </w:r>
      <w:r w:rsidR="001440D3">
        <w:rPr>
          <w:rFonts w:ascii="Times New Roman" w:hAnsi="Times New Roman"/>
        </w:rPr>
        <w:t>”</w:t>
      </w:r>
      <w:r w:rsidRPr="00AC1999">
        <w:rPr>
          <w:rFonts w:ascii="Times New Roman" w:hAnsi="Times New Roman"/>
        </w:rPr>
        <w:t xml:space="preserve">, the words </w:t>
      </w:r>
      <w:r w:rsidR="001440D3">
        <w:rPr>
          <w:rFonts w:ascii="Times New Roman" w:hAnsi="Times New Roman"/>
        </w:rPr>
        <w:t>“</w:t>
      </w:r>
      <w:r w:rsidRPr="00AC1999">
        <w:rPr>
          <w:rFonts w:ascii="Times New Roman" w:hAnsi="Times New Roman"/>
        </w:rPr>
        <w:t>Part II. of</w:t>
      </w:r>
      <w:r w:rsidR="001440D3">
        <w:rPr>
          <w:rFonts w:ascii="Times New Roman" w:hAnsi="Times New Roman"/>
        </w:rPr>
        <w:t>”</w:t>
      </w:r>
      <w:r w:rsidRPr="00AC1999">
        <w:rPr>
          <w:rFonts w:ascii="Times New Roman" w:hAnsi="Times New Roman"/>
        </w:rPr>
        <w:t>.</w:t>
      </w:r>
    </w:p>
    <w:p w:rsidR="00D6714C" w:rsidRPr="00AC1999" w:rsidRDefault="00D6714C" w:rsidP="00302495">
      <w:pPr>
        <w:tabs>
          <w:tab w:val="left" w:pos="1080"/>
        </w:tabs>
        <w:spacing w:after="120" w:line="240" w:lineRule="auto"/>
        <w:ind w:firstLine="432"/>
        <w:jc w:val="both"/>
        <w:rPr>
          <w:rFonts w:ascii="Times New Roman" w:hAnsi="Times New Roman"/>
        </w:rPr>
      </w:pPr>
      <w:r w:rsidRPr="00AC1999">
        <w:rPr>
          <w:rFonts w:ascii="Times New Roman" w:hAnsi="Times New Roman"/>
        </w:rPr>
        <w:t>(10.)</w:t>
      </w:r>
      <w:r w:rsidR="007F3A87">
        <w:rPr>
          <w:rFonts w:ascii="Times New Roman" w:hAnsi="Times New Roman"/>
        </w:rPr>
        <w:tab/>
      </w:r>
      <w:r w:rsidRPr="00AC1999">
        <w:rPr>
          <w:rFonts w:ascii="Times New Roman" w:hAnsi="Times New Roman"/>
        </w:rPr>
        <w:t>The First Schedule to the Principal Act is amended by omitting sub-item (6) of item 107 and inserting in its stead the following sub-item:—</w:t>
      </w:r>
    </w:p>
    <w:tbl>
      <w:tblPr>
        <w:tblW w:w="5000" w:type="pct"/>
        <w:tblCellMar>
          <w:left w:w="40" w:type="dxa"/>
          <w:right w:w="40" w:type="dxa"/>
        </w:tblCellMar>
        <w:tblLook w:val="0000" w:firstRow="0" w:lastRow="0" w:firstColumn="0" w:lastColumn="0" w:noHBand="0" w:noVBand="0"/>
      </w:tblPr>
      <w:tblGrid>
        <w:gridCol w:w="7236"/>
        <w:gridCol w:w="1873"/>
      </w:tblGrid>
      <w:tr w:rsidR="00D6714C" w:rsidRPr="00AC1999" w:rsidTr="00692425">
        <w:trPr>
          <w:trHeight w:val="936"/>
        </w:trPr>
        <w:tc>
          <w:tcPr>
            <w:tcW w:w="3972" w:type="pct"/>
            <w:tcBorders>
              <w:right w:val="single" w:sz="6" w:space="0" w:color="auto"/>
            </w:tcBorders>
          </w:tcPr>
          <w:p w:rsidR="00D6714C" w:rsidRPr="00AC1999" w:rsidRDefault="00D6714C" w:rsidP="006862D0">
            <w:pPr>
              <w:spacing w:after="0" w:line="240" w:lineRule="auto"/>
              <w:ind w:left="1296" w:hanging="576"/>
              <w:jc w:val="both"/>
              <w:rPr>
                <w:rFonts w:ascii="Times New Roman" w:hAnsi="Times New Roman"/>
              </w:rPr>
            </w:pPr>
            <w:r w:rsidRPr="00AC1999">
              <w:rPr>
                <w:rFonts w:ascii="Times New Roman" w:hAnsi="Times New Roman"/>
              </w:rPr>
              <w:t>(6) Cinematographic films that are free from duties of Customs, being films that have been exposed outside Australia by amateur photographers, depict matters mainly of interest to the photographer and his relatives and friends in Australia and are not suitable to be screened for commercial purposes</w:t>
            </w:r>
          </w:p>
        </w:tc>
        <w:tc>
          <w:tcPr>
            <w:tcW w:w="1028" w:type="pct"/>
            <w:tcBorders>
              <w:left w:val="single" w:sz="6" w:space="0" w:color="auto"/>
            </w:tcBorders>
            <w:shd w:val="clear" w:color="auto" w:fill="auto"/>
          </w:tcPr>
          <w:p w:rsidR="00D6714C" w:rsidRPr="00AC1999" w:rsidRDefault="002319AB" w:rsidP="006862D0">
            <w:pPr>
              <w:spacing w:before="480" w:after="0" w:line="240" w:lineRule="auto"/>
              <w:ind w:left="432"/>
              <w:jc w:val="both"/>
              <w:rPr>
                <w:rFonts w:ascii="Times New Roman" w:hAnsi="Times New Roman"/>
              </w:rPr>
            </w:pPr>
            <w:r>
              <w:rPr>
                <w:rFonts w:ascii="Times New Roman" w:hAnsi="Times New Roman"/>
                <w:noProof/>
              </w:rPr>
              <w:pict>
                <v:shape id="_x0000_s1030" type="#_x0000_t88" style="position:absolute;left:0;text-align:left;margin-left:-1.85pt;margin-top:.8pt;width:7.15pt;height:62.1pt;z-index:251662336;mso-position-horizontal-relative:text;mso-position-vertical-relative:text"/>
              </w:pict>
            </w:r>
            <w:r w:rsidR="00D6714C" w:rsidRPr="00AC1999">
              <w:rPr>
                <w:rFonts w:ascii="Times New Roman" w:hAnsi="Times New Roman"/>
              </w:rPr>
              <w:t>No. 5</w:t>
            </w:r>
            <w:r w:rsidR="001440D3">
              <w:rPr>
                <w:rFonts w:ascii="Times New Roman" w:hAnsi="Times New Roman"/>
              </w:rPr>
              <w:t>”</w:t>
            </w:r>
            <w:r w:rsidR="00D6714C" w:rsidRPr="00AC1999">
              <w:rPr>
                <w:rFonts w:ascii="Times New Roman" w:hAnsi="Times New Roman"/>
              </w:rPr>
              <w:t>.</w:t>
            </w:r>
          </w:p>
        </w:tc>
      </w:tr>
    </w:tbl>
    <w:p w:rsidR="00C050AA" w:rsidRDefault="00D6714C" w:rsidP="006E5C2E">
      <w:pPr>
        <w:tabs>
          <w:tab w:val="left" w:pos="1170"/>
        </w:tabs>
        <w:spacing w:before="120" w:after="120" w:line="240" w:lineRule="auto"/>
        <w:ind w:firstLine="432"/>
        <w:jc w:val="both"/>
        <w:rPr>
          <w:rFonts w:ascii="Times New Roman" w:hAnsi="Times New Roman"/>
        </w:rPr>
      </w:pPr>
      <w:r w:rsidRPr="00AC1999">
        <w:rPr>
          <w:rFonts w:ascii="Times New Roman" w:hAnsi="Times New Roman"/>
        </w:rPr>
        <w:t>(11.)</w:t>
      </w:r>
      <w:r w:rsidR="006E4701">
        <w:rPr>
          <w:rFonts w:ascii="Times New Roman" w:hAnsi="Times New Roman"/>
        </w:rPr>
        <w:tab/>
      </w:r>
      <w:r w:rsidRPr="00AC1999">
        <w:rPr>
          <w:rFonts w:ascii="Times New Roman" w:hAnsi="Times New Roman"/>
        </w:rPr>
        <w:t>The First Schedule to the Principal Act is amended by inserting in item 111</w:t>
      </w:r>
      <w:r w:rsidRPr="003148AB">
        <w:rPr>
          <w:rFonts w:ascii="Times New Roman" w:hAnsi="Times New Roman"/>
          <w:smallCaps/>
        </w:rPr>
        <w:t>a</w:t>
      </w:r>
      <w:r w:rsidRPr="00AC1999">
        <w:rPr>
          <w:rFonts w:ascii="Times New Roman" w:hAnsi="Times New Roman"/>
        </w:rPr>
        <w:t xml:space="preserve">, before the words </w:t>
      </w:r>
      <w:r w:rsidR="001440D3">
        <w:rPr>
          <w:rFonts w:ascii="Times New Roman" w:hAnsi="Times New Roman"/>
        </w:rPr>
        <w:t>“</w:t>
      </w:r>
      <w:r w:rsidRPr="00AC1999">
        <w:rPr>
          <w:rFonts w:ascii="Times New Roman" w:hAnsi="Times New Roman"/>
        </w:rPr>
        <w:t>the Second Schedule</w:t>
      </w:r>
      <w:r w:rsidR="001440D3">
        <w:rPr>
          <w:rFonts w:ascii="Times New Roman" w:hAnsi="Times New Roman"/>
        </w:rPr>
        <w:t>”</w:t>
      </w:r>
      <w:r w:rsidRPr="00AC1999">
        <w:rPr>
          <w:rFonts w:ascii="Times New Roman" w:hAnsi="Times New Roman"/>
        </w:rPr>
        <w:t xml:space="preserve">, the words </w:t>
      </w:r>
      <w:r w:rsidR="001440D3">
        <w:rPr>
          <w:rFonts w:ascii="Times New Roman" w:hAnsi="Times New Roman"/>
        </w:rPr>
        <w:t>“</w:t>
      </w:r>
      <w:r w:rsidRPr="00AC1999">
        <w:rPr>
          <w:rFonts w:ascii="Times New Roman" w:hAnsi="Times New Roman"/>
        </w:rPr>
        <w:t>Part I. of</w:t>
      </w:r>
      <w:r w:rsidR="001440D3">
        <w:rPr>
          <w:rFonts w:ascii="Times New Roman" w:hAnsi="Times New Roman"/>
        </w:rPr>
        <w:t>”</w:t>
      </w:r>
      <w:r w:rsidRPr="00AC1999">
        <w:rPr>
          <w:rFonts w:ascii="Times New Roman" w:hAnsi="Times New Roman"/>
        </w:rPr>
        <w:t>.</w:t>
      </w:r>
    </w:p>
    <w:p w:rsidR="00D6714C" w:rsidRPr="00AC1999" w:rsidRDefault="00C050AA" w:rsidP="00FA135A">
      <w:pPr>
        <w:tabs>
          <w:tab w:val="left" w:pos="1080"/>
        </w:tabs>
        <w:spacing w:after="0" w:line="240" w:lineRule="auto"/>
        <w:ind w:firstLine="432"/>
        <w:jc w:val="both"/>
        <w:rPr>
          <w:rFonts w:ascii="Times New Roman" w:hAnsi="Times New Roman"/>
        </w:rPr>
      </w:pPr>
      <w:r>
        <w:rPr>
          <w:rFonts w:ascii="Times New Roman" w:hAnsi="Times New Roman"/>
        </w:rPr>
        <w:br w:type="page"/>
      </w:r>
      <w:r w:rsidR="00D6714C" w:rsidRPr="00AC1999">
        <w:rPr>
          <w:rFonts w:ascii="Times New Roman" w:hAnsi="Times New Roman"/>
        </w:rPr>
        <w:lastRenderedPageBreak/>
        <w:t>(12.)</w:t>
      </w:r>
      <w:r w:rsidR="00D53358">
        <w:rPr>
          <w:rFonts w:ascii="Times New Roman" w:hAnsi="Times New Roman"/>
        </w:rPr>
        <w:tab/>
      </w:r>
      <w:r w:rsidR="00D6714C" w:rsidRPr="00AC1999">
        <w:rPr>
          <w:rFonts w:ascii="Times New Roman" w:hAnsi="Times New Roman"/>
        </w:rPr>
        <w:t xml:space="preserve">The First Schedule to the Principal Act is amended by inserting in sub-items (1) and (2) of item 114, before the words </w:t>
      </w:r>
      <w:r w:rsidR="001440D3">
        <w:rPr>
          <w:rFonts w:ascii="Times New Roman" w:hAnsi="Times New Roman"/>
        </w:rPr>
        <w:t>“</w:t>
      </w:r>
      <w:r w:rsidR="00D6714C" w:rsidRPr="00AC1999">
        <w:rPr>
          <w:rFonts w:ascii="Times New Roman" w:hAnsi="Times New Roman"/>
        </w:rPr>
        <w:t>the Second Schedule</w:t>
      </w:r>
      <w:r w:rsidR="001440D3">
        <w:rPr>
          <w:rFonts w:ascii="Times New Roman" w:hAnsi="Times New Roman"/>
        </w:rPr>
        <w:t>”</w:t>
      </w:r>
      <w:r w:rsidR="00D6714C" w:rsidRPr="00AC1999">
        <w:rPr>
          <w:rFonts w:ascii="Times New Roman" w:hAnsi="Times New Roman"/>
        </w:rPr>
        <w:t xml:space="preserve">, the words </w:t>
      </w:r>
      <w:r w:rsidR="001440D3">
        <w:rPr>
          <w:rFonts w:ascii="Times New Roman" w:hAnsi="Times New Roman"/>
        </w:rPr>
        <w:t>“</w:t>
      </w:r>
      <w:r w:rsidR="00D6714C" w:rsidRPr="00AC1999">
        <w:rPr>
          <w:rFonts w:ascii="Times New Roman" w:hAnsi="Times New Roman"/>
        </w:rPr>
        <w:t>Part I. of</w:t>
      </w:r>
      <w:r w:rsidR="001440D3">
        <w:rPr>
          <w:rFonts w:ascii="Times New Roman" w:hAnsi="Times New Roman"/>
        </w:rPr>
        <w:t>”</w:t>
      </w:r>
      <w:r w:rsidR="00D6714C" w:rsidRPr="00AC1999">
        <w:rPr>
          <w:rFonts w:ascii="Times New Roman" w:hAnsi="Times New Roman"/>
        </w:rPr>
        <w:t>.</w:t>
      </w:r>
    </w:p>
    <w:p w:rsidR="00D6714C" w:rsidRPr="00AC1999" w:rsidRDefault="00D6714C" w:rsidP="00A55950">
      <w:pPr>
        <w:tabs>
          <w:tab w:val="left" w:pos="1080"/>
        </w:tabs>
        <w:spacing w:after="120" w:line="240" w:lineRule="auto"/>
        <w:ind w:firstLine="432"/>
        <w:jc w:val="both"/>
        <w:rPr>
          <w:rFonts w:ascii="Times New Roman" w:hAnsi="Times New Roman"/>
        </w:rPr>
      </w:pPr>
      <w:r w:rsidRPr="00AC1999">
        <w:rPr>
          <w:rFonts w:ascii="Times New Roman" w:hAnsi="Times New Roman"/>
        </w:rPr>
        <w:t>(13.)</w:t>
      </w:r>
      <w:r w:rsidR="002E48B4">
        <w:rPr>
          <w:rFonts w:ascii="Times New Roman" w:hAnsi="Times New Roman"/>
        </w:rPr>
        <w:tab/>
      </w:r>
      <w:r w:rsidRPr="00AC1999">
        <w:rPr>
          <w:rFonts w:ascii="Times New Roman" w:hAnsi="Times New Roman"/>
        </w:rPr>
        <w:t>The First Schedule to the Principal Act is amended by omitting sub-item (2) of item 114</w:t>
      </w:r>
      <w:r w:rsidRPr="00C816C7">
        <w:rPr>
          <w:rFonts w:ascii="Times New Roman" w:hAnsi="Times New Roman"/>
          <w:smallCaps/>
        </w:rPr>
        <w:t>b</w:t>
      </w:r>
      <w:r w:rsidRPr="00AC1999">
        <w:rPr>
          <w:rFonts w:ascii="Times New Roman" w:hAnsi="Times New Roman"/>
        </w:rPr>
        <w:t xml:space="preserve"> and inserting in its stead the following sub-item:—</w:t>
      </w:r>
    </w:p>
    <w:tbl>
      <w:tblPr>
        <w:tblW w:w="5000" w:type="pct"/>
        <w:tblCellMar>
          <w:left w:w="40" w:type="dxa"/>
          <w:right w:w="40" w:type="dxa"/>
        </w:tblCellMar>
        <w:tblLook w:val="0000" w:firstRow="0" w:lastRow="0" w:firstColumn="0" w:lastColumn="0" w:noHBand="0" w:noVBand="0"/>
      </w:tblPr>
      <w:tblGrid>
        <w:gridCol w:w="6812"/>
        <w:gridCol w:w="2297"/>
      </w:tblGrid>
      <w:tr w:rsidR="00D6714C" w:rsidRPr="00AC1999" w:rsidTr="00CF3B73">
        <w:trPr>
          <w:trHeight w:val="590"/>
        </w:trPr>
        <w:tc>
          <w:tcPr>
            <w:tcW w:w="3739" w:type="pct"/>
            <w:tcBorders>
              <w:right w:val="single" w:sz="6" w:space="0" w:color="auto"/>
            </w:tcBorders>
          </w:tcPr>
          <w:p w:rsidR="00D6714C" w:rsidRPr="00AC1999" w:rsidRDefault="001440D3" w:rsidP="006862D0">
            <w:pPr>
              <w:spacing w:after="0" w:line="240" w:lineRule="auto"/>
              <w:ind w:left="1296" w:hanging="576"/>
              <w:jc w:val="both"/>
              <w:rPr>
                <w:rFonts w:ascii="Times New Roman" w:hAnsi="Times New Roman"/>
              </w:rPr>
            </w:pPr>
            <w:r>
              <w:rPr>
                <w:rFonts w:ascii="Times New Roman" w:hAnsi="Times New Roman"/>
              </w:rPr>
              <w:t>“</w:t>
            </w:r>
            <w:r w:rsidR="00D6714C" w:rsidRPr="00AC1999">
              <w:rPr>
                <w:rFonts w:ascii="Times New Roman" w:hAnsi="Times New Roman"/>
              </w:rPr>
              <w:t>(2) Motor vehicles for use by members of the United States Forces, in such cases or circumstances as are prescribed</w:t>
            </w:r>
          </w:p>
        </w:tc>
        <w:tc>
          <w:tcPr>
            <w:tcW w:w="1261" w:type="pct"/>
            <w:tcBorders>
              <w:left w:val="single" w:sz="6" w:space="0" w:color="auto"/>
            </w:tcBorders>
          </w:tcPr>
          <w:p w:rsidR="00D6714C" w:rsidRPr="00AC1999" w:rsidRDefault="002319AB" w:rsidP="006933D0">
            <w:pPr>
              <w:spacing w:before="200" w:after="0" w:line="240" w:lineRule="auto"/>
              <w:ind w:left="288"/>
              <w:jc w:val="both"/>
              <w:rPr>
                <w:rFonts w:ascii="Times New Roman" w:hAnsi="Times New Roman"/>
              </w:rPr>
            </w:pPr>
            <w:r>
              <w:rPr>
                <w:rFonts w:ascii="Times New Roman" w:hAnsi="Times New Roman"/>
                <w:noProof/>
              </w:rPr>
              <w:pict>
                <v:shape id="_x0000_s1031" type="#_x0000_t88" style="position:absolute;left:0;text-align:left;margin-left:-2.35pt;margin-top:.8pt;width:7.15pt;height:29.15pt;z-index:251663360;mso-position-horizontal-relative:text;mso-position-vertical-relative:text"/>
              </w:pict>
            </w:r>
            <w:r w:rsidR="00D6714C" w:rsidRPr="00AC1999">
              <w:rPr>
                <w:rFonts w:ascii="Times New Roman" w:hAnsi="Times New Roman"/>
              </w:rPr>
              <w:t>Nos. 1 to 3</w:t>
            </w:r>
          </w:p>
        </w:tc>
      </w:tr>
    </w:tbl>
    <w:p w:rsidR="00D6714C" w:rsidRPr="00AC1999" w:rsidRDefault="00D6714C" w:rsidP="000A79B6">
      <w:pPr>
        <w:tabs>
          <w:tab w:val="left" w:pos="1080"/>
        </w:tabs>
        <w:spacing w:before="120" w:after="120" w:line="240" w:lineRule="auto"/>
        <w:ind w:firstLine="432"/>
        <w:jc w:val="both"/>
        <w:rPr>
          <w:rFonts w:ascii="Times New Roman" w:hAnsi="Times New Roman"/>
        </w:rPr>
      </w:pPr>
      <w:r w:rsidRPr="00AC1999">
        <w:rPr>
          <w:rFonts w:ascii="Times New Roman" w:hAnsi="Times New Roman"/>
        </w:rPr>
        <w:t>(14.)</w:t>
      </w:r>
      <w:r w:rsidR="00DF68E6">
        <w:rPr>
          <w:rFonts w:ascii="Times New Roman" w:hAnsi="Times New Roman"/>
        </w:rPr>
        <w:tab/>
      </w:r>
      <w:r w:rsidRPr="00AC1999">
        <w:rPr>
          <w:rFonts w:ascii="Times New Roman" w:hAnsi="Times New Roman"/>
        </w:rPr>
        <w:t>The First Schedule to the Principal Act is amended by inserting after item 114</w:t>
      </w:r>
      <w:r w:rsidRPr="00DD602D">
        <w:rPr>
          <w:rFonts w:ascii="Times New Roman" w:hAnsi="Times New Roman"/>
          <w:smallCaps/>
        </w:rPr>
        <w:t>b</w:t>
      </w:r>
      <w:r w:rsidRPr="00AC1999">
        <w:rPr>
          <w:rFonts w:ascii="Times New Roman" w:hAnsi="Times New Roman"/>
        </w:rPr>
        <w:t xml:space="preserve"> the following item:—</w:t>
      </w:r>
    </w:p>
    <w:tbl>
      <w:tblPr>
        <w:tblW w:w="5000" w:type="pct"/>
        <w:tblCellMar>
          <w:left w:w="40" w:type="dxa"/>
          <w:right w:w="40" w:type="dxa"/>
        </w:tblCellMar>
        <w:tblLook w:val="0000" w:firstRow="0" w:lastRow="0" w:firstColumn="0" w:lastColumn="0" w:noHBand="0" w:noVBand="0"/>
      </w:tblPr>
      <w:tblGrid>
        <w:gridCol w:w="6937"/>
        <w:gridCol w:w="2172"/>
      </w:tblGrid>
      <w:tr w:rsidR="00D6714C" w:rsidRPr="00AC1999" w:rsidTr="001662FE">
        <w:trPr>
          <w:trHeight w:val="677"/>
        </w:trPr>
        <w:tc>
          <w:tcPr>
            <w:tcW w:w="3808" w:type="pct"/>
            <w:tcBorders>
              <w:right w:val="single" w:sz="6" w:space="0" w:color="auto"/>
            </w:tcBorders>
          </w:tcPr>
          <w:p w:rsidR="00D6714C" w:rsidRPr="00AC1999" w:rsidRDefault="001440D3" w:rsidP="006862D0">
            <w:pPr>
              <w:spacing w:after="0" w:line="240" w:lineRule="auto"/>
              <w:ind w:left="1296" w:hanging="576"/>
              <w:jc w:val="both"/>
              <w:rPr>
                <w:rFonts w:ascii="Times New Roman" w:hAnsi="Times New Roman"/>
              </w:rPr>
            </w:pPr>
            <w:r>
              <w:rPr>
                <w:rFonts w:ascii="Times New Roman" w:hAnsi="Times New Roman"/>
              </w:rPr>
              <w:t>“</w:t>
            </w:r>
            <w:r w:rsidR="00D6714C" w:rsidRPr="00AC1999">
              <w:rPr>
                <w:rFonts w:ascii="Times New Roman" w:hAnsi="Times New Roman"/>
              </w:rPr>
              <w:t>115. Motor vehicles for use by members of the armed forces of the Government of the United Kingdom serving in Australia, in such cases or circumstances as are prescribed</w:t>
            </w:r>
          </w:p>
        </w:tc>
        <w:tc>
          <w:tcPr>
            <w:tcW w:w="1192" w:type="pct"/>
            <w:tcBorders>
              <w:left w:val="single" w:sz="6" w:space="0" w:color="auto"/>
            </w:tcBorders>
          </w:tcPr>
          <w:p w:rsidR="00D6714C" w:rsidRPr="00AC1999" w:rsidRDefault="002319AB" w:rsidP="00B17260">
            <w:pPr>
              <w:spacing w:before="200" w:after="0" w:line="240" w:lineRule="auto"/>
              <w:ind w:left="288"/>
              <w:jc w:val="both"/>
              <w:rPr>
                <w:rFonts w:ascii="Times New Roman" w:hAnsi="Times New Roman"/>
              </w:rPr>
            </w:pPr>
            <w:r>
              <w:rPr>
                <w:rFonts w:ascii="Times New Roman" w:hAnsi="Times New Roman"/>
                <w:noProof/>
              </w:rPr>
              <w:pict>
                <v:shape id="_x0000_s1032" type="#_x0000_t88" style="position:absolute;left:0;text-align:left;margin-left:-1.75pt;margin-top:.5pt;width:7.15pt;height:37.1pt;z-index:251664384;mso-position-horizontal-relative:text;mso-position-vertical-relative:text"/>
              </w:pict>
            </w:r>
            <w:r w:rsidR="00D6714C" w:rsidRPr="00AC1999">
              <w:rPr>
                <w:rFonts w:ascii="Times New Roman" w:hAnsi="Times New Roman"/>
              </w:rPr>
              <w:t>Nos. 1 to 3</w:t>
            </w:r>
            <w:r w:rsidR="001440D3">
              <w:rPr>
                <w:rFonts w:ascii="Times New Roman" w:hAnsi="Times New Roman"/>
              </w:rPr>
              <w:t>”</w:t>
            </w:r>
          </w:p>
        </w:tc>
      </w:tr>
    </w:tbl>
    <w:p w:rsidR="00D6714C" w:rsidRPr="00AC1999" w:rsidRDefault="002319AB" w:rsidP="00231637">
      <w:pPr>
        <w:tabs>
          <w:tab w:val="left" w:pos="1080"/>
        </w:tabs>
        <w:spacing w:before="120" w:after="120" w:line="240" w:lineRule="auto"/>
        <w:ind w:firstLine="432"/>
        <w:jc w:val="both"/>
        <w:rPr>
          <w:rFonts w:ascii="Times New Roman" w:hAnsi="Times New Roman"/>
        </w:rPr>
      </w:pPr>
      <w:r>
        <w:rPr>
          <w:rFonts w:ascii="Times New Roman" w:hAnsi="Times New Roman"/>
          <w:noProof/>
        </w:rPr>
        <w:pict>
          <v:shape id="_x0000_s1033" type="#_x0000_t88" style="position:absolute;left:0;text-align:left;margin-left:340.75pt;margin-top:37.05pt;width:7.15pt;height:50.8pt;z-index:251665408;mso-position-horizontal-relative:text;mso-position-vertical-relative:text"/>
        </w:pict>
      </w:r>
      <w:r w:rsidR="00D6714C" w:rsidRPr="00AC1999">
        <w:rPr>
          <w:rFonts w:ascii="Times New Roman" w:hAnsi="Times New Roman"/>
        </w:rPr>
        <w:t>(15.)</w:t>
      </w:r>
      <w:r w:rsidR="00BA4BC2">
        <w:rPr>
          <w:rFonts w:ascii="Times New Roman" w:hAnsi="Times New Roman"/>
        </w:rPr>
        <w:tab/>
      </w:r>
      <w:r w:rsidR="00D6714C" w:rsidRPr="00AC1999">
        <w:rPr>
          <w:rFonts w:ascii="Times New Roman" w:hAnsi="Times New Roman"/>
        </w:rPr>
        <w:t>The First Schedule to the Principal Act is amended by omitting item 116 and inserting in its stead the following item:—</w:t>
      </w:r>
    </w:p>
    <w:tbl>
      <w:tblPr>
        <w:tblW w:w="5000" w:type="pct"/>
        <w:tblCellMar>
          <w:left w:w="40" w:type="dxa"/>
          <w:right w:w="40" w:type="dxa"/>
        </w:tblCellMar>
        <w:tblLook w:val="0000" w:firstRow="0" w:lastRow="0" w:firstColumn="0" w:lastColumn="0" w:noHBand="0" w:noVBand="0"/>
      </w:tblPr>
      <w:tblGrid>
        <w:gridCol w:w="6859"/>
        <w:gridCol w:w="2250"/>
      </w:tblGrid>
      <w:tr w:rsidR="00D6714C" w:rsidRPr="00AC1999" w:rsidTr="00647E31">
        <w:trPr>
          <w:trHeight w:val="20"/>
        </w:trPr>
        <w:tc>
          <w:tcPr>
            <w:tcW w:w="3765" w:type="pct"/>
            <w:tcBorders>
              <w:right w:val="single" w:sz="6" w:space="0" w:color="auto"/>
            </w:tcBorders>
          </w:tcPr>
          <w:p w:rsidR="00D6714C" w:rsidRPr="00AC1999" w:rsidRDefault="001440D3" w:rsidP="006862D0">
            <w:pPr>
              <w:spacing w:after="0" w:line="240" w:lineRule="auto"/>
              <w:ind w:left="1872" w:hanging="1152"/>
              <w:jc w:val="both"/>
              <w:rPr>
                <w:rFonts w:ascii="Times New Roman" w:hAnsi="Times New Roman"/>
              </w:rPr>
            </w:pPr>
            <w:r>
              <w:rPr>
                <w:rFonts w:ascii="Times New Roman" w:hAnsi="Times New Roman"/>
              </w:rPr>
              <w:t>“</w:t>
            </w:r>
            <w:r w:rsidR="00D6714C" w:rsidRPr="00AC1999">
              <w:rPr>
                <w:rFonts w:ascii="Times New Roman" w:hAnsi="Times New Roman"/>
              </w:rPr>
              <w:t>116.—(1) Imported goods the produce or manufacture of Australia, being goods to which item 29 in Part I. of the Second Schedule to the Customs Tariff applies, but not being motor vehicles or parts for motor vehicles</w:t>
            </w:r>
          </w:p>
        </w:tc>
        <w:tc>
          <w:tcPr>
            <w:tcW w:w="1235" w:type="pct"/>
            <w:tcBorders>
              <w:left w:val="single" w:sz="6" w:space="0" w:color="auto"/>
            </w:tcBorders>
          </w:tcPr>
          <w:p w:rsidR="00D6714C" w:rsidRPr="00AC1999" w:rsidRDefault="00D6714C" w:rsidP="00347E6F">
            <w:pPr>
              <w:spacing w:before="360" w:after="0" w:line="240" w:lineRule="auto"/>
              <w:ind w:left="432"/>
              <w:jc w:val="both"/>
              <w:rPr>
                <w:rFonts w:ascii="Times New Roman" w:hAnsi="Times New Roman"/>
              </w:rPr>
            </w:pPr>
            <w:r w:rsidRPr="00AC1999">
              <w:rPr>
                <w:rFonts w:ascii="Times New Roman" w:hAnsi="Times New Roman"/>
              </w:rPr>
              <w:t>No. 5</w:t>
            </w:r>
          </w:p>
        </w:tc>
      </w:tr>
      <w:tr w:rsidR="00D6714C" w:rsidRPr="00AC1999" w:rsidTr="00647E31">
        <w:trPr>
          <w:trHeight w:val="20"/>
        </w:trPr>
        <w:tc>
          <w:tcPr>
            <w:tcW w:w="3765" w:type="pct"/>
            <w:tcBorders>
              <w:right w:val="single" w:sz="6" w:space="0" w:color="auto"/>
            </w:tcBorders>
          </w:tcPr>
          <w:p w:rsidR="00D6714C" w:rsidRPr="00AC1999" w:rsidRDefault="002319AB" w:rsidP="006862D0">
            <w:pPr>
              <w:spacing w:after="0" w:line="240" w:lineRule="auto"/>
              <w:ind w:left="1296" w:hanging="576"/>
              <w:jc w:val="both"/>
              <w:rPr>
                <w:rFonts w:ascii="Times New Roman" w:hAnsi="Times New Roman"/>
              </w:rPr>
            </w:pPr>
            <w:r>
              <w:rPr>
                <w:rFonts w:ascii="Times New Roman" w:hAnsi="Times New Roman"/>
                <w:noProof/>
              </w:rPr>
              <w:pict>
                <v:shape id="_x0000_s1034" type="#_x0000_t88" style="position:absolute;left:0;text-align:left;margin-left:340.75pt;margin-top:-.05pt;width:7.15pt;height:112.55pt;z-index:251666432;mso-position-horizontal-relative:text;mso-position-vertical-relative:text"/>
              </w:pict>
            </w:r>
            <w:r w:rsidR="001440D3">
              <w:rPr>
                <w:rFonts w:ascii="Times New Roman" w:hAnsi="Times New Roman"/>
              </w:rPr>
              <w:t>“</w:t>
            </w:r>
            <w:r w:rsidR="00D6714C" w:rsidRPr="00AC1999">
              <w:rPr>
                <w:rFonts w:ascii="Times New Roman" w:hAnsi="Times New Roman"/>
              </w:rPr>
              <w:t>(2) Re-imported goods—</w:t>
            </w:r>
          </w:p>
          <w:p w:rsidR="00D6714C" w:rsidRPr="00AC1999" w:rsidRDefault="00D6714C" w:rsidP="00224C86">
            <w:pPr>
              <w:spacing w:after="0" w:line="240" w:lineRule="auto"/>
              <w:ind w:left="1872" w:hanging="648"/>
              <w:jc w:val="both"/>
              <w:rPr>
                <w:rFonts w:ascii="Times New Roman" w:hAnsi="Times New Roman"/>
              </w:rPr>
            </w:pPr>
            <w:r w:rsidRPr="00AC1999">
              <w:rPr>
                <w:rFonts w:ascii="Times New Roman" w:hAnsi="Times New Roman"/>
              </w:rPr>
              <w:t>(</w:t>
            </w:r>
            <w:r w:rsidR="001A03B7" w:rsidRPr="00AC1999">
              <w:rPr>
                <w:rFonts w:ascii="Times New Roman" w:hAnsi="Times New Roman"/>
                <w:i/>
              </w:rPr>
              <w:t>a</w:t>
            </w:r>
            <w:r w:rsidRPr="00AC1999">
              <w:rPr>
                <w:rFonts w:ascii="Times New Roman" w:hAnsi="Times New Roman"/>
              </w:rPr>
              <w:t>)</w:t>
            </w:r>
            <w:r w:rsidR="001A03B7" w:rsidRPr="00AC1999">
              <w:rPr>
                <w:rFonts w:ascii="Times New Roman" w:hAnsi="Times New Roman"/>
                <w:i/>
              </w:rPr>
              <w:t xml:space="preserve"> </w:t>
            </w:r>
            <w:r w:rsidRPr="00AC1999">
              <w:rPr>
                <w:rFonts w:ascii="Times New Roman" w:hAnsi="Times New Roman"/>
              </w:rPr>
              <w:t>the character of which has not altered since expouation; and</w:t>
            </w:r>
          </w:p>
          <w:p w:rsidR="00D6714C" w:rsidRPr="00AC1999" w:rsidRDefault="00D6714C" w:rsidP="00224C86">
            <w:pPr>
              <w:spacing w:after="0" w:line="240" w:lineRule="auto"/>
              <w:ind w:left="1800" w:hanging="576"/>
              <w:jc w:val="both"/>
              <w:rPr>
                <w:rFonts w:ascii="Times New Roman" w:hAnsi="Times New Roman"/>
              </w:rPr>
            </w:pPr>
            <w:r w:rsidRPr="00AC1999">
              <w:rPr>
                <w:rFonts w:ascii="Times New Roman" w:hAnsi="Times New Roman"/>
              </w:rPr>
              <w:t>(</w:t>
            </w:r>
            <w:r w:rsidR="001A03B7" w:rsidRPr="00AC1999">
              <w:rPr>
                <w:rFonts w:ascii="Times New Roman" w:hAnsi="Times New Roman"/>
                <w:i/>
              </w:rPr>
              <w:t>b</w:t>
            </w:r>
            <w:r w:rsidRPr="00AC1999">
              <w:rPr>
                <w:rFonts w:ascii="Times New Roman" w:hAnsi="Times New Roman"/>
              </w:rPr>
              <w:t>)</w:t>
            </w:r>
            <w:r w:rsidR="001A03B7" w:rsidRPr="00AC1999">
              <w:rPr>
                <w:rFonts w:ascii="Times New Roman" w:hAnsi="Times New Roman"/>
                <w:i/>
              </w:rPr>
              <w:t xml:space="preserve"> </w:t>
            </w:r>
            <w:r w:rsidRPr="00AC1999">
              <w:rPr>
                <w:rFonts w:ascii="Times New Roman" w:hAnsi="Times New Roman"/>
              </w:rPr>
              <w:t>in respect of which a refund or drawback of duties of Customs or duties of Excise was not paid on exportation,</w:t>
            </w:r>
          </w:p>
          <w:p w:rsidR="00D6714C" w:rsidRPr="00AC1999" w:rsidRDefault="00D6714C" w:rsidP="007F3A43">
            <w:pPr>
              <w:spacing w:after="0" w:line="240" w:lineRule="auto"/>
              <w:ind w:left="1296"/>
              <w:jc w:val="both"/>
              <w:rPr>
                <w:rFonts w:ascii="Times New Roman" w:hAnsi="Times New Roman"/>
              </w:rPr>
            </w:pPr>
            <w:r w:rsidRPr="00AC1999">
              <w:rPr>
                <w:rFonts w:ascii="Times New Roman" w:hAnsi="Times New Roman"/>
              </w:rPr>
              <w:t>being goods to which item 33 in Part I. of the Second Schedule to the Customs Tariff applies, but not being motor vehicles or parts for motor vehicles</w:t>
            </w:r>
          </w:p>
        </w:tc>
        <w:tc>
          <w:tcPr>
            <w:tcW w:w="1235" w:type="pct"/>
            <w:tcBorders>
              <w:left w:val="single" w:sz="6" w:space="0" w:color="auto"/>
            </w:tcBorders>
          </w:tcPr>
          <w:p w:rsidR="00D6714C" w:rsidRPr="00AC1999" w:rsidRDefault="00D6714C" w:rsidP="006862D0">
            <w:pPr>
              <w:spacing w:before="960" w:after="0" w:line="240" w:lineRule="auto"/>
              <w:ind w:left="432"/>
              <w:jc w:val="both"/>
              <w:rPr>
                <w:rFonts w:ascii="Times New Roman" w:hAnsi="Times New Roman"/>
              </w:rPr>
            </w:pPr>
            <w:r w:rsidRPr="00AC1999">
              <w:rPr>
                <w:rFonts w:ascii="Times New Roman" w:hAnsi="Times New Roman"/>
              </w:rPr>
              <w:t>No. 5</w:t>
            </w:r>
            <w:r w:rsidR="001440D3">
              <w:rPr>
                <w:rFonts w:ascii="Times New Roman" w:hAnsi="Times New Roman"/>
              </w:rPr>
              <w:t>”</w:t>
            </w:r>
            <w:r w:rsidRPr="00AC1999">
              <w:rPr>
                <w:rFonts w:ascii="Times New Roman" w:hAnsi="Times New Roman"/>
              </w:rPr>
              <w:t>;</w:t>
            </w:r>
          </w:p>
        </w:tc>
      </w:tr>
    </w:tbl>
    <w:p w:rsidR="00D6714C" w:rsidRPr="00AC1999" w:rsidRDefault="00D6714C" w:rsidP="0083344B">
      <w:pPr>
        <w:tabs>
          <w:tab w:val="left" w:pos="1080"/>
        </w:tabs>
        <w:spacing w:before="120" w:after="120" w:line="240" w:lineRule="auto"/>
        <w:ind w:firstLine="432"/>
        <w:jc w:val="both"/>
        <w:rPr>
          <w:rFonts w:ascii="Times New Roman" w:hAnsi="Times New Roman"/>
        </w:rPr>
      </w:pPr>
      <w:r w:rsidRPr="00AC1999">
        <w:rPr>
          <w:rFonts w:ascii="Times New Roman" w:hAnsi="Times New Roman"/>
        </w:rPr>
        <w:t>(16.)</w:t>
      </w:r>
      <w:r w:rsidR="0070057A">
        <w:rPr>
          <w:rFonts w:ascii="Times New Roman" w:hAnsi="Times New Roman"/>
        </w:rPr>
        <w:tab/>
      </w:r>
      <w:r w:rsidRPr="00AC1999">
        <w:rPr>
          <w:rFonts w:ascii="Times New Roman" w:hAnsi="Times New Roman"/>
        </w:rPr>
        <w:t>The First Schedule to the Principal Act is amended by omitting item 135 and inserting in its stead the following item:—</w:t>
      </w:r>
    </w:p>
    <w:tbl>
      <w:tblPr>
        <w:tblW w:w="5000" w:type="pct"/>
        <w:tblCellMar>
          <w:left w:w="40" w:type="dxa"/>
          <w:right w:w="40" w:type="dxa"/>
        </w:tblCellMar>
        <w:tblLook w:val="0000" w:firstRow="0" w:lastRow="0" w:firstColumn="0" w:lastColumn="0" w:noHBand="0" w:noVBand="0"/>
      </w:tblPr>
      <w:tblGrid>
        <w:gridCol w:w="6764"/>
        <w:gridCol w:w="2345"/>
      </w:tblGrid>
      <w:tr w:rsidR="00D6714C" w:rsidRPr="00AC1999" w:rsidTr="00BF2474">
        <w:trPr>
          <w:trHeight w:val="20"/>
        </w:trPr>
        <w:tc>
          <w:tcPr>
            <w:tcW w:w="3713" w:type="pct"/>
            <w:tcBorders>
              <w:right w:val="single" w:sz="6" w:space="0" w:color="auto"/>
            </w:tcBorders>
          </w:tcPr>
          <w:p w:rsidR="00D6714C" w:rsidRPr="00AC1999" w:rsidRDefault="001440D3" w:rsidP="006862D0">
            <w:pPr>
              <w:spacing w:after="0" w:line="240" w:lineRule="auto"/>
              <w:ind w:left="1296" w:hanging="576"/>
              <w:jc w:val="both"/>
              <w:rPr>
                <w:rFonts w:ascii="Times New Roman" w:hAnsi="Times New Roman"/>
              </w:rPr>
            </w:pPr>
            <w:r>
              <w:rPr>
                <w:rFonts w:ascii="Times New Roman" w:hAnsi="Times New Roman"/>
              </w:rPr>
              <w:t>“</w:t>
            </w:r>
            <w:r w:rsidR="00D6714C" w:rsidRPr="00AC1999">
              <w:rPr>
                <w:rFonts w:ascii="Times New Roman" w:hAnsi="Times New Roman"/>
              </w:rPr>
              <w:t>135. Motor vehicles (and parts for motor vehicles) for</w:t>
            </w:r>
            <w:r w:rsidR="00580D85">
              <w:rPr>
                <w:rFonts w:ascii="Times New Roman" w:hAnsi="Times New Roman"/>
              </w:rPr>
              <w:t xml:space="preserve"> </w:t>
            </w:r>
            <w:r w:rsidR="00D6714C" w:rsidRPr="00AC1999">
              <w:rPr>
                <w:rFonts w:ascii="Times New Roman" w:hAnsi="Times New Roman"/>
              </w:rPr>
              <w:t>use in his personal transportation, and not for sale, by a person who has served in the Defence Force or in any other armed forces of Her Majesty and who, as a result of that service—</w:t>
            </w:r>
          </w:p>
        </w:tc>
        <w:tc>
          <w:tcPr>
            <w:tcW w:w="1287" w:type="pct"/>
            <w:tcBorders>
              <w:left w:val="single" w:sz="6" w:space="0" w:color="auto"/>
            </w:tcBorders>
          </w:tcPr>
          <w:p w:rsidR="00D6714C" w:rsidRPr="00AC1999" w:rsidRDefault="002319AB" w:rsidP="00E1766D">
            <w:pPr>
              <w:spacing w:after="0" w:line="240" w:lineRule="auto"/>
              <w:jc w:val="both"/>
              <w:rPr>
                <w:rFonts w:ascii="Times New Roman" w:hAnsi="Times New Roman"/>
              </w:rPr>
            </w:pPr>
            <w:r>
              <w:rPr>
                <w:rFonts w:ascii="Times New Roman" w:hAnsi="Times New Roman"/>
                <w:noProof/>
              </w:rPr>
              <w:pict>
                <v:shape id="_x0000_s1035" type="#_x0000_t88" style="position:absolute;left:0;text-align:left;margin-left:-1.3pt;margin-top:.75pt;width:6.85pt;height:187.6pt;z-index:251667456;mso-position-horizontal-relative:text;mso-position-vertical-relative:text" adj="581"/>
              </w:pict>
            </w:r>
          </w:p>
        </w:tc>
      </w:tr>
      <w:tr w:rsidR="00D6714C" w:rsidRPr="00AC1999" w:rsidTr="00BF2474">
        <w:trPr>
          <w:trHeight w:val="20"/>
        </w:trPr>
        <w:tc>
          <w:tcPr>
            <w:tcW w:w="3713" w:type="pct"/>
            <w:tcBorders>
              <w:right w:val="single" w:sz="6" w:space="0" w:color="auto"/>
            </w:tcBorders>
          </w:tcPr>
          <w:p w:rsidR="00D6714C" w:rsidRPr="00AC1999" w:rsidRDefault="00D6714C" w:rsidP="006862D0">
            <w:pPr>
              <w:spacing w:after="0" w:line="240" w:lineRule="auto"/>
              <w:ind w:left="1872" w:hanging="576"/>
              <w:jc w:val="both"/>
              <w:rPr>
                <w:rFonts w:ascii="Times New Roman" w:hAnsi="Times New Roman"/>
              </w:rPr>
            </w:pPr>
            <w:r w:rsidRPr="00AC1999">
              <w:rPr>
                <w:rFonts w:ascii="Times New Roman" w:hAnsi="Times New Roman"/>
              </w:rPr>
              <w:t>(</w:t>
            </w:r>
            <w:r w:rsidR="001A03B7" w:rsidRPr="00AC1999">
              <w:rPr>
                <w:rFonts w:ascii="Times New Roman" w:hAnsi="Times New Roman"/>
                <w:i/>
              </w:rPr>
              <w:t>a</w:t>
            </w:r>
            <w:r w:rsidRPr="00AC1999">
              <w:rPr>
                <w:rFonts w:ascii="Times New Roman" w:hAnsi="Times New Roman"/>
              </w:rPr>
              <w:t>)</w:t>
            </w:r>
            <w:r w:rsidR="001A03B7" w:rsidRPr="00AC1999">
              <w:rPr>
                <w:rFonts w:ascii="Times New Roman" w:hAnsi="Times New Roman"/>
                <w:i/>
              </w:rPr>
              <w:t xml:space="preserve"> </w:t>
            </w:r>
            <w:r w:rsidRPr="00AC1999">
              <w:rPr>
                <w:rFonts w:ascii="Times New Roman" w:hAnsi="Times New Roman"/>
              </w:rPr>
              <w:t>has lost a leg or both arms or is, for the</w:t>
            </w:r>
            <w:r w:rsidR="00582061">
              <w:rPr>
                <w:rFonts w:ascii="Times New Roman" w:hAnsi="Times New Roman"/>
              </w:rPr>
              <w:t xml:space="preserve"> </w:t>
            </w:r>
            <w:r w:rsidR="006C3808">
              <w:rPr>
                <w:rFonts w:ascii="Times New Roman" w:hAnsi="Times New Roman"/>
              </w:rPr>
              <w:t>purpose of the</w:t>
            </w:r>
            <w:r w:rsidRPr="00AC1999">
              <w:rPr>
                <w:rFonts w:ascii="Times New Roman" w:hAnsi="Times New Roman"/>
              </w:rPr>
              <w:t xml:space="preserve"> application in relation to him of the Fifth Schedule to the </w:t>
            </w:r>
            <w:r w:rsidR="001A03B7" w:rsidRPr="00AC1999">
              <w:rPr>
                <w:rFonts w:ascii="Times New Roman" w:hAnsi="Times New Roman"/>
                <w:i/>
              </w:rPr>
              <w:t xml:space="preserve">Repatriation Act </w:t>
            </w:r>
            <w:r w:rsidR="006862D0">
              <w:rPr>
                <w:rFonts w:ascii="Times New Roman" w:hAnsi="Times New Roman"/>
              </w:rPr>
              <w:t>1920–</w:t>
            </w:r>
            <w:r w:rsidRPr="00AC1999">
              <w:rPr>
                <w:rFonts w:ascii="Times New Roman" w:hAnsi="Times New Roman"/>
              </w:rPr>
              <w:t xml:space="preserve">1965 (including that Act as extended to him by the </w:t>
            </w:r>
            <w:r w:rsidR="001A03B7" w:rsidRPr="00AC1999">
              <w:rPr>
                <w:rFonts w:ascii="Times New Roman" w:hAnsi="Times New Roman"/>
                <w:i/>
              </w:rPr>
              <w:t>Repatriation</w:t>
            </w:r>
            <w:r w:rsidR="001440D3">
              <w:rPr>
                <w:rFonts w:ascii="Times New Roman" w:hAnsi="Times New Roman"/>
                <w:i/>
              </w:rPr>
              <w:t xml:space="preserve"> </w:t>
            </w:r>
            <w:r w:rsidR="001A03B7" w:rsidRPr="00EB1B97">
              <w:rPr>
                <w:rFonts w:ascii="Times New Roman" w:hAnsi="Times New Roman"/>
              </w:rPr>
              <w:t>(</w:t>
            </w:r>
            <w:r w:rsidR="001A03B7" w:rsidRPr="00AC1999">
              <w:rPr>
                <w:rFonts w:ascii="Times New Roman" w:hAnsi="Times New Roman"/>
                <w:i/>
              </w:rPr>
              <w:t>Far East</w:t>
            </w:r>
            <w:r w:rsidR="001440D3">
              <w:rPr>
                <w:rFonts w:ascii="Times New Roman" w:hAnsi="Times New Roman"/>
                <w:i/>
              </w:rPr>
              <w:t xml:space="preserve"> </w:t>
            </w:r>
            <w:r w:rsidR="001A03B7" w:rsidRPr="00AC1999">
              <w:rPr>
                <w:rFonts w:ascii="Times New Roman" w:hAnsi="Times New Roman"/>
                <w:i/>
              </w:rPr>
              <w:t xml:space="preserve"> Strategic Reserve</w:t>
            </w:r>
            <w:r w:rsidR="001A03B7" w:rsidRPr="00EB1B97">
              <w:rPr>
                <w:rFonts w:ascii="Times New Roman" w:hAnsi="Times New Roman"/>
              </w:rPr>
              <w:t xml:space="preserve">) </w:t>
            </w:r>
            <w:r w:rsidR="001A03B7" w:rsidRPr="00AC1999">
              <w:rPr>
                <w:rFonts w:ascii="Times New Roman" w:hAnsi="Times New Roman"/>
                <w:i/>
              </w:rPr>
              <w:t xml:space="preserve">Act </w:t>
            </w:r>
            <w:r w:rsidR="006862D0">
              <w:rPr>
                <w:rFonts w:ascii="Times New Roman" w:hAnsi="Times New Roman"/>
              </w:rPr>
              <w:t>1956–</w:t>
            </w:r>
            <w:r w:rsidRPr="00AC1999">
              <w:rPr>
                <w:rFonts w:ascii="Times New Roman" w:hAnsi="Times New Roman"/>
              </w:rPr>
              <w:t xml:space="preserve">1964 or the </w:t>
            </w:r>
            <w:r w:rsidR="001A03B7" w:rsidRPr="00AC1999">
              <w:rPr>
                <w:rFonts w:ascii="Times New Roman" w:hAnsi="Times New Roman"/>
                <w:i/>
              </w:rPr>
              <w:t xml:space="preserve">Repatriation </w:t>
            </w:r>
            <w:r w:rsidR="001A03B7" w:rsidRPr="00EB1B97">
              <w:rPr>
                <w:rFonts w:ascii="Times New Roman" w:hAnsi="Times New Roman"/>
              </w:rPr>
              <w:t>(</w:t>
            </w:r>
            <w:r w:rsidR="001A03B7" w:rsidRPr="00AC1999">
              <w:rPr>
                <w:rFonts w:ascii="Times New Roman" w:hAnsi="Times New Roman"/>
                <w:i/>
              </w:rPr>
              <w:t>Special Overseas Service</w:t>
            </w:r>
            <w:r w:rsidR="001A03B7" w:rsidRPr="00EB1B97">
              <w:rPr>
                <w:rFonts w:ascii="Times New Roman" w:hAnsi="Times New Roman"/>
              </w:rPr>
              <w:t>)</w:t>
            </w:r>
            <w:r w:rsidR="001A03B7" w:rsidRPr="00AC1999">
              <w:rPr>
                <w:rFonts w:ascii="Times New Roman" w:hAnsi="Times New Roman"/>
                <w:i/>
              </w:rPr>
              <w:t xml:space="preserve"> Act </w:t>
            </w:r>
            <w:r w:rsidR="006862D0">
              <w:rPr>
                <w:rFonts w:ascii="Times New Roman" w:hAnsi="Times New Roman"/>
              </w:rPr>
              <w:t>1962–</w:t>
            </w:r>
            <w:r w:rsidRPr="00AC1999">
              <w:rPr>
                <w:rFonts w:ascii="Times New Roman" w:hAnsi="Times New Roman"/>
              </w:rPr>
              <w:t>1965), to be deemed to have had a leg or both arms amputated; or</w:t>
            </w:r>
          </w:p>
        </w:tc>
        <w:tc>
          <w:tcPr>
            <w:tcW w:w="1287" w:type="pct"/>
            <w:tcBorders>
              <w:left w:val="single" w:sz="6" w:space="0" w:color="auto"/>
            </w:tcBorders>
          </w:tcPr>
          <w:p w:rsidR="00D6714C" w:rsidRPr="00AC1999" w:rsidRDefault="00D6714C" w:rsidP="001C2459">
            <w:pPr>
              <w:spacing w:before="800" w:after="0" w:line="240" w:lineRule="auto"/>
              <w:ind w:left="432"/>
              <w:jc w:val="both"/>
              <w:rPr>
                <w:rFonts w:ascii="Times New Roman" w:hAnsi="Times New Roman"/>
              </w:rPr>
            </w:pPr>
            <w:r w:rsidRPr="00AC1999">
              <w:rPr>
                <w:rFonts w:ascii="Times New Roman" w:hAnsi="Times New Roman"/>
              </w:rPr>
              <w:t>Nos.</w:t>
            </w:r>
            <w:r w:rsidR="001C2459">
              <w:rPr>
                <w:rFonts w:ascii="Times New Roman" w:hAnsi="Times New Roman"/>
              </w:rPr>
              <w:t xml:space="preserve"> </w:t>
            </w:r>
            <w:r w:rsidRPr="00AC1999">
              <w:rPr>
                <w:rFonts w:ascii="Times New Roman" w:hAnsi="Times New Roman"/>
              </w:rPr>
              <w:t>to 9</w:t>
            </w:r>
            <w:r w:rsidR="001440D3">
              <w:rPr>
                <w:rFonts w:ascii="Times New Roman" w:hAnsi="Times New Roman"/>
              </w:rPr>
              <w:t>”</w:t>
            </w:r>
            <w:r w:rsidRPr="00AC1999">
              <w:rPr>
                <w:rFonts w:ascii="Times New Roman" w:hAnsi="Times New Roman"/>
              </w:rPr>
              <w:t>.</w:t>
            </w:r>
          </w:p>
        </w:tc>
      </w:tr>
      <w:tr w:rsidR="00D6714C" w:rsidRPr="00AC1999" w:rsidTr="00BF2474">
        <w:trPr>
          <w:trHeight w:val="20"/>
        </w:trPr>
        <w:tc>
          <w:tcPr>
            <w:tcW w:w="3713" w:type="pct"/>
            <w:tcBorders>
              <w:right w:val="single" w:sz="6" w:space="0" w:color="auto"/>
            </w:tcBorders>
          </w:tcPr>
          <w:p w:rsidR="00D6714C" w:rsidRPr="00AC1999" w:rsidRDefault="00D6714C" w:rsidP="0046280A">
            <w:pPr>
              <w:spacing w:after="0" w:line="240" w:lineRule="auto"/>
              <w:ind w:left="1728" w:hanging="576"/>
              <w:jc w:val="both"/>
              <w:rPr>
                <w:rFonts w:ascii="Times New Roman" w:hAnsi="Times New Roman"/>
              </w:rPr>
            </w:pPr>
            <w:r w:rsidRPr="00AC1999">
              <w:rPr>
                <w:rFonts w:ascii="Times New Roman" w:hAnsi="Times New Roman"/>
              </w:rPr>
              <w:t>(</w:t>
            </w:r>
            <w:r w:rsidR="001A03B7" w:rsidRPr="00AC1999">
              <w:rPr>
                <w:rFonts w:ascii="Times New Roman" w:hAnsi="Times New Roman"/>
                <w:i/>
              </w:rPr>
              <w:t>b</w:t>
            </w:r>
            <w:r w:rsidRPr="00AC1999">
              <w:rPr>
                <w:rFonts w:ascii="Times New Roman" w:hAnsi="Times New Roman"/>
              </w:rPr>
              <w:t>)</w:t>
            </w:r>
            <w:r w:rsidR="001A03B7" w:rsidRPr="00AC1999">
              <w:rPr>
                <w:rFonts w:ascii="Times New Roman" w:hAnsi="Times New Roman"/>
                <w:i/>
              </w:rPr>
              <w:t xml:space="preserve"> </w:t>
            </w:r>
            <w:r w:rsidRPr="00AC1999">
              <w:rPr>
                <w:rFonts w:ascii="Times New Roman" w:hAnsi="Times New Roman"/>
              </w:rPr>
              <w:t>is in receipt of a special pension under the</w:t>
            </w:r>
            <w:r w:rsidR="0046280A">
              <w:rPr>
                <w:rFonts w:ascii="Times New Roman" w:hAnsi="Times New Roman"/>
              </w:rPr>
              <w:t xml:space="preserve"> </w:t>
            </w:r>
            <w:r w:rsidRPr="00AC1999">
              <w:rPr>
                <w:rFonts w:ascii="Times New Roman" w:hAnsi="Times New Roman"/>
              </w:rPr>
              <w:t xml:space="preserve">Second Schedule to the </w:t>
            </w:r>
            <w:r w:rsidR="001A03B7" w:rsidRPr="00AC1999">
              <w:rPr>
                <w:rFonts w:ascii="Times New Roman" w:hAnsi="Times New Roman"/>
                <w:i/>
              </w:rPr>
              <w:t xml:space="preserve">Repatriation Act </w:t>
            </w:r>
            <w:r w:rsidR="006862D0">
              <w:rPr>
                <w:rFonts w:ascii="Times New Roman" w:hAnsi="Times New Roman"/>
              </w:rPr>
              <w:t>1920–</w:t>
            </w:r>
            <w:r w:rsidRPr="00AC1999">
              <w:rPr>
                <w:rFonts w:ascii="Times New Roman" w:hAnsi="Times New Roman"/>
              </w:rPr>
              <w:t>1965 (including that Act as to extended to him) in respect of blindness, total and permanent incapacity or tuberculosis</w:t>
            </w:r>
          </w:p>
        </w:tc>
        <w:tc>
          <w:tcPr>
            <w:tcW w:w="1287" w:type="pct"/>
            <w:tcBorders>
              <w:left w:val="single" w:sz="6" w:space="0" w:color="auto"/>
            </w:tcBorders>
          </w:tcPr>
          <w:p w:rsidR="00D6714C" w:rsidRPr="00AC1999" w:rsidRDefault="00D6714C" w:rsidP="00E1766D">
            <w:pPr>
              <w:spacing w:after="0" w:line="240" w:lineRule="auto"/>
              <w:jc w:val="both"/>
              <w:rPr>
                <w:rFonts w:ascii="Times New Roman" w:hAnsi="Times New Roman"/>
              </w:rPr>
            </w:pPr>
          </w:p>
        </w:tc>
      </w:tr>
    </w:tbl>
    <w:p w:rsidR="0045123D" w:rsidRPr="00AC1999" w:rsidRDefault="0045123D" w:rsidP="00D53CED">
      <w:pPr>
        <w:tabs>
          <w:tab w:val="left" w:pos="1170"/>
        </w:tabs>
        <w:spacing w:before="120" w:after="240" w:line="240" w:lineRule="auto"/>
        <w:ind w:firstLine="432"/>
        <w:jc w:val="both"/>
        <w:rPr>
          <w:rFonts w:ascii="Times New Roman" w:hAnsi="Times New Roman"/>
        </w:rPr>
      </w:pPr>
      <w:r>
        <w:rPr>
          <w:rFonts w:ascii="Times New Roman" w:hAnsi="Times New Roman"/>
        </w:rPr>
        <w:br w:type="page"/>
      </w:r>
      <w:r w:rsidRPr="00AC1999">
        <w:rPr>
          <w:rFonts w:ascii="Times New Roman" w:hAnsi="Times New Roman"/>
        </w:rPr>
        <w:lastRenderedPageBreak/>
        <w:t>(17.)</w:t>
      </w:r>
      <w:r w:rsidR="00D53CED">
        <w:rPr>
          <w:rFonts w:ascii="Times New Roman" w:hAnsi="Times New Roman"/>
        </w:rPr>
        <w:tab/>
      </w:r>
      <w:r w:rsidRPr="00AC1999">
        <w:rPr>
          <w:rFonts w:ascii="Times New Roman" w:hAnsi="Times New Roman"/>
        </w:rPr>
        <w:t xml:space="preserve">The First Schedule to the Principal Act is amended by inserting in item 145, before the words </w:t>
      </w:r>
      <w:r w:rsidR="001440D3">
        <w:rPr>
          <w:rFonts w:ascii="Times New Roman" w:hAnsi="Times New Roman"/>
        </w:rPr>
        <w:t>“</w:t>
      </w:r>
      <w:r w:rsidRPr="00AC1999">
        <w:rPr>
          <w:rFonts w:ascii="Times New Roman" w:hAnsi="Times New Roman"/>
        </w:rPr>
        <w:t>the Second Schedule</w:t>
      </w:r>
      <w:r w:rsidR="001440D3">
        <w:rPr>
          <w:rFonts w:ascii="Times New Roman" w:hAnsi="Times New Roman"/>
        </w:rPr>
        <w:t>”</w:t>
      </w:r>
      <w:r w:rsidRPr="00AC1999">
        <w:rPr>
          <w:rFonts w:ascii="Times New Roman" w:hAnsi="Times New Roman"/>
        </w:rPr>
        <w:t xml:space="preserve">, the words </w:t>
      </w:r>
      <w:r w:rsidR="001440D3">
        <w:rPr>
          <w:rFonts w:ascii="Times New Roman" w:hAnsi="Times New Roman"/>
        </w:rPr>
        <w:t>“</w:t>
      </w:r>
      <w:r w:rsidRPr="00AC1999">
        <w:rPr>
          <w:rFonts w:ascii="Times New Roman" w:hAnsi="Times New Roman"/>
        </w:rPr>
        <w:t>Part I. of</w:t>
      </w:r>
      <w:r w:rsidR="001440D3">
        <w:rPr>
          <w:rFonts w:ascii="Times New Roman" w:hAnsi="Times New Roman"/>
        </w:rPr>
        <w:t>”</w:t>
      </w:r>
      <w:r w:rsidRPr="00AC1999">
        <w:rPr>
          <w:rFonts w:ascii="Times New Roman" w:hAnsi="Times New Roman"/>
        </w:rPr>
        <w:t>.</w:t>
      </w:r>
    </w:p>
    <w:p w:rsidR="0045123D" w:rsidRPr="00AC1999" w:rsidRDefault="0045123D" w:rsidP="004F647C">
      <w:pPr>
        <w:spacing w:after="0" w:line="240" w:lineRule="auto"/>
        <w:ind w:firstLine="432"/>
        <w:jc w:val="both"/>
        <w:rPr>
          <w:rFonts w:ascii="Times New Roman" w:hAnsi="Times New Roman"/>
        </w:rPr>
      </w:pPr>
      <w:r w:rsidRPr="00AC1999">
        <w:rPr>
          <w:rFonts w:ascii="Times New Roman" w:hAnsi="Times New Roman"/>
          <w:b/>
        </w:rPr>
        <w:t>5.</w:t>
      </w:r>
      <w:r w:rsidR="004F647C">
        <w:rPr>
          <w:rFonts w:ascii="Times New Roman" w:hAnsi="Times New Roman"/>
        </w:rPr>
        <w:tab/>
      </w:r>
      <w:r w:rsidRPr="00AC1999">
        <w:rPr>
          <w:rFonts w:ascii="Times New Roman" w:hAnsi="Times New Roman"/>
        </w:rPr>
        <w:t>The Principal Act is amended as set out in the Schedule to this Act.</w:t>
      </w:r>
    </w:p>
    <w:p w:rsidR="0045123D" w:rsidRPr="001C2459" w:rsidRDefault="0045123D" w:rsidP="001C2459">
      <w:pPr>
        <w:tabs>
          <w:tab w:val="left" w:pos="7920"/>
        </w:tabs>
        <w:spacing w:before="120" w:after="120" w:line="240" w:lineRule="auto"/>
        <w:ind w:firstLine="3600"/>
        <w:jc w:val="center"/>
        <w:rPr>
          <w:rFonts w:ascii="Times New Roman" w:hAnsi="Times New Roman"/>
          <w:sz w:val="20"/>
        </w:rPr>
      </w:pPr>
      <w:r w:rsidRPr="001C2459">
        <w:rPr>
          <w:rFonts w:ascii="Times New Roman" w:hAnsi="Times New Roman"/>
          <w:sz w:val="24"/>
        </w:rPr>
        <w:t>THE SCHEDULE</w:t>
      </w:r>
      <w:r w:rsidR="00795E0B">
        <w:rPr>
          <w:rFonts w:ascii="Times New Roman" w:hAnsi="Times New Roman"/>
        </w:rPr>
        <w:tab/>
      </w:r>
      <w:r w:rsidR="00EB1B97">
        <w:rPr>
          <w:rFonts w:ascii="Times New Roman" w:hAnsi="Times New Roman"/>
          <w:sz w:val="20"/>
        </w:rPr>
        <w:t>Section</w:t>
      </w:r>
      <w:r w:rsidRPr="001C2459">
        <w:rPr>
          <w:rFonts w:ascii="Times New Roman" w:hAnsi="Times New Roman"/>
          <w:sz w:val="20"/>
        </w:rPr>
        <w:t xml:space="preserve"> 5.</w:t>
      </w:r>
    </w:p>
    <w:p w:rsidR="001C2459" w:rsidRPr="001C2459" w:rsidRDefault="001C2459" w:rsidP="007C4B6F">
      <w:pPr>
        <w:spacing w:after="120" w:line="240" w:lineRule="auto"/>
        <w:jc w:val="center"/>
        <w:rPr>
          <w:rFonts w:ascii="Times New Roman" w:hAnsi="Times New Roman"/>
          <w:b/>
          <w:smallCaps/>
        </w:rPr>
      </w:pPr>
      <w:r w:rsidRPr="001C2459">
        <w:rPr>
          <w:rFonts w:ascii="Times New Roman" w:hAnsi="Times New Roman"/>
          <w:b/>
          <w:smallCaps/>
        </w:rPr>
        <w:t>——</w:t>
      </w:r>
    </w:p>
    <w:p w:rsidR="0045123D" w:rsidRPr="007C4B6F" w:rsidRDefault="0045123D" w:rsidP="007C4B6F">
      <w:pPr>
        <w:spacing w:after="120" w:line="240" w:lineRule="auto"/>
        <w:jc w:val="center"/>
        <w:rPr>
          <w:rFonts w:ascii="Times New Roman" w:hAnsi="Times New Roman"/>
          <w:smallCaps/>
        </w:rPr>
      </w:pPr>
      <w:r w:rsidRPr="007C4B6F">
        <w:rPr>
          <w:rFonts w:ascii="Times New Roman" w:hAnsi="Times New Roman"/>
          <w:smallCaps/>
        </w:rPr>
        <w:t>Amendments in Relation to Decimal Currency</w:t>
      </w:r>
    </w:p>
    <w:tbl>
      <w:tblPr>
        <w:tblW w:w="5000" w:type="pct"/>
        <w:tblCellMar>
          <w:left w:w="40" w:type="dxa"/>
          <w:right w:w="40" w:type="dxa"/>
        </w:tblCellMar>
        <w:tblLook w:val="0000" w:firstRow="0" w:lastRow="0" w:firstColumn="0" w:lastColumn="0" w:noHBand="0" w:noVBand="0"/>
      </w:tblPr>
      <w:tblGrid>
        <w:gridCol w:w="2664"/>
        <w:gridCol w:w="3215"/>
        <w:gridCol w:w="3230"/>
      </w:tblGrid>
      <w:tr w:rsidR="0045123D" w:rsidRPr="00AC1999" w:rsidTr="00935008">
        <w:trPr>
          <w:trHeight w:val="20"/>
        </w:trPr>
        <w:tc>
          <w:tcPr>
            <w:tcW w:w="1462" w:type="pct"/>
            <w:tcBorders>
              <w:top w:val="single" w:sz="6" w:space="0" w:color="auto"/>
              <w:bottom w:val="single" w:sz="6" w:space="0" w:color="auto"/>
              <w:right w:val="single" w:sz="6" w:space="0" w:color="auto"/>
            </w:tcBorders>
          </w:tcPr>
          <w:p w:rsidR="0045123D" w:rsidRPr="00AC1999" w:rsidRDefault="0045123D" w:rsidP="000C68F7">
            <w:pPr>
              <w:spacing w:before="120" w:after="120" w:line="240" w:lineRule="auto"/>
              <w:jc w:val="center"/>
              <w:rPr>
                <w:rFonts w:ascii="Times New Roman" w:hAnsi="Times New Roman"/>
              </w:rPr>
            </w:pPr>
            <w:r w:rsidRPr="00AC1999">
              <w:rPr>
                <w:rFonts w:ascii="Times New Roman" w:hAnsi="Times New Roman"/>
              </w:rPr>
              <w:t>Provisions amended</w:t>
            </w:r>
          </w:p>
        </w:tc>
        <w:tc>
          <w:tcPr>
            <w:tcW w:w="1765" w:type="pct"/>
            <w:tcBorders>
              <w:top w:val="single" w:sz="6" w:space="0" w:color="auto"/>
              <w:left w:val="single" w:sz="6" w:space="0" w:color="auto"/>
              <w:bottom w:val="single" w:sz="6" w:space="0" w:color="auto"/>
              <w:right w:val="single" w:sz="6" w:space="0" w:color="auto"/>
            </w:tcBorders>
          </w:tcPr>
          <w:p w:rsidR="0045123D" w:rsidRPr="00AC1999" w:rsidRDefault="0045123D" w:rsidP="000C68F7">
            <w:pPr>
              <w:spacing w:before="120" w:after="120" w:line="240" w:lineRule="auto"/>
              <w:jc w:val="center"/>
              <w:rPr>
                <w:rFonts w:ascii="Times New Roman" w:hAnsi="Times New Roman"/>
              </w:rPr>
            </w:pPr>
            <w:r w:rsidRPr="00AC1999">
              <w:rPr>
                <w:rFonts w:ascii="Times New Roman" w:hAnsi="Times New Roman"/>
              </w:rPr>
              <w:t>Omit—</w:t>
            </w:r>
          </w:p>
        </w:tc>
        <w:tc>
          <w:tcPr>
            <w:tcW w:w="1773" w:type="pct"/>
            <w:tcBorders>
              <w:top w:val="single" w:sz="6" w:space="0" w:color="auto"/>
              <w:left w:val="single" w:sz="6" w:space="0" w:color="auto"/>
              <w:bottom w:val="single" w:sz="6" w:space="0" w:color="auto"/>
            </w:tcBorders>
          </w:tcPr>
          <w:p w:rsidR="0045123D" w:rsidRPr="00AC1999" w:rsidRDefault="0045123D" w:rsidP="000C68F7">
            <w:pPr>
              <w:spacing w:before="120" w:after="120" w:line="240" w:lineRule="auto"/>
              <w:jc w:val="center"/>
              <w:rPr>
                <w:rFonts w:ascii="Times New Roman" w:hAnsi="Times New Roman"/>
              </w:rPr>
            </w:pPr>
            <w:r w:rsidRPr="00AC1999">
              <w:rPr>
                <w:rFonts w:ascii="Times New Roman" w:hAnsi="Times New Roman"/>
              </w:rPr>
              <w:t>Insert—</w:t>
            </w:r>
          </w:p>
        </w:tc>
      </w:tr>
      <w:tr w:rsidR="0045123D" w:rsidRPr="00AC1999" w:rsidTr="00935008">
        <w:trPr>
          <w:trHeight w:val="20"/>
        </w:trPr>
        <w:tc>
          <w:tcPr>
            <w:tcW w:w="1462" w:type="pct"/>
            <w:tcBorders>
              <w:top w:val="single" w:sz="6" w:space="0" w:color="auto"/>
              <w:right w:val="single" w:sz="6" w:space="0" w:color="auto"/>
            </w:tcBorders>
          </w:tcPr>
          <w:p w:rsidR="0045123D" w:rsidRPr="00AC1999" w:rsidRDefault="0045123D" w:rsidP="00150A3A">
            <w:pPr>
              <w:tabs>
                <w:tab w:val="right" w:leader="dot" w:pos="2520"/>
              </w:tabs>
              <w:spacing w:before="120" w:after="0" w:line="240" w:lineRule="auto"/>
              <w:jc w:val="both"/>
              <w:rPr>
                <w:rFonts w:ascii="Times New Roman" w:hAnsi="Times New Roman"/>
              </w:rPr>
            </w:pPr>
            <w:r w:rsidRPr="00AC1999">
              <w:rPr>
                <w:rFonts w:ascii="Times New Roman" w:hAnsi="Times New Roman"/>
              </w:rPr>
              <w:t>Section 7</w:t>
            </w:r>
            <w:r w:rsidR="00150A3A">
              <w:rPr>
                <w:rFonts w:ascii="Times New Roman" w:hAnsi="Times New Roman"/>
              </w:rPr>
              <w:tab/>
            </w:r>
          </w:p>
        </w:tc>
        <w:tc>
          <w:tcPr>
            <w:tcW w:w="1765" w:type="pct"/>
            <w:tcBorders>
              <w:top w:val="single" w:sz="6" w:space="0" w:color="auto"/>
              <w:left w:val="single" w:sz="6" w:space="0" w:color="auto"/>
              <w:right w:val="single" w:sz="6" w:space="0" w:color="auto"/>
            </w:tcBorders>
          </w:tcPr>
          <w:p w:rsidR="0045123D" w:rsidRPr="00AC1999" w:rsidRDefault="0045123D" w:rsidP="004D7CB7">
            <w:pPr>
              <w:spacing w:before="120" w:after="0" w:line="240" w:lineRule="auto"/>
              <w:ind w:left="144" w:hanging="144"/>
              <w:jc w:val="both"/>
              <w:rPr>
                <w:rFonts w:ascii="Times New Roman" w:hAnsi="Times New Roman"/>
              </w:rPr>
            </w:pPr>
            <w:r w:rsidRPr="00AC1999">
              <w:rPr>
                <w:rFonts w:ascii="Times New Roman" w:hAnsi="Times New Roman"/>
              </w:rPr>
              <w:t>One pound or more than</w:t>
            </w:r>
            <w:r w:rsidR="00753E82">
              <w:rPr>
                <w:rFonts w:ascii="Times New Roman" w:hAnsi="Times New Roman"/>
              </w:rPr>
              <w:t xml:space="preserve"> </w:t>
            </w:r>
            <w:r w:rsidR="00753E82" w:rsidRPr="00AC1999">
              <w:rPr>
                <w:rFonts w:ascii="Times New Roman" w:hAnsi="Times New Roman"/>
              </w:rPr>
              <w:t>Twenty pounds</w:t>
            </w:r>
          </w:p>
        </w:tc>
        <w:tc>
          <w:tcPr>
            <w:tcW w:w="1773" w:type="pct"/>
            <w:tcBorders>
              <w:top w:val="single" w:sz="6" w:space="0" w:color="auto"/>
              <w:left w:val="single" w:sz="6" w:space="0" w:color="auto"/>
            </w:tcBorders>
          </w:tcPr>
          <w:p w:rsidR="0045123D" w:rsidRPr="00AC1999" w:rsidRDefault="0045123D" w:rsidP="004D7CB7">
            <w:pPr>
              <w:spacing w:before="120" w:after="0" w:line="240" w:lineRule="auto"/>
              <w:ind w:left="144" w:hanging="144"/>
              <w:jc w:val="both"/>
              <w:rPr>
                <w:rFonts w:ascii="Times New Roman" w:hAnsi="Times New Roman"/>
              </w:rPr>
            </w:pPr>
            <w:r w:rsidRPr="00AC1999">
              <w:rPr>
                <w:rFonts w:ascii="Times New Roman" w:hAnsi="Times New Roman"/>
              </w:rPr>
              <w:t>Two dollars or more than</w:t>
            </w:r>
            <w:r w:rsidR="00FE7977">
              <w:rPr>
                <w:rFonts w:ascii="Times New Roman" w:hAnsi="Times New Roman"/>
              </w:rPr>
              <w:t xml:space="preserve"> </w:t>
            </w:r>
            <w:r w:rsidR="00FE7977" w:rsidRPr="00AC1999">
              <w:rPr>
                <w:rFonts w:ascii="Times New Roman" w:hAnsi="Times New Roman"/>
              </w:rPr>
              <w:t>Forty dollars</w:t>
            </w:r>
          </w:p>
        </w:tc>
      </w:tr>
      <w:tr w:rsidR="0045123D" w:rsidRPr="00AC1999" w:rsidTr="00935008">
        <w:trPr>
          <w:trHeight w:val="20"/>
        </w:trPr>
        <w:tc>
          <w:tcPr>
            <w:tcW w:w="1462" w:type="pct"/>
            <w:tcBorders>
              <w:right w:val="single" w:sz="6" w:space="0" w:color="auto"/>
            </w:tcBorders>
          </w:tcPr>
          <w:p w:rsidR="0045123D" w:rsidRPr="00AC1999" w:rsidRDefault="0045123D" w:rsidP="003D47C2">
            <w:pPr>
              <w:spacing w:after="0" w:line="240" w:lineRule="auto"/>
              <w:jc w:val="both"/>
              <w:rPr>
                <w:rFonts w:ascii="Times New Roman" w:hAnsi="Times New Roman"/>
              </w:rPr>
            </w:pPr>
            <w:r w:rsidRPr="00AC1999">
              <w:rPr>
                <w:rFonts w:ascii="Times New Roman" w:hAnsi="Times New Roman"/>
              </w:rPr>
              <w:t>First Schedule—</w:t>
            </w:r>
          </w:p>
        </w:tc>
        <w:tc>
          <w:tcPr>
            <w:tcW w:w="1765" w:type="pct"/>
            <w:tcBorders>
              <w:left w:val="single" w:sz="6" w:space="0" w:color="auto"/>
              <w:right w:val="single" w:sz="6" w:space="0" w:color="auto"/>
            </w:tcBorders>
          </w:tcPr>
          <w:p w:rsidR="0045123D" w:rsidRPr="00AC1999" w:rsidRDefault="0045123D" w:rsidP="003D47C2">
            <w:pPr>
              <w:spacing w:after="0" w:line="240" w:lineRule="auto"/>
              <w:jc w:val="both"/>
              <w:rPr>
                <w:rFonts w:ascii="Times New Roman" w:hAnsi="Times New Roman"/>
              </w:rPr>
            </w:pPr>
          </w:p>
        </w:tc>
        <w:tc>
          <w:tcPr>
            <w:tcW w:w="1773" w:type="pct"/>
            <w:tcBorders>
              <w:left w:val="single" w:sz="6" w:space="0" w:color="auto"/>
            </w:tcBorders>
          </w:tcPr>
          <w:p w:rsidR="0045123D" w:rsidRPr="00AC1999" w:rsidRDefault="0045123D" w:rsidP="003D47C2">
            <w:pPr>
              <w:spacing w:after="0" w:line="240" w:lineRule="auto"/>
              <w:jc w:val="both"/>
              <w:rPr>
                <w:rFonts w:ascii="Times New Roman" w:hAnsi="Times New Roman"/>
              </w:rPr>
            </w:pPr>
          </w:p>
        </w:tc>
      </w:tr>
      <w:tr w:rsidR="0045123D" w:rsidRPr="00AC1999" w:rsidTr="00935008">
        <w:trPr>
          <w:trHeight w:val="20"/>
        </w:trPr>
        <w:tc>
          <w:tcPr>
            <w:tcW w:w="1462" w:type="pct"/>
            <w:tcBorders>
              <w:right w:val="single" w:sz="6" w:space="0" w:color="auto"/>
            </w:tcBorders>
          </w:tcPr>
          <w:p w:rsidR="0045123D" w:rsidRPr="00AC1999" w:rsidRDefault="0045123D" w:rsidP="00BB5C46">
            <w:pPr>
              <w:tabs>
                <w:tab w:val="right" w:leader="dot" w:pos="2520"/>
              </w:tabs>
              <w:spacing w:after="0" w:line="240" w:lineRule="auto"/>
              <w:ind w:left="144"/>
              <w:jc w:val="both"/>
              <w:rPr>
                <w:rFonts w:ascii="Times New Roman" w:hAnsi="Times New Roman"/>
              </w:rPr>
            </w:pPr>
            <w:r w:rsidRPr="00AC1999">
              <w:rPr>
                <w:rFonts w:ascii="Times New Roman" w:hAnsi="Times New Roman"/>
              </w:rPr>
              <w:t>Item 100 (1)</w:t>
            </w:r>
            <w:r w:rsidR="00BB5C46">
              <w:rPr>
                <w:rFonts w:ascii="Times New Roman" w:hAnsi="Times New Roman"/>
              </w:rPr>
              <w:tab/>
            </w:r>
          </w:p>
        </w:tc>
        <w:tc>
          <w:tcPr>
            <w:tcW w:w="1765" w:type="pct"/>
            <w:tcBorders>
              <w:left w:val="single" w:sz="6" w:space="0" w:color="auto"/>
              <w:right w:val="single" w:sz="6" w:space="0" w:color="auto"/>
            </w:tcBorders>
          </w:tcPr>
          <w:p w:rsidR="0045123D" w:rsidRPr="00AC1999" w:rsidRDefault="0045123D" w:rsidP="003D47C2">
            <w:pPr>
              <w:spacing w:after="0" w:line="240" w:lineRule="auto"/>
              <w:jc w:val="both"/>
              <w:rPr>
                <w:rFonts w:ascii="Times New Roman" w:hAnsi="Times New Roman"/>
              </w:rPr>
            </w:pPr>
            <w:r w:rsidRPr="00AC1999">
              <w:rPr>
                <w:rFonts w:ascii="Times New Roman" w:hAnsi="Times New Roman"/>
              </w:rPr>
              <w:t>Seven hundred pounds</w:t>
            </w:r>
          </w:p>
        </w:tc>
        <w:tc>
          <w:tcPr>
            <w:tcW w:w="1773" w:type="pct"/>
            <w:tcBorders>
              <w:left w:val="single" w:sz="6" w:space="0" w:color="auto"/>
            </w:tcBorders>
          </w:tcPr>
          <w:p w:rsidR="0045123D" w:rsidRPr="00AC1999" w:rsidRDefault="0045123D" w:rsidP="003D47C2">
            <w:pPr>
              <w:spacing w:after="0" w:line="240" w:lineRule="auto"/>
              <w:jc w:val="both"/>
              <w:rPr>
                <w:rFonts w:ascii="Times New Roman" w:hAnsi="Times New Roman"/>
              </w:rPr>
            </w:pPr>
            <w:r w:rsidRPr="00AC1999">
              <w:rPr>
                <w:rFonts w:ascii="Times New Roman" w:hAnsi="Times New Roman"/>
              </w:rPr>
              <w:t>Fourteen hundred dollars</w:t>
            </w:r>
          </w:p>
        </w:tc>
      </w:tr>
      <w:tr w:rsidR="0045123D" w:rsidRPr="00AC1999" w:rsidTr="00935008">
        <w:trPr>
          <w:trHeight w:val="20"/>
        </w:trPr>
        <w:tc>
          <w:tcPr>
            <w:tcW w:w="1462" w:type="pct"/>
            <w:tcBorders>
              <w:right w:val="single" w:sz="6" w:space="0" w:color="auto"/>
            </w:tcBorders>
          </w:tcPr>
          <w:p w:rsidR="0045123D" w:rsidRPr="00AC1999" w:rsidRDefault="0045123D" w:rsidP="00BB5C46">
            <w:pPr>
              <w:tabs>
                <w:tab w:val="right" w:leader="dot" w:pos="2520"/>
              </w:tabs>
              <w:spacing w:after="0" w:line="240" w:lineRule="auto"/>
              <w:ind w:left="144"/>
              <w:jc w:val="both"/>
              <w:rPr>
                <w:rFonts w:ascii="Times New Roman" w:hAnsi="Times New Roman"/>
              </w:rPr>
            </w:pPr>
            <w:r w:rsidRPr="00AC1999">
              <w:rPr>
                <w:rFonts w:ascii="Times New Roman" w:hAnsi="Times New Roman"/>
              </w:rPr>
              <w:t>Item 100 (2)</w:t>
            </w:r>
            <w:r w:rsidR="00BB5C46">
              <w:rPr>
                <w:rFonts w:ascii="Times New Roman" w:hAnsi="Times New Roman"/>
              </w:rPr>
              <w:tab/>
            </w:r>
          </w:p>
        </w:tc>
        <w:tc>
          <w:tcPr>
            <w:tcW w:w="1765" w:type="pct"/>
            <w:tcBorders>
              <w:left w:val="single" w:sz="6" w:space="0" w:color="auto"/>
              <w:right w:val="single" w:sz="6" w:space="0" w:color="auto"/>
            </w:tcBorders>
          </w:tcPr>
          <w:p w:rsidR="0045123D" w:rsidRPr="00AC1999" w:rsidRDefault="0045123D" w:rsidP="003D47C2">
            <w:pPr>
              <w:spacing w:after="0" w:line="240" w:lineRule="auto"/>
              <w:jc w:val="both"/>
              <w:rPr>
                <w:rFonts w:ascii="Times New Roman" w:hAnsi="Times New Roman"/>
              </w:rPr>
            </w:pPr>
            <w:r w:rsidRPr="00AC1999">
              <w:rPr>
                <w:rFonts w:ascii="Times New Roman" w:hAnsi="Times New Roman"/>
              </w:rPr>
              <w:t>Five hundred pounds</w:t>
            </w:r>
          </w:p>
        </w:tc>
        <w:tc>
          <w:tcPr>
            <w:tcW w:w="1773" w:type="pct"/>
            <w:tcBorders>
              <w:left w:val="single" w:sz="6" w:space="0" w:color="auto"/>
            </w:tcBorders>
          </w:tcPr>
          <w:p w:rsidR="0045123D" w:rsidRPr="00AC1999" w:rsidRDefault="0045123D" w:rsidP="003D47C2">
            <w:pPr>
              <w:spacing w:after="0" w:line="240" w:lineRule="auto"/>
              <w:jc w:val="both"/>
              <w:rPr>
                <w:rFonts w:ascii="Times New Roman" w:hAnsi="Times New Roman"/>
              </w:rPr>
            </w:pPr>
            <w:r w:rsidRPr="00AC1999">
              <w:rPr>
                <w:rFonts w:ascii="Times New Roman" w:hAnsi="Times New Roman"/>
              </w:rPr>
              <w:t>One thousand dollars</w:t>
            </w:r>
          </w:p>
        </w:tc>
      </w:tr>
      <w:tr w:rsidR="0045123D" w:rsidRPr="00AC1999" w:rsidTr="00935008">
        <w:trPr>
          <w:trHeight w:val="20"/>
        </w:trPr>
        <w:tc>
          <w:tcPr>
            <w:tcW w:w="1462" w:type="pct"/>
            <w:tcBorders>
              <w:bottom w:val="single" w:sz="6" w:space="0" w:color="auto"/>
              <w:right w:val="single" w:sz="6" w:space="0" w:color="auto"/>
            </w:tcBorders>
          </w:tcPr>
          <w:p w:rsidR="0045123D" w:rsidRPr="00AC1999" w:rsidRDefault="0045123D" w:rsidP="00BB5C46">
            <w:pPr>
              <w:tabs>
                <w:tab w:val="right" w:leader="dot" w:pos="2520"/>
              </w:tabs>
              <w:spacing w:after="0" w:line="240" w:lineRule="auto"/>
              <w:ind w:left="144"/>
              <w:jc w:val="both"/>
              <w:rPr>
                <w:rFonts w:ascii="Times New Roman" w:hAnsi="Times New Roman"/>
              </w:rPr>
            </w:pPr>
            <w:r w:rsidRPr="00AC1999">
              <w:rPr>
                <w:rFonts w:ascii="Times New Roman" w:hAnsi="Times New Roman"/>
              </w:rPr>
              <w:t>Item 103</w:t>
            </w:r>
            <w:r w:rsidR="00BB5C46">
              <w:rPr>
                <w:rFonts w:ascii="Times New Roman" w:hAnsi="Times New Roman"/>
              </w:rPr>
              <w:tab/>
            </w:r>
          </w:p>
        </w:tc>
        <w:tc>
          <w:tcPr>
            <w:tcW w:w="1765" w:type="pct"/>
            <w:tcBorders>
              <w:left w:val="single" w:sz="6" w:space="0" w:color="auto"/>
              <w:bottom w:val="single" w:sz="6" w:space="0" w:color="auto"/>
              <w:right w:val="single" w:sz="6" w:space="0" w:color="auto"/>
            </w:tcBorders>
          </w:tcPr>
          <w:p w:rsidR="0045123D" w:rsidRPr="00AC1999" w:rsidRDefault="0045123D" w:rsidP="003D47C2">
            <w:pPr>
              <w:spacing w:after="0" w:line="240" w:lineRule="auto"/>
              <w:jc w:val="both"/>
              <w:rPr>
                <w:rFonts w:ascii="Times New Roman" w:hAnsi="Times New Roman"/>
              </w:rPr>
            </w:pPr>
            <w:r w:rsidRPr="00AC1999">
              <w:rPr>
                <w:rFonts w:ascii="Times New Roman" w:hAnsi="Times New Roman"/>
              </w:rPr>
              <w:t>Fifty pounds</w:t>
            </w:r>
          </w:p>
        </w:tc>
        <w:tc>
          <w:tcPr>
            <w:tcW w:w="1773" w:type="pct"/>
            <w:tcBorders>
              <w:left w:val="single" w:sz="6" w:space="0" w:color="auto"/>
              <w:bottom w:val="single" w:sz="6" w:space="0" w:color="auto"/>
            </w:tcBorders>
          </w:tcPr>
          <w:p w:rsidR="0045123D" w:rsidRPr="00AC1999" w:rsidRDefault="0045123D" w:rsidP="003D47C2">
            <w:pPr>
              <w:spacing w:after="0" w:line="240" w:lineRule="auto"/>
              <w:jc w:val="both"/>
              <w:rPr>
                <w:rFonts w:ascii="Times New Roman" w:hAnsi="Times New Roman"/>
              </w:rPr>
            </w:pPr>
            <w:r w:rsidRPr="00AC1999">
              <w:rPr>
                <w:rFonts w:ascii="Times New Roman" w:hAnsi="Times New Roman"/>
              </w:rPr>
              <w:t>One hundred dollars</w:t>
            </w:r>
          </w:p>
        </w:tc>
      </w:tr>
    </w:tbl>
    <w:p w:rsidR="0045123D" w:rsidRDefault="0045123D" w:rsidP="001C2459">
      <w:pPr>
        <w:pBdr>
          <w:top w:val="single" w:sz="4" w:space="1" w:color="auto"/>
        </w:pBdr>
        <w:spacing w:before="360" w:after="0" w:line="240" w:lineRule="auto"/>
        <w:ind w:left="3600" w:right="3600"/>
        <w:jc w:val="center"/>
        <w:rPr>
          <w:rFonts w:ascii="Times New Roman" w:hAnsi="Times New Roman"/>
        </w:rPr>
      </w:pPr>
    </w:p>
    <w:sectPr w:rsidR="0045123D" w:rsidSect="006862D0">
      <w:headerReference w:type="even" r:id="rId7"/>
      <w:headerReference w:type="default" r:id="rId8"/>
      <w:pgSz w:w="11909" w:h="16834"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0D4" w:rsidRDefault="002020D4" w:rsidP="00AB3E56">
      <w:pPr>
        <w:spacing w:after="0" w:line="240" w:lineRule="auto"/>
      </w:pPr>
      <w:r>
        <w:separator/>
      </w:r>
    </w:p>
  </w:endnote>
  <w:endnote w:type="continuationSeparator" w:id="0">
    <w:p w:rsidR="002020D4" w:rsidRDefault="002020D4" w:rsidP="00AB3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0D4" w:rsidRDefault="002020D4" w:rsidP="00AB3E56">
      <w:pPr>
        <w:spacing w:after="0" w:line="240" w:lineRule="auto"/>
      </w:pPr>
      <w:r>
        <w:separator/>
      </w:r>
    </w:p>
  </w:footnote>
  <w:footnote w:type="continuationSeparator" w:id="0">
    <w:p w:rsidR="002020D4" w:rsidRDefault="002020D4" w:rsidP="00AB3E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E56" w:rsidRPr="00AB3E56" w:rsidRDefault="00AB3E56">
    <w:pPr>
      <w:pStyle w:val="Header"/>
      <w:rPr>
        <w:rFonts w:ascii="Times New Roman" w:hAnsi="Times New Roman"/>
        <w:sz w:val="20"/>
      </w:rPr>
    </w:pPr>
    <w:r w:rsidRPr="00AB3E56">
      <w:rPr>
        <w:rFonts w:ascii="Times New Roman" w:hAnsi="Times New Roman"/>
        <w:sz w:val="20"/>
      </w:rPr>
      <w:t>1966</w:t>
    </w:r>
    <w:r w:rsidRPr="00AB3E56">
      <w:rPr>
        <w:rFonts w:ascii="Times New Roman" w:hAnsi="Times New Roman"/>
        <w:sz w:val="20"/>
      </w:rPr>
      <w:ptab w:relativeTo="margin" w:alignment="center" w:leader="none"/>
    </w:r>
    <w:r w:rsidRPr="00AB3E56">
      <w:rPr>
        <w:rFonts w:ascii="Times New Roman" w:hAnsi="Times New Roman"/>
        <w:i/>
        <w:sz w:val="20"/>
      </w:rPr>
      <w:t>Sales Tax</w:t>
    </w:r>
    <w:r w:rsidRPr="00AB3E56">
      <w:rPr>
        <w:rFonts w:ascii="Times New Roman" w:hAnsi="Times New Roman"/>
        <w:sz w:val="20"/>
      </w:rPr>
      <w:t xml:space="preserve"> (</w:t>
    </w:r>
    <w:r w:rsidRPr="00AB3E56">
      <w:rPr>
        <w:rFonts w:ascii="Times New Roman" w:hAnsi="Times New Roman"/>
        <w:i/>
        <w:sz w:val="20"/>
      </w:rPr>
      <w:t>Exemptions and Classifications</w:t>
    </w:r>
    <w:r w:rsidRPr="00AB3E56">
      <w:rPr>
        <w:rFonts w:ascii="Times New Roman" w:hAnsi="Times New Roman"/>
        <w:sz w:val="20"/>
      </w:rPr>
      <w:t>)</w:t>
    </w:r>
    <w:r w:rsidRPr="00AB3E56">
      <w:rPr>
        <w:rFonts w:ascii="Times New Roman" w:hAnsi="Times New Roman"/>
        <w:sz w:val="20"/>
      </w:rPr>
      <w:ptab w:relativeTo="margin" w:alignment="right" w:leader="none"/>
    </w:r>
    <w:r w:rsidRPr="00AB3E56">
      <w:rPr>
        <w:rFonts w:ascii="Times New Roman" w:hAnsi="Times New Roman"/>
        <w:sz w:val="20"/>
      </w:rPr>
      <w:t>No. 26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E56" w:rsidRPr="00AB3E56" w:rsidRDefault="00AB3E56">
    <w:pPr>
      <w:pStyle w:val="Header"/>
      <w:rPr>
        <w:rFonts w:ascii="Times New Roman" w:hAnsi="Times New Roman"/>
        <w:sz w:val="20"/>
      </w:rPr>
    </w:pPr>
    <w:r w:rsidRPr="00AB3E56">
      <w:rPr>
        <w:rFonts w:ascii="Times New Roman" w:hAnsi="Times New Roman"/>
        <w:sz w:val="20"/>
      </w:rPr>
      <w:t>No. 26</w:t>
    </w:r>
    <w:r w:rsidRPr="00AB3E56">
      <w:rPr>
        <w:rFonts w:ascii="Times New Roman" w:hAnsi="Times New Roman"/>
        <w:sz w:val="20"/>
      </w:rPr>
      <w:ptab w:relativeTo="margin" w:alignment="center" w:leader="none"/>
    </w:r>
    <w:r w:rsidRPr="00AB3E56">
      <w:rPr>
        <w:rFonts w:ascii="Times New Roman" w:hAnsi="Times New Roman"/>
        <w:i/>
        <w:sz w:val="20"/>
      </w:rPr>
      <w:t>Sales Tax</w:t>
    </w:r>
    <w:r w:rsidRPr="00AB3E56">
      <w:rPr>
        <w:rFonts w:ascii="Times New Roman" w:hAnsi="Times New Roman"/>
        <w:sz w:val="20"/>
      </w:rPr>
      <w:t xml:space="preserve"> (</w:t>
    </w:r>
    <w:r w:rsidRPr="00AB3E56">
      <w:rPr>
        <w:rFonts w:ascii="Times New Roman" w:hAnsi="Times New Roman"/>
        <w:i/>
        <w:sz w:val="20"/>
      </w:rPr>
      <w:t>Exemptions and Classifications</w:t>
    </w:r>
    <w:r w:rsidRPr="00AB3E56">
      <w:rPr>
        <w:rFonts w:ascii="Times New Roman" w:hAnsi="Times New Roman"/>
        <w:sz w:val="20"/>
      </w:rPr>
      <w:t>)</w:t>
    </w:r>
    <w:r w:rsidRPr="00AB3E56">
      <w:rPr>
        <w:rFonts w:ascii="Times New Roman" w:hAnsi="Times New Roman"/>
        <w:sz w:val="20"/>
      </w:rPr>
      <w:ptab w:relativeTo="margin" w:alignment="right" w:leader="none"/>
    </w:r>
    <w:r w:rsidRPr="00AB3E56">
      <w:rPr>
        <w:rFonts w:ascii="Times New Roman" w:hAnsi="Times New Roman"/>
        <w:sz w:val="20"/>
      </w:rPr>
      <w:t>1966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6714C"/>
    <w:rsid w:val="00007AA6"/>
    <w:rsid w:val="00020550"/>
    <w:rsid w:val="00032A68"/>
    <w:rsid w:val="000439E6"/>
    <w:rsid w:val="00075841"/>
    <w:rsid w:val="00076372"/>
    <w:rsid w:val="000777AF"/>
    <w:rsid w:val="000A79B6"/>
    <w:rsid w:val="000C68F7"/>
    <w:rsid w:val="001238E1"/>
    <w:rsid w:val="001305D9"/>
    <w:rsid w:val="001440D3"/>
    <w:rsid w:val="00150A3A"/>
    <w:rsid w:val="001662FE"/>
    <w:rsid w:val="001A03B7"/>
    <w:rsid w:val="001B18DB"/>
    <w:rsid w:val="001C2459"/>
    <w:rsid w:val="001C5306"/>
    <w:rsid w:val="0020197E"/>
    <w:rsid w:val="002020D4"/>
    <w:rsid w:val="00222B74"/>
    <w:rsid w:val="00224C86"/>
    <w:rsid w:val="00231637"/>
    <w:rsid w:val="002319AB"/>
    <w:rsid w:val="00270BB7"/>
    <w:rsid w:val="00292B47"/>
    <w:rsid w:val="002D334A"/>
    <w:rsid w:val="002E48B4"/>
    <w:rsid w:val="00302495"/>
    <w:rsid w:val="003148AB"/>
    <w:rsid w:val="003200A2"/>
    <w:rsid w:val="00326B5B"/>
    <w:rsid w:val="00345850"/>
    <w:rsid w:val="00347E6F"/>
    <w:rsid w:val="003852E0"/>
    <w:rsid w:val="00394FDC"/>
    <w:rsid w:val="0039633B"/>
    <w:rsid w:val="003A2474"/>
    <w:rsid w:val="003B32DA"/>
    <w:rsid w:val="003E0631"/>
    <w:rsid w:val="003E3AF4"/>
    <w:rsid w:val="00412F90"/>
    <w:rsid w:val="004303BE"/>
    <w:rsid w:val="00430859"/>
    <w:rsid w:val="004447D8"/>
    <w:rsid w:val="0045123D"/>
    <w:rsid w:val="00454539"/>
    <w:rsid w:val="0046280A"/>
    <w:rsid w:val="004966A9"/>
    <w:rsid w:val="004C48D5"/>
    <w:rsid w:val="004D7CB7"/>
    <w:rsid w:val="004F0B92"/>
    <w:rsid w:val="004F647C"/>
    <w:rsid w:val="0052040E"/>
    <w:rsid w:val="00535F66"/>
    <w:rsid w:val="0054289C"/>
    <w:rsid w:val="0055113A"/>
    <w:rsid w:val="005544CA"/>
    <w:rsid w:val="00577286"/>
    <w:rsid w:val="00580D85"/>
    <w:rsid w:val="00582061"/>
    <w:rsid w:val="005A33EC"/>
    <w:rsid w:val="005C1C80"/>
    <w:rsid w:val="00627D34"/>
    <w:rsid w:val="00647E31"/>
    <w:rsid w:val="006548BC"/>
    <w:rsid w:val="00682DCE"/>
    <w:rsid w:val="006862D0"/>
    <w:rsid w:val="00692425"/>
    <w:rsid w:val="006933D0"/>
    <w:rsid w:val="00697377"/>
    <w:rsid w:val="006C1061"/>
    <w:rsid w:val="006C3808"/>
    <w:rsid w:val="006C67D5"/>
    <w:rsid w:val="006E3F0A"/>
    <w:rsid w:val="006E4701"/>
    <w:rsid w:val="006E5C2E"/>
    <w:rsid w:val="006E7085"/>
    <w:rsid w:val="006F08E9"/>
    <w:rsid w:val="006F5DD2"/>
    <w:rsid w:val="006F7504"/>
    <w:rsid w:val="0070057A"/>
    <w:rsid w:val="00705FC7"/>
    <w:rsid w:val="00753E82"/>
    <w:rsid w:val="007606ED"/>
    <w:rsid w:val="00774461"/>
    <w:rsid w:val="00795E0B"/>
    <w:rsid w:val="007A2CFE"/>
    <w:rsid w:val="007A7257"/>
    <w:rsid w:val="007C4B6F"/>
    <w:rsid w:val="007F3A43"/>
    <w:rsid w:val="007F3A87"/>
    <w:rsid w:val="0083344B"/>
    <w:rsid w:val="008535BA"/>
    <w:rsid w:val="0086270E"/>
    <w:rsid w:val="008873E8"/>
    <w:rsid w:val="008A3A8B"/>
    <w:rsid w:val="008A67B5"/>
    <w:rsid w:val="008B7699"/>
    <w:rsid w:val="008D7D71"/>
    <w:rsid w:val="009012AB"/>
    <w:rsid w:val="00904BE1"/>
    <w:rsid w:val="00934637"/>
    <w:rsid w:val="00935008"/>
    <w:rsid w:val="00956655"/>
    <w:rsid w:val="00986508"/>
    <w:rsid w:val="009B099D"/>
    <w:rsid w:val="009D0BB2"/>
    <w:rsid w:val="009D236A"/>
    <w:rsid w:val="00A00A93"/>
    <w:rsid w:val="00A01531"/>
    <w:rsid w:val="00A04CDA"/>
    <w:rsid w:val="00A107C2"/>
    <w:rsid w:val="00A15AF4"/>
    <w:rsid w:val="00A23305"/>
    <w:rsid w:val="00A514D0"/>
    <w:rsid w:val="00A52D57"/>
    <w:rsid w:val="00A55950"/>
    <w:rsid w:val="00A60DA6"/>
    <w:rsid w:val="00A65125"/>
    <w:rsid w:val="00A65AF2"/>
    <w:rsid w:val="00A81E1C"/>
    <w:rsid w:val="00A86106"/>
    <w:rsid w:val="00AB3E56"/>
    <w:rsid w:val="00AC1999"/>
    <w:rsid w:val="00AC3A76"/>
    <w:rsid w:val="00AC4C3C"/>
    <w:rsid w:val="00AC5949"/>
    <w:rsid w:val="00AC665B"/>
    <w:rsid w:val="00AD084C"/>
    <w:rsid w:val="00B04F0D"/>
    <w:rsid w:val="00B17260"/>
    <w:rsid w:val="00B26EF5"/>
    <w:rsid w:val="00B41A6E"/>
    <w:rsid w:val="00B424CA"/>
    <w:rsid w:val="00B614B8"/>
    <w:rsid w:val="00B6577C"/>
    <w:rsid w:val="00B73629"/>
    <w:rsid w:val="00BA4BC2"/>
    <w:rsid w:val="00BA7A5D"/>
    <w:rsid w:val="00BB5C46"/>
    <w:rsid w:val="00BD7D62"/>
    <w:rsid w:val="00BE37D8"/>
    <w:rsid w:val="00BF2474"/>
    <w:rsid w:val="00BF3D1A"/>
    <w:rsid w:val="00C050AA"/>
    <w:rsid w:val="00C12B48"/>
    <w:rsid w:val="00C20510"/>
    <w:rsid w:val="00C51961"/>
    <w:rsid w:val="00C5599C"/>
    <w:rsid w:val="00C816C7"/>
    <w:rsid w:val="00C97E59"/>
    <w:rsid w:val="00CC0D29"/>
    <w:rsid w:val="00CC6994"/>
    <w:rsid w:val="00CF09F1"/>
    <w:rsid w:val="00CF3B73"/>
    <w:rsid w:val="00D068B6"/>
    <w:rsid w:val="00D33A48"/>
    <w:rsid w:val="00D53358"/>
    <w:rsid w:val="00D53CED"/>
    <w:rsid w:val="00D64F20"/>
    <w:rsid w:val="00D6714C"/>
    <w:rsid w:val="00D67176"/>
    <w:rsid w:val="00D84D99"/>
    <w:rsid w:val="00DA178A"/>
    <w:rsid w:val="00DB31D7"/>
    <w:rsid w:val="00DC4BFE"/>
    <w:rsid w:val="00DD4EC9"/>
    <w:rsid w:val="00DD602D"/>
    <w:rsid w:val="00DD637C"/>
    <w:rsid w:val="00DF0776"/>
    <w:rsid w:val="00DF68E6"/>
    <w:rsid w:val="00E10EE1"/>
    <w:rsid w:val="00E16CD7"/>
    <w:rsid w:val="00E1766D"/>
    <w:rsid w:val="00E47CEE"/>
    <w:rsid w:val="00E77892"/>
    <w:rsid w:val="00EB1B97"/>
    <w:rsid w:val="00EB7E63"/>
    <w:rsid w:val="00EC1667"/>
    <w:rsid w:val="00EE589E"/>
    <w:rsid w:val="00F91857"/>
    <w:rsid w:val="00F93935"/>
    <w:rsid w:val="00FA135A"/>
    <w:rsid w:val="00FC67CE"/>
    <w:rsid w:val="00FE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D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D6714C"/>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D6714C"/>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D6714C"/>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D6714C"/>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D6714C"/>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D6714C"/>
    <w:pPr>
      <w:spacing w:after="0" w:line="240" w:lineRule="auto"/>
    </w:pPr>
    <w:rPr>
      <w:rFonts w:ascii="Times New Roman" w:eastAsia="Times New Roman" w:hAnsi="Times New Roman" w:cs="Times New Roman"/>
      <w:sz w:val="20"/>
      <w:szCs w:val="20"/>
    </w:rPr>
  </w:style>
  <w:style w:type="paragraph" w:customStyle="1" w:styleId="Style16">
    <w:name w:val="Style16"/>
    <w:basedOn w:val="Normal"/>
    <w:rsid w:val="00D6714C"/>
    <w:pPr>
      <w:spacing w:after="0" w:line="240" w:lineRule="auto"/>
    </w:pPr>
    <w:rPr>
      <w:rFonts w:ascii="Times New Roman" w:eastAsia="Times New Roman" w:hAnsi="Times New Roman" w:cs="Times New Roman"/>
      <w:sz w:val="20"/>
      <w:szCs w:val="20"/>
    </w:rPr>
  </w:style>
  <w:style w:type="paragraph" w:customStyle="1" w:styleId="Style45">
    <w:name w:val="Style45"/>
    <w:basedOn w:val="Normal"/>
    <w:rsid w:val="00D6714C"/>
    <w:pPr>
      <w:spacing w:after="0" w:line="240" w:lineRule="auto"/>
    </w:pPr>
    <w:rPr>
      <w:rFonts w:ascii="Times New Roman" w:eastAsia="Times New Roman" w:hAnsi="Times New Roman" w:cs="Times New Roman"/>
      <w:sz w:val="20"/>
      <w:szCs w:val="20"/>
    </w:rPr>
  </w:style>
  <w:style w:type="paragraph" w:customStyle="1" w:styleId="Style257">
    <w:name w:val="Style257"/>
    <w:basedOn w:val="Normal"/>
    <w:rsid w:val="00D6714C"/>
    <w:pPr>
      <w:spacing w:after="0" w:line="240" w:lineRule="auto"/>
    </w:pPr>
    <w:rPr>
      <w:rFonts w:ascii="Times New Roman" w:eastAsia="Times New Roman" w:hAnsi="Times New Roman" w:cs="Times New Roman"/>
      <w:sz w:val="20"/>
      <w:szCs w:val="20"/>
    </w:rPr>
  </w:style>
  <w:style w:type="paragraph" w:customStyle="1" w:styleId="Style256">
    <w:name w:val="Style256"/>
    <w:basedOn w:val="Normal"/>
    <w:rsid w:val="00D6714C"/>
    <w:pPr>
      <w:spacing w:after="0" w:line="240" w:lineRule="auto"/>
    </w:pPr>
    <w:rPr>
      <w:rFonts w:ascii="Times New Roman" w:eastAsia="Times New Roman" w:hAnsi="Times New Roman" w:cs="Times New Roman"/>
      <w:sz w:val="20"/>
      <w:szCs w:val="20"/>
    </w:rPr>
  </w:style>
  <w:style w:type="paragraph" w:customStyle="1" w:styleId="Style295">
    <w:name w:val="Style295"/>
    <w:basedOn w:val="Normal"/>
    <w:rsid w:val="00D6714C"/>
    <w:pPr>
      <w:spacing w:after="0" w:line="240" w:lineRule="auto"/>
    </w:pPr>
    <w:rPr>
      <w:rFonts w:ascii="Times New Roman" w:eastAsia="Times New Roman" w:hAnsi="Times New Roman" w:cs="Times New Roman"/>
      <w:sz w:val="20"/>
      <w:szCs w:val="20"/>
    </w:rPr>
  </w:style>
  <w:style w:type="paragraph" w:customStyle="1" w:styleId="Style237">
    <w:name w:val="Style237"/>
    <w:basedOn w:val="Normal"/>
    <w:rsid w:val="00D6714C"/>
    <w:pPr>
      <w:spacing w:after="0" w:line="240" w:lineRule="auto"/>
    </w:pPr>
    <w:rPr>
      <w:rFonts w:ascii="Times New Roman" w:eastAsia="Times New Roman" w:hAnsi="Times New Roman" w:cs="Times New Roman"/>
      <w:sz w:val="20"/>
      <w:szCs w:val="20"/>
    </w:rPr>
  </w:style>
  <w:style w:type="paragraph" w:customStyle="1" w:styleId="Style249">
    <w:name w:val="Style249"/>
    <w:basedOn w:val="Normal"/>
    <w:rsid w:val="00D6714C"/>
    <w:pPr>
      <w:spacing w:after="0" w:line="240" w:lineRule="auto"/>
    </w:pPr>
    <w:rPr>
      <w:rFonts w:ascii="Times New Roman" w:eastAsia="Times New Roman" w:hAnsi="Times New Roman" w:cs="Times New Roman"/>
      <w:sz w:val="20"/>
      <w:szCs w:val="20"/>
    </w:rPr>
  </w:style>
  <w:style w:type="paragraph" w:customStyle="1" w:styleId="Style292">
    <w:name w:val="Style292"/>
    <w:basedOn w:val="Normal"/>
    <w:rsid w:val="00D6714C"/>
    <w:pPr>
      <w:spacing w:after="0" w:line="240" w:lineRule="auto"/>
    </w:pPr>
    <w:rPr>
      <w:rFonts w:ascii="Times New Roman" w:eastAsia="Times New Roman" w:hAnsi="Times New Roman" w:cs="Times New Roman"/>
      <w:sz w:val="20"/>
      <w:szCs w:val="20"/>
    </w:rPr>
  </w:style>
  <w:style w:type="paragraph" w:customStyle="1" w:styleId="Style126">
    <w:name w:val="Style126"/>
    <w:basedOn w:val="Normal"/>
    <w:rsid w:val="00D6714C"/>
    <w:pPr>
      <w:spacing w:after="0" w:line="240" w:lineRule="auto"/>
    </w:pPr>
    <w:rPr>
      <w:rFonts w:ascii="Times New Roman" w:eastAsia="Times New Roman" w:hAnsi="Times New Roman" w:cs="Times New Roman"/>
      <w:sz w:val="20"/>
      <w:szCs w:val="20"/>
    </w:rPr>
  </w:style>
  <w:style w:type="paragraph" w:customStyle="1" w:styleId="Style220">
    <w:name w:val="Style220"/>
    <w:basedOn w:val="Normal"/>
    <w:rsid w:val="00D6714C"/>
    <w:pPr>
      <w:spacing w:after="0" w:line="240" w:lineRule="auto"/>
    </w:pPr>
    <w:rPr>
      <w:rFonts w:ascii="Times New Roman" w:eastAsia="Times New Roman" w:hAnsi="Times New Roman" w:cs="Times New Roman"/>
      <w:sz w:val="20"/>
      <w:szCs w:val="20"/>
    </w:rPr>
  </w:style>
  <w:style w:type="paragraph" w:customStyle="1" w:styleId="Style245">
    <w:name w:val="Style245"/>
    <w:basedOn w:val="Normal"/>
    <w:rsid w:val="00D6714C"/>
    <w:pPr>
      <w:spacing w:after="0" w:line="240" w:lineRule="auto"/>
    </w:pPr>
    <w:rPr>
      <w:rFonts w:ascii="Times New Roman" w:eastAsia="Times New Roman" w:hAnsi="Times New Roman" w:cs="Times New Roman"/>
      <w:sz w:val="20"/>
      <w:szCs w:val="20"/>
    </w:rPr>
  </w:style>
  <w:style w:type="paragraph" w:customStyle="1" w:styleId="Style281">
    <w:name w:val="Style281"/>
    <w:basedOn w:val="Normal"/>
    <w:rsid w:val="00D6714C"/>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D6714C"/>
    <w:rPr>
      <w:rFonts w:ascii="Times New Roman" w:eastAsia="Times New Roman" w:hAnsi="Times New Roman" w:cs="Times New Roman"/>
      <w:b/>
      <w:bCs/>
      <w:i w:val="0"/>
      <w:iCs w:val="0"/>
      <w:smallCaps w:val="0"/>
      <w:spacing w:val="-10"/>
      <w:sz w:val="36"/>
      <w:szCs w:val="36"/>
    </w:rPr>
  </w:style>
  <w:style w:type="character" w:customStyle="1" w:styleId="CharStyle2">
    <w:name w:val="CharStyle2"/>
    <w:basedOn w:val="DefaultParagraphFont"/>
    <w:rsid w:val="00D6714C"/>
    <w:rPr>
      <w:rFonts w:ascii="Times New Roman" w:eastAsia="Times New Roman" w:hAnsi="Times New Roman" w:cs="Times New Roman"/>
      <w:b/>
      <w:bCs/>
      <w:i w:val="0"/>
      <w:iCs w:val="0"/>
      <w:smallCaps w:val="0"/>
      <w:sz w:val="24"/>
      <w:szCs w:val="24"/>
    </w:rPr>
  </w:style>
  <w:style w:type="character" w:customStyle="1" w:styleId="CharStyle8">
    <w:name w:val="CharStyle8"/>
    <w:basedOn w:val="DefaultParagraphFont"/>
    <w:rsid w:val="00D6714C"/>
    <w:rPr>
      <w:rFonts w:ascii="Times New Roman" w:eastAsia="Times New Roman" w:hAnsi="Times New Roman" w:cs="Times New Roman"/>
      <w:b w:val="0"/>
      <w:bCs w:val="0"/>
      <w:i w:val="0"/>
      <w:iCs w:val="0"/>
      <w:smallCaps w:val="0"/>
      <w:sz w:val="22"/>
      <w:szCs w:val="22"/>
    </w:rPr>
  </w:style>
  <w:style w:type="character" w:customStyle="1" w:styleId="CharStyle34">
    <w:name w:val="CharStyle34"/>
    <w:basedOn w:val="DefaultParagraphFont"/>
    <w:rsid w:val="00D6714C"/>
    <w:rPr>
      <w:rFonts w:ascii="Times New Roman" w:eastAsia="Times New Roman" w:hAnsi="Times New Roman" w:cs="Times New Roman"/>
      <w:b/>
      <w:bCs/>
      <w:i w:val="0"/>
      <w:iCs w:val="0"/>
      <w:smallCaps/>
      <w:sz w:val="16"/>
      <w:szCs w:val="16"/>
    </w:rPr>
  </w:style>
  <w:style w:type="character" w:customStyle="1" w:styleId="CharStyle55">
    <w:name w:val="CharStyle55"/>
    <w:basedOn w:val="DefaultParagraphFont"/>
    <w:rsid w:val="00D6714C"/>
    <w:rPr>
      <w:rFonts w:ascii="Times New Roman" w:eastAsia="Times New Roman" w:hAnsi="Times New Roman" w:cs="Times New Roman"/>
      <w:b w:val="0"/>
      <w:bCs w:val="0"/>
      <w:i/>
      <w:iCs/>
      <w:smallCaps w:val="0"/>
      <w:sz w:val="22"/>
      <w:szCs w:val="22"/>
    </w:rPr>
  </w:style>
  <w:style w:type="character" w:customStyle="1" w:styleId="CharStyle67">
    <w:name w:val="CharStyle67"/>
    <w:basedOn w:val="DefaultParagraphFont"/>
    <w:rsid w:val="00D6714C"/>
    <w:rPr>
      <w:rFonts w:ascii="Times New Roman" w:eastAsia="Times New Roman" w:hAnsi="Times New Roman" w:cs="Times New Roman"/>
      <w:b/>
      <w:bCs/>
      <w:i w:val="0"/>
      <w:iCs w:val="0"/>
      <w:smallCaps w:val="0"/>
      <w:sz w:val="12"/>
      <w:szCs w:val="12"/>
    </w:rPr>
  </w:style>
  <w:style w:type="character" w:customStyle="1" w:styleId="CharStyle70">
    <w:name w:val="CharStyle70"/>
    <w:basedOn w:val="DefaultParagraphFont"/>
    <w:rsid w:val="00D6714C"/>
    <w:rPr>
      <w:rFonts w:ascii="Times New Roman" w:eastAsia="Times New Roman" w:hAnsi="Times New Roman" w:cs="Times New Roman"/>
      <w:b/>
      <w:bCs/>
      <w:i w:val="0"/>
      <w:iCs w:val="0"/>
      <w:smallCaps w:val="0"/>
      <w:spacing w:val="-10"/>
      <w:sz w:val="24"/>
      <w:szCs w:val="24"/>
    </w:rPr>
  </w:style>
  <w:style w:type="character" w:customStyle="1" w:styleId="CharStyle90">
    <w:name w:val="CharStyle90"/>
    <w:basedOn w:val="DefaultParagraphFont"/>
    <w:rsid w:val="00D6714C"/>
    <w:rPr>
      <w:rFonts w:ascii="Times New Roman" w:eastAsia="Times New Roman" w:hAnsi="Times New Roman" w:cs="Times New Roman"/>
      <w:b/>
      <w:bCs/>
      <w:i/>
      <w:iCs/>
      <w:smallCaps w:val="0"/>
      <w:sz w:val="16"/>
      <w:szCs w:val="16"/>
    </w:rPr>
  </w:style>
  <w:style w:type="character" w:customStyle="1" w:styleId="CharStyle101">
    <w:name w:val="CharStyle101"/>
    <w:basedOn w:val="DefaultParagraphFont"/>
    <w:rsid w:val="00D6714C"/>
    <w:rPr>
      <w:rFonts w:ascii="Times New Roman" w:eastAsia="Times New Roman" w:hAnsi="Times New Roman" w:cs="Times New Roman"/>
      <w:b/>
      <w:bCs/>
      <w:i w:val="0"/>
      <w:iCs w:val="0"/>
      <w:smallCaps w:val="0"/>
      <w:sz w:val="16"/>
      <w:szCs w:val="16"/>
    </w:rPr>
  </w:style>
  <w:style w:type="character" w:customStyle="1" w:styleId="CharStyle125">
    <w:name w:val="CharStyle125"/>
    <w:basedOn w:val="DefaultParagraphFont"/>
    <w:rsid w:val="00D6714C"/>
    <w:rPr>
      <w:rFonts w:ascii="Times New Roman" w:eastAsia="Times New Roman" w:hAnsi="Times New Roman" w:cs="Times New Roman"/>
      <w:b/>
      <w:bCs/>
      <w:i w:val="0"/>
      <w:iCs w:val="0"/>
      <w:smallCaps/>
      <w:sz w:val="14"/>
      <w:szCs w:val="14"/>
    </w:rPr>
  </w:style>
  <w:style w:type="character" w:customStyle="1" w:styleId="CharStyle140">
    <w:name w:val="CharStyle140"/>
    <w:basedOn w:val="DefaultParagraphFont"/>
    <w:rsid w:val="00D6714C"/>
    <w:rPr>
      <w:rFonts w:ascii="Times New Roman" w:eastAsia="Times New Roman" w:hAnsi="Times New Roman" w:cs="Times New Roman"/>
      <w:b/>
      <w:bCs/>
      <w:i w:val="0"/>
      <w:iCs w:val="0"/>
      <w:smallCaps w:val="0"/>
      <w:sz w:val="192"/>
      <w:szCs w:val="192"/>
    </w:rPr>
  </w:style>
  <w:style w:type="character" w:customStyle="1" w:styleId="CharStyle161">
    <w:name w:val="CharStyle161"/>
    <w:basedOn w:val="DefaultParagraphFont"/>
    <w:rsid w:val="00D6714C"/>
    <w:rPr>
      <w:rFonts w:ascii="Times New Roman" w:eastAsia="Times New Roman" w:hAnsi="Times New Roman" w:cs="Times New Roman"/>
      <w:b/>
      <w:bCs/>
      <w:i w:val="0"/>
      <w:iCs w:val="0"/>
      <w:smallCaps/>
      <w:sz w:val="22"/>
      <w:szCs w:val="22"/>
    </w:rPr>
  </w:style>
  <w:style w:type="character" w:customStyle="1" w:styleId="CharStyle184">
    <w:name w:val="CharStyle184"/>
    <w:basedOn w:val="DefaultParagraphFont"/>
    <w:rsid w:val="00D6714C"/>
    <w:rPr>
      <w:rFonts w:ascii="Times New Roman" w:eastAsia="Times New Roman" w:hAnsi="Times New Roman" w:cs="Times New Roman"/>
      <w:b/>
      <w:bCs/>
      <w:i w:val="0"/>
      <w:iCs w:val="0"/>
      <w:smallCaps w:val="0"/>
      <w:sz w:val="12"/>
      <w:szCs w:val="12"/>
    </w:rPr>
  </w:style>
  <w:style w:type="character" w:customStyle="1" w:styleId="CharStyle204">
    <w:name w:val="CharStyle204"/>
    <w:basedOn w:val="DefaultParagraphFont"/>
    <w:rsid w:val="00D6714C"/>
    <w:rPr>
      <w:rFonts w:ascii="Sylfaen" w:eastAsia="Sylfaen" w:hAnsi="Sylfaen" w:cs="Sylfaen"/>
      <w:b/>
      <w:bCs/>
      <w:i w:val="0"/>
      <w:iCs w:val="0"/>
      <w:smallCaps w:val="0"/>
      <w:sz w:val="50"/>
      <w:szCs w:val="50"/>
    </w:rPr>
  </w:style>
  <w:style w:type="character" w:customStyle="1" w:styleId="CharStyle279">
    <w:name w:val="CharStyle279"/>
    <w:basedOn w:val="DefaultParagraphFont"/>
    <w:rsid w:val="00D6714C"/>
    <w:rPr>
      <w:rFonts w:ascii="Times New Roman" w:eastAsia="Times New Roman" w:hAnsi="Times New Roman" w:cs="Times New Roman"/>
      <w:b/>
      <w:bCs/>
      <w:i w:val="0"/>
      <w:iCs w:val="0"/>
      <w:smallCaps w:val="0"/>
      <w:sz w:val="14"/>
      <w:szCs w:val="14"/>
    </w:rPr>
  </w:style>
  <w:style w:type="character" w:customStyle="1" w:styleId="CharStyle294">
    <w:name w:val="CharStyle294"/>
    <w:basedOn w:val="DefaultParagraphFont"/>
    <w:rsid w:val="00D6714C"/>
    <w:rPr>
      <w:rFonts w:ascii="Times New Roman" w:eastAsia="Times New Roman" w:hAnsi="Times New Roman" w:cs="Times New Roman"/>
      <w:b/>
      <w:bCs/>
      <w:i w:val="0"/>
      <w:iCs w:val="0"/>
      <w:smallCaps w:val="0"/>
      <w:spacing w:val="-10"/>
      <w:sz w:val="22"/>
      <w:szCs w:val="22"/>
    </w:rPr>
  </w:style>
  <w:style w:type="paragraph" w:styleId="Header">
    <w:name w:val="header"/>
    <w:basedOn w:val="Normal"/>
    <w:link w:val="HeaderChar"/>
    <w:uiPriority w:val="99"/>
    <w:semiHidden/>
    <w:unhideWhenUsed/>
    <w:rsid w:val="00AB3E5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B3E56"/>
  </w:style>
  <w:style w:type="paragraph" w:styleId="Footer">
    <w:name w:val="footer"/>
    <w:basedOn w:val="Normal"/>
    <w:link w:val="FooterChar"/>
    <w:uiPriority w:val="99"/>
    <w:semiHidden/>
    <w:unhideWhenUsed/>
    <w:rsid w:val="00AB3E5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B3E56"/>
  </w:style>
  <w:style w:type="paragraph" w:styleId="BalloonText">
    <w:name w:val="Balloon Text"/>
    <w:basedOn w:val="Normal"/>
    <w:link w:val="BalloonTextChar"/>
    <w:uiPriority w:val="99"/>
    <w:semiHidden/>
    <w:unhideWhenUsed/>
    <w:rsid w:val="00AB3E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E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4</Pages>
  <Words>1113</Words>
  <Characters>6350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552</cp:revision>
  <dcterms:created xsi:type="dcterms:W3CDTF">2017-05-02T16:59:00Z</dcterms:created>
  <dcterms:modified xsi:type="dcterms:W3CDTF">2018-12-04T03:38:00Z</dcterms:modified>
</cp:coreProperties>
</file>