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A4E" w:rsidRPr="00EF7E38" w:rsidRDefault="00857A4E" w:rsidP="00EF7E38">
      <w:pPr>
        <w:spacing w:before="5000"/>
        <w:jc w:val="center"/>
        <w:rPr>
          <w:sz w:val="36"/>
        </w:rPr>
      </w:pPr>
      <w:r w:rsidRPr="00EF7E38">
        <w:rPr>
          <w:sz w:val="36"/>
        </w:rPr>
        <w:t>MEAT EXPORT CONTROL (No. 2).</w:t>
      </w:r>
    </w:p>
    <w:p w:rsidR="00EF7E38" w:rsidRDefault="00EF7E38" w:rsidP="00EF7E38">
      <w:pPr>
        <w:pBdr>
          <w:bottom w:val="single" w:sz="4" w:space="1" w:color="auto"/>
        </w:pBdr>
        <w:spacing w:before="180" w:after="180"/>
        <w:ind w:left="3830" w:right="3830"/>
        <w:jc w:val="center"/>
        <w:rPr>
          <w:b/>
          <w:sz w:val="22"/>
        </w:rPr>
      </w:pPr>
    </w:p>
    <w:p w:rsidR="004F4178" w:rsidRPr="00EF7E38" w:rsidRDefault="004F4178" w:rsidP="00EF7E38">
      <w:pPr>
        <w:jc w:val="center"/>
        <w:rPr>
          <w:b/>
          <w:sz w:val="28"/>
        </w:rPr>
      </w:pPr>
      <w:r w:rsidRPr="00EF7E38">
        <w:rPr>
          <w:b/>
          <w:sz w:val="28"/>
        </w:rPr>
        <w:t>No. 72 of 1960.</w:t>
      </w:r>
    </w:p>
    <w:p w:rsidR="00857A4E" w:rsidRPr="00EF7E38" w:rsidRDefault="00857A4E" w:rsidP="00EF7E38">
      <w:pPr>
        <w:spacing w:before="120" w:after="120"/>
        <w:ind w:left="432" w:hanging="432"/>
        <w:jc w:val="both"/>
        <w:rPr>
          <w:sz w:val="26"/>
        </w:rPr>
      </w:pPr>
      <w:r w:rsidRPr="00EF7E38">
        <w:rPr>
          <w:sz w:val="26"/>
        </w:rPr>
        <w:t xml:space="preserve">An Act to amend the </w:t>
      </w:r>
      <w:r w:rsidR="004F4178" w:rsidRPr="00EF7E38">
        <w:rPr>
          <w:i/>
          <w:sz w:val="26"/>
        </w:rPr>
        <w:t xml:space="preserve">Meat Export Control Act </w:t>
      </w:r>
      <w:r w:rsidRPr="00EF7E38">
        <w:rPr>
          <w:sz w:val="26"/>
        </w:rPr>
        <w:t xml:space="preserve">1935-1953, as amended by the </w:t>
      </w:r>
      <w:r w:rsidR="004F4178" w:rsidRPr="00EF7E38">
        <w:rPr>
          <w:i/>
          <w:sz w:val="26"/>
        </w:rPr>
        <w:t xml:space="preserve">Meat Export Control Act </w:t>
      </w:r>
      <w:r w:rsidRPr="00EF7E38">
        <w:rPr>
          <w:sz w:val="26"/>
        </w:rPr>
        <w:t>1960.</w:t>
      </w:r>
    </w:p>
    <w:p w:rsidR="00857A4E" w:rsidRPr="00EF7E38" w:rsidRDefault="00857A4E" w:rsidP="00EF7E38">
      <w:pPr>
        <w:spacing w:after="120"/>
        <w:jc w:val="right"/>
        <w:rPr>
          <w:sz w:val="26"/>
        </w:rPr>
      </w:pPr>
      <w:r w:rsidRPr="00EF7E38">
        <w:rPr>
          <w:sz w:val="26"/>
        </w:rPr>
        <w:t>[Assented to 8th December, 1960.]</w:t>
      </w:r>
    </w:p>
    <w:p w:rsidR="00857A4E" w:rsidRPr="00F5583C" w:rsidRDefault="00857A4E" w:rsidP="00C51FFF">
      <w:pPr>
        <w:jc w:val="both"/>
        <w:rPr>
          <w:sz w:val="22"/>
          <w:szCs w:val="22"/>
        </w:rPr>
      </w:pPr>
      <w:r w:rsidRPr="00F5583C">
        <w:rPr>
          <w:sz w:val="22"/>
          <w:szCs w:val="22"/>
        </w:rPr>
        <w:t>BE it enacted by the Queen</w:t>
      </w:r>
      <w:r w:rsidR="00D60F41" w:rsidRPr="00F5583C">
        <w:rPr>
          <w:sz w:val="22"/>
          <w:szCs w:val="22"/>
        </w:rPr>
        <w:t>’</w:t>
      </w:r>
      <w:r w:rsidRPr="00F5583C">
        <w:rPr>
          <w:sz w:val="22"/>
          <w:szCs w:val="22"/>
        </w:rPr>
        <w:t>s Most Excellent Majesty, the Senate,</w:t>
      </w:r>
      <w:r w:rsidR="007212C8" w:rsidRPr="00F5583C">
        <w:rPr>
          <w:sz w:val="22"/>
          <w:szCs w:val="22"/>
        </w:rPr>
        <w:t xml:space="preserve"> </w:t>
      </w:r>
      <w:r w:rsidRPr="00F5583C">
        <w:rPr>
          <w:sz w:val="22"/>
          <w:szCs w:val="22"/>
        </w:rPr>
        <w:t>and</w:t>
      </w:r>
      <w:r w:rsidR="007212C8" w:rsidRPr="00F5583C">
        <w:rPr>
          <w:sz w:val="22"/>
          <w:szCs w:val="22"/>
        </w:rPr>
        <w:t xml:space="preserve"> </w:t>
      </w:r>
      <w:r w:rsidRPr="00F5583C">
        <w:rPr>
          <w:sz w:val="22"/>
          <w:szCs w:val="22"/>
        </w:rPr>
        <w:t>the</w:t>
      </w:r>
      <w:r w:rsidR="007212C8" w:rsidRPr="00F5583C">
        <w:rPr>
          <w:sz w:val="22"/>
          <w:szCs w:val="22"/>
        </w:rPr>
        <w:t xml:space="preserve"> </w:t>
      </w:r>
      <w:r w:rsidRPr="00F5583C">
        <w:rPr>
          <w:sz w:val="22"/>
          <w:szCs w:val="22"/>
        </w:rPr>
        <w:t>House</w:t>
      </w:r>
      <w:r w:rsidR="007212C8" w:rsidRPr="00F5583C">
        <w:rPr>
          <w:sz w:val="22"/>
          <w:szCs w:val="22"/>
        </w:rPr>
        <w:t xml:space="preserve"> </w:t>
      </w:r>
      <w:r w:rsidRPr="00F5583C">
        <w:rPr>
          <w:sz w:val="22"/>
          <w:szCs w:val="22"/>
        </w:rPr>
        <w:t>of Representatives</w:t>
      </w:r>
      <w:r w:rsidR="007212C8" w:rsidRPr="00F5583C">
        <w:rPr>
          <w:sz w:val="22"/>
          <w:szCs w:val="22"/>
        </w:rPr>
        <w:t xml:space="preserve"> </w:t>
      </w:r>
      <w:r w:rsidRPr="00F5583C">
        <w:rPr>
          <w:sz w:val="22"/>
          <w:szCs w:val="22"/>
        </w:rPr>
        <w:t>of the Commonwealth of Australia, as follows:—</w:t>
      </w:r>
    </w:p>
    <w:p w:rsidR="004F4178" w:rsidRPr="00EF7E38" w:rsidRDefault="004F4178" w:rsidP="00EF7E38">
      <w:pPr>
        <w:spacing w:before="120" w:after="60"/>
        <w:rPr>
          <w:b/>
          <w:sz w:val="20"/>
        </w:rPr>
      </w:pPr>
      <w:r w:rsidRPr="00EF7E38">
        <w:rPr>
          <w:b/>
          <w:sz w:val="20"/>
        </w:rPr>
        <w:t>Short title and citation.</w:t>
      </w:r>
    </w:p>
    <w:p w:rsidR="00857A4E" w:rsidRPr="00C51FFF" w:rsidRDefault="004F4178" w:rsidP="00EF7E38">
      <w:pPr>
        <w:ind w:firstLine="432"/>
        <w:jc w:val="both"/>
        <w:rPr>
          <w:sz w:val="22"/>
        </w:rPr>
      </w:pPr>
      <w:r w:rsidRPr="00C51FFF">
        <w:rPr>
          <w:b/>
          <w:sz w:val="22"/>
        </w:rPr>
        <w:t>1.</w:t>
      </w:r>
      <w:r w:rsidR="00857A4E" w:rsidRPr="00C51FFF">
        <w:rPr>
          <w:sz w:val="22"/>
        </w:rPr>
        <w:t>—(1.)</w:t>
      </w:r>
      <w:r w:rsidR="00642B93">
        <w:rPr>
          <w:sz w:val="22"/>
        </w:rPr>
        <w:tab/>
      </w:r>
      <w:r w:rsidR="00857A4E" w:rsidRPr="00C51FFF">
        <w:rPr>
          <w:sz w:val="22"/>
        </w:rPr>
        <w:t xml:space="preserve">This Act may be cited as the </w:t>
      </w:r>
      <w:r w:rsidRPr="00C51FFF">
        <w:rPr>
          <w:i/>
          <w:sz w:val="22"/>
        </w:rPr>
        <w:t xml:space="preserve">Meat Export Control Act </w:t>
      </w:r>
      <w:r w:rsidRPr="00F5583C">
        <w:rPr>
          <w:sz w:val="22"/>
        </w:rPr>
        <w:t>(</w:t>
      </w:r>
      <w:r w:rsidRPr="00C51FFF">
        <w:rPr>
          <w:i/>
          <w:sz w:val="22"/>
        </w:rPr>
        <w:t xml:space="preserve">No. </w:t>
      </w:r>
      <w:r w:rsidR="00857A4E" w:rsidRPr="00C51FFF">
        <w:rPr>
          <w:sz w:val="22"/>
        </w:rPr>
        <w:t>2) 1960.</w:t>
      </w:r>
    </w:p>
    <w:p w:rsidR="00857A4E" w:rsidRPr="00C51FFF" w:rsidRDefault="00857A4E" w:rsidP="00642B93">
      <w:pPr>
        <w:tabs>
          <w:tab w:val="left" w:pos="900"/>
        </w:tabs>
        <w:spacing w:before="60"/>
        <w:ind w:firstLine="432"/>
        <w:jc w:val="both"/>
        <w:rPr>
          <w:sz w:val="22"/>
        </w:rPr>
      </w:pPr>
      <w:r w:rsidRPr="00C51FFF">
        <w:rPr>
          <w:sz w:val="22"/>
        </w:rPr>
        <w:t>(2.)</w:t>
      </w:r>
      <w:r w:rsidR="00642B93">
        <w:rPr>
          <w:sz w:val="22"/>
        </w:rPr>
        <w:tab/>
      </w:r>
      <w:r w:rsidRPr="00C51FFF">
        <w:rPr>
          <w:sz w:val="22"/>
        </w:rPr>
        <w:t xml:space="preserve">The </w:t>
      </w:r>
      <w:r w:rsidR="004F4178" w:rsidRPr="00EF7E38">
        <w:rPr>
          <w:sz w:val="22"/>
        </w:rPr>
        <w:t>Meat</w:t>
      </w:r>
      <w:r w:rsidR="004F4178" w:rsidRPr="00C51FFF">
        <w:rPr>
          <w:i/>
          <w:sz w:val="22"/>
        </w:rPr>
        <w:t xml:space="preserve"> Export Control Act </w:t>
      </w:r>
      <w:r w:rsidR="00F5583C">
        <w:rPr>
          <w:sz w:val="22"/>
        </w:rPr>
        <w:t>1935-1953,</w:t>
      </w:r>
      <w:r w:rsidRPr="00C51FFF">
        <w:rPr>
          <w:sz w:val="22"/>
        </w:rPr>
        <w:t xml:space="preserve"> as amended by the </w:t>
      </w:r>
      <w:r w:rsidR="004F4178" w:rsidRPr="00C51FFF">
        <w:rPr>
          <w:i/>
          <w:sz w:val="22"/>
        </w:rPr>
        <w:t xml:space="preserve">Meat Export Control Act </w:t>
      </w:r>
      <w:r w:rsidRPr="00C51FFF">
        <w:rPr>
          <w:sz w:val="22"/>
        </w:rPr>
        <w:t>1960, is in this Act referred to as the Principal Act.</w:t>
      </w:r>
    </w:p>
    <w:p w:rsidR="00857A4E" w:rsidRPr="00C51FFF" w:rsidRDefault="00857A4E" w:rsidP="00642B93">
      <w:pPr>
        <w:tabs>
          <w:tab w:val="left" w:pos="900"/>
        </w:tabs>
        <w:spacing w:before="60"/>
        <w:ind w:firstLine="432"/>
        <w:jc w:val="both"/>
        <w:rPr>
          <w:sz w:val="22"/>
        </w:rPr>
      </w:pPr>
      <w:r w:rsidRPr="00C51FFF">
        <w:rPr>
          <w:sz w:val="22"/>
        </w:rPr>
        <w:t>(3.)</w:t>
      </w:r>
      <w:r w:rsidR="00642B93">
        <w:rPr>
          <w:sz w:val="22"/>
        </w:rPr>
        <w:tab/>
      </w:r>
      <w:r w:rsidRPr="00C51FFF">
        <w:rPr>
          <w:sz w:val="22"/>
        </w:rPr>
        <w:t xml:space="preserve">Section one of the </w:t>
      </w:r>
      <w:r w:rsidR="004F4178" w:rsidRPr="00C51FFF">
        <w:rPr>
          <w:i/>
          <w:sz w:val="22"/>
        </w:rPr>
        <w:t xml:space="preserve">Meat Export Control Act </w:t>
      </w:r>
      <w:r w:rsidRPr="00C51FFF">
        <w:rPr>
          <w:sz w:val="22"/>
        </w:rPr>
        <w:t>1960 is amended by omitting sub-section (3.).</w:t>
      </w:r>
    </w:p>
    <w:p w:rsidR="00857A4E" w:rsidRPr="00C51FFF" w:rsidRDefault="00857A4E" w:rsidP="00642B93">
      <w:pPr>
        <w:tabs>
          <w:tab w:val="left" w:pos="900"/>
        </w:tabs>
        <w:spacing w:before="60"/>
        <w:ind w:firstLine="432"/>
        <w:jc w:val="both"/>
        <w:rPr>
          <w:sz w:val="22"/>
        </w:rPr>
      </w:pPr>
      <w:r w:rsidRPr="00C51FFF">
        <w:rPr>
          <w:sz w:val="22"/>
        </w:rPr>
        <w:t>(4.)</w:t>
      </w:r>
      <w:r w:rsidR="00642B93">
        <w:rPr>
          <w:sz w:val="22"/>
        </w:rPr>
        <w:tab/>
      </w:r>
      <w:r w:rsidRPr="00C51FFF">
        <w:rPr>
          <w:sz w:val="22"/>
        </w:rPr>
        <w:t xml:space="preserve">The </w:t>
      </w:r>
      <w:r w:rsidRPr="00EF7E38">
        <w:rPr>
          <w:i/>
          <w:sz w:val="22"/>
        </w:rPr>
        <w:t>Principal</w:t>
      </w:r>
      <w:r w:rsidRPr="00C51FFF">
        <w:rPr>
          <w:sz w:val="22"/>
        </w:rPr>
        <w:t xml:space="preserve"> Act, as amended by this Act, may be cited as the </w:t>
      </w:r>
      <w:r w:rsidR="004F4178" w:rsidRPr="00C51FFF">
        <w:rPr>
          <w:i/>
          <w:sz w:val="22"/>
        </w:rPr>
        <w:t xml:space="preserve">Meat Export Control Act </w:t>
      </w:r>
      <w:r w:rsidRPr="00C51FFF">
        <w:rPr>
          <w:sz w:val="22"/>
        </w:rPr>
        <w:t>1935-1960.</w:t>
      </w:r>
    </w:p>
    <w:p w:rsidR="004F4178" w:rsidRPr="00EF7E38" w:rsidRDefault="004F4178" w:rsidP="00EF7E38">
      <w:pPr>
        <w:spacing w:before="120" w:after="60"/>
        <w:rPr>
          <w:b/>
          <w:sz w:val="20"/>
        </w:rPr>
      </w:pPr>
      <w:r w:rsidRPr="00EF7E38">
        <w:rPr>
          <w:b/>
          <w:sz w:val="20"/>
        </w:rPr>
        <w:t>Commencement.</w:t>
      </w:r>
    </w:p>
    <w:p w:rsidR="00857A4E" w:rsidRPr="00C51FFF" w:rsidRDefault="00EF7E38" w:rsidP="00EF7E38">
      <w:pPr>
        <w:ind w:firstLine="432"/>
        <w:jc w:val="both"/>
        <w:rPr>
          <w:sz w:val="22"/>
        </w:rPr>
      </w:pPr>
      <w:r>
        <w:rPr>
          <w:b/>
          <w:sz w:val="22"/>
        </w:rPr>
        <w:t>2.</w:t>
      </w:r>
      <w:r>
        <w:rPr>
          <w:b/>
          <w:sz w:val="22"/>
        </w:rPr>
        <w:tab/>
      </w:r>
      <w:r w:rsidR="00857A4E" w:rsidRPr="00C51FFF">
        <w:rPr>
          <w:sz w:val="22"/>
        </w:rPr>
        <w:t>This Act shall come into operation on the day on which it receives the Royal Assent.</w:t>
      </w:r>
    </w:p>
    <w:p w:rsidR="004F4178" w:rsidRPr="00EF7E38" w:rsidRDefault="004F4178" w:rsidP="00EF7E38">
      <w:pPr>
        <w:spacing w:before="120" w:after="60"/>
        <w:rPr>
          <w:b/>
          <w:sz w:val="20"/>
        </w:rPr>
      </w:pPr>
      <w:r w:rsidRPr="00EF7E38">
        <w:rPr>
          <w:b/>
          <w:sz w:val="20"/>
        </w:rPr>
        <w:t>Australian Meat Board.</w:t>
      </w:r>
    </w:p>
    <w:p w:rsidR="00EF7E38" w:rsidRDefault="004F4178" w:rsidP="007212C8">
      <w:pPr>
        <w:ind w:firstLine="432"/>
        <w:jc w:val="both"/>
        <w:rPr>
          <w:sz w:val="22"/>
        </w:rPr>
      </w:pPr>
      <w:r w:rsidRPr="00C51FFF">
        <w:rPr>
          <w:b/>
          <w:sz w:val="22"/>
        </w:rPr>
        <w:t>3.</w:t>
      </w:r>
      <w:r w:rsidR="00EF7E38">
        <w:rPr>
          <w:sz w:val="22"/>
        </w:rPr>
        <w:tab/>
      </w:r>
      <w:r w:rsidR="00857A4E" w:rsidRPr="00C51FFF">
        <w:rPr>
          <w:sz w:val="22"/>
        </w:rPr>
        <w:t>Section five of the Principal Act is amended by omitting from sub-sec</w:t>
      </w:r>
      <w:r w:rsidR="00EF7E38">
        <w:rPr>
          <w:sz w:val="22"/>
        </w:rPr>
        <w:t xml:space="preserve">tions (4.) and (5.) the words </w:t>
      </w:r>
      <w:r w:rsidR="007212C8">
        <w:rPr>
          <w:sz w:val="22"/>
        </w:rPr>
        <w:t>“</w:t>
      </w:r>
      <w:r w:rsidR="00857A4E" w:rsidRPr="00C51FFF">
        <w:rPr>
          <w:sz w:val="22"/>
        </w:rPr>
        <w:t>Graziers Federal Council of Australia</w:t>
      </w:r>
      <w:r w:rsidR="007212C8">
        <w:rPr>
          <w:sz w:val="22"/>
        </w:rPr>
        <w:t>”</w:t>
      </w:r>
      <w:r w:rsidR="00857A4E" w:rsidRPr="00C51FFF">
        <w:rPr>
          <w:sz w:val="22"/>
        </w:rPr>
        <w:t xml:space="preserve"> and inserting in their stead the words </w:t>
      </w:r>
      <w:r w:rsidR="007212C8">
        <w:rPr>
          <w:sz w:val="22"/>
        </w:rPr>
        <w:t>“</w:t>
      </w:r>
      <w:r w:rsidR="00857A4E" w:rsidRPr="00C51FFF">
        <w:rPr>
          <w:sz w:val="22"/>
        </w:rPr>
        <w:t xml:space="preserve">Australian </w:t>
      </w:r>
      <w:r w:rsidR="00857A4E" w:rsidRPr="007212C8">
        <w:rPr>
          <w:sz w:val="22"/>
        </w:rPr>
        <w:t>Woolgrowers</w:t>
      </w:r>
      <w:r w:rsidR="00D60F41">
        <w:rPr>
          <w:sz w:val="22"/>
        </w:rPr>
        <w:t>’</w:t>
      </w:r>
      <w:r w:rsidR="00857A4E" w:rsidRPr="007212C8">
        <w:rPr>
          <w:sz w:val="22"/>
        </w:rPr>
        <w:t xml:space="preserve"> and Graziers</w:t>
      </w:r>
      <w:r w:rsidR="00D60F41">
        <w:rPr>
          <w:sz w:val="22"/>
        </w:rPr>
        <w:t>’</w:t>
      </w:r>
      <w:r w:rsidR="00857A4E" w:rsidRPr="007212C8">
        <w:rPr>
          <w:sz w:val="22"/>
        </w:rPr>
        <w:t xml:space="preserve"> Council</w:t>
      </w:r>
      <w:r w:rsidR="007212C8" w:rsidRPr="007212C8">
        <w:rPr>
          <w:sz w:val="22"/>
        </w:rPr>
        <w:t>”</w:t>
      </w:r>
      <w:r w:rsidR="00857A4E" w:rsidRPr="007212C8">
        <w:rPr>
          <w:sz w:val="22"/>
        </w:rPr>
        <w:t>.</w:t>
      </w:r>
    </w:p>
    <w:p w:rsidR="004F4178" w:rsidRPr="00EF7E38" w:rsidRDefault="00EF7E38" w:rsidP="00EF7E38">
      <w:pPr>
        <w:spacing w:before="120" w:after="60"/>
        <w:rPr>
          <w:b/>
          <w:sz w:val="20"/>
        </w:rPr>
      </w:pPr>
      <w:bookmarkStart w:id="0" w:name="_GoBack"/>
      <w:bookmarkEnd w:id="0"/>
      <w:r>
        <w:rPr>
          <w:sz w:val="22"/>
        </w:rPr>
        <w:br w:type="page"/>
      </w:r>
      <w:r w:rsidR="004F4178" w:rsidRPr="00EF7E38">
        <w:rPr>
          <w:b/>
          <w:sz w:val="20"/>
        </w:rPr>
        <w:lastRenderedPageBreak/>
        <w:t>Saving.</w:t>
      </w:r>
    </w:p>
    <w:p w:rsidR="00857A4E" w:rsidRDefault="00EF7E38" w:rsidP="00EF7E38">
      <w:pPr>
        <w:ind w:firstLine="432"/>
        <w:jc w:val="both"/>
        <w:rPr>
          <w:sz w:val="22"/>
        </w:rPr>
      </w:pPr>
      <w:r>
        <w:rPr>
          <w:b/>
          <w:sz w:val="22"/>
        </w:rPr>
        <w:t>4.</w:t>
      </w:r>
      <w:r>
        <w:rPr>
          <w:b/>
          <w:sz w:val="22"/>
        </w:rPr>
        <w:tab/>
      </w:r>
      <w:r w:rsidR="00857A4E" w:rsidRPr="00C51FFF">
        <w:rPr>
          <w:sz w:val="22"/>
        </w:rPr>
        <w:t>Notwithstanding the amendments made by the last preceding section, a person who, immediately before the commencement of this Act, held office as a member of the Australian Meat Board appointed to represent the Jamb producers of Australia, the mutton producers of Australia or the beef producers of Australia shall, after the commencement of this Act, continue to hold office, subject to the Principal Act as amended by this Act, as such a member for the remainder of his term of office.</w:t>
      </w:r>
    </w:p>
    <w:p w:rsidR="007212C8" w:rsidRPr="00C51FFF" w:rsidRDefault="007212C8" w:rsidP="007212C8">
      <w:pPr>
        <w:pBdr>
          <w:bottom w:val="single" w:sz="4" w:space="1" w:color="auto"/>
        </w:pBdr>
        <w:ind w:left="3600" w:right="3600"/>
        <w:jc w:val="center"/>
        <w:rPr>
          <w:sz w:val="22"/>
        </w:rPr>
      </w:pPr>
    </w:p>
    <w:sectPr w:rsidR="007212C8" w:rsidRPr="00C51FFF" w:rsidSect="00EF7E38">
      <w:headerReference w:type="default" r:id="rId7"/>
      <w:pgSz w:w="11909" w:h="16834" w:code="9"/>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921" w:rsidRDefault="00C56921">
      <w:r>
        <w:separator/>
      </w:r>
    </w:p>
  </w:endnote>
  <w:endnote w:type="continuationSeparator" w:id="0">
    <w:p w:rsidR="00C56921" w:rsidRDefault="00C5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921" w:rsidRDefault="00C56921">
      <w:r>
        <w:separator/>
      </w:r>
    </w:p>
  </w:footnote>
  <w:footnote w:type="continuationSeparator" w:id="0">
    <w:p w:rsidR="00C56921" w:rsidRDefault="00C56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38" w:rsidRPr="00642B93" w:rsidRDefault="00EF7E38" w:rsidP="00EF7E38">
    <w:pPr>
      <w:pStyle w:val="Header"/>
      <w:tabs>
        <w:tab w:val="clear" w:pos="9360"/>
        <w:tab w:val="right" w:pos="9000"/>
      </w:tabs>
      <w:rPr>
        <w:sz w:val="20"/>
        <w:szCs w:val="20"/>
      </w:rPr>
    </w:pPr>
    <w:r w:rsidRPr="00642B93">
      <w:rPr>
        <w:sz w:val="20"/>
        <w:szCs w:val="20"/>
      </w:rPr>
      <w:t>1960.</w:t>
    </w:r>
    <w:r w:rsidRPr="00642B93">
      <w:rPr>
        <w:sz w:val="20"/>
        <w:szCs w:val="20"/>
      </w:rPr>
      <w:tab/>
    </w:r>
    <w:r w:rsidRPr="00642B93">
      <w:rPr>
        <w:i/>
        <w:sz w:val="20"/>
        <w:szCs w:val="20"/>
      </w:rPr>
      <w:t>Mart Export Control</w:t>
    </w:r>
    <w:r w:rsidRPr="00642B93">
      <w:rPr>
        <w:sz w:val="20"/>
        <w:szCs w:val="20"/>
      </w:rPr>
      <w:t xml:space="preserve"> (</w:t>
    </w:r>
    <w:r w:rsidRPr="00642B93">
      <w:rPr>
        <w:i/>
        <w:sz w:val="20"/>
        <w:szCs w:val="20"/>
      </w:rPr>
      <w:t>No. 2</w:t>
    </w:r>
    <w:r w:rsidRPr="00642B93">
      <w:rPr>
        <w:sz w:val="20"/>
        <w:szCs w:val="20"/>
      </w:rPr>
      <w:t>).</w:t>
    </w:r>
    <w:r w:rsidRPr="00642B93">
      <w:rPr>
        <w:sz w:val="20"/>
        <w:szCs w:val="20"/>
      </w:rPr>
      <w:tab/>
      <w:t>No. 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4F4178"/>
    <w:rsid w:val="002F5DBB"/>
    <w:rsid w:val="00337C29"/>
    <w:rsid w:val="004F4178"/>
    <w:rsid w:val="00505121"/>
    <w:rsid w:val="005F6B6F"/>
    <w:rsid w:val="00642B93"/>
    <w:rsid w:val="006C0F2E"/>
    <w:rsid w:val="007212C8"/>
    <w:rsid w:val="00786323"/>
    <w:rsid w:val="00821F21"/>
    <w:rsid w:val="00857A4E"/>
    <w:rsid w:val="00C51FFF"/>
    <w:rsid w:val="00C56921"/>
    <w:rsid w:val="00CE475D"/>
    <w:rsid w:val="00D60F41"/>
    <w:rsid w:val="00EB596A"/>
    <w:rsid w:val="00EF7E38"/>
    <w:rsid w:val="00F0367B"/>
    <w:rsid w:val="00F5583C"/>
    <w:rsid w:val="00F5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DBB"/>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F5DBB"/>
  </w:style>
  <w:style w:type="paragraph" w:customStyle="1" w:styleId="Style2">
    <w:name w:val="Style2"/>
    <w:basedOn w:val="Normal"/>
    <w:uiPriority w:val="99"/>
    <w:rsid w:val="002F5DBB"/>
  </w:style>
  <w:style w:type="paragraph" w:customStyle="1" w:styleId="Style3">
    <w:name w:val="Style3"/>
    <w:basedOn w:val="Normal"/>
    <w:uiPriority w:val="99"/>
    <w:rsid w:val="002F5DBB"/>
  </w:style>
  <w:style w:type="paragraph" w:customStyle="1" w:styleId="Style4">
    <w:name w:val="Style4"/>
    <w:basedOn w:val="Normal"/>
    <w:uiPriority w:val="99"/>
    <w:rsid w:val="002F5DBB"/>
  </w:style>
  <w:style w:type="paragraph" w:customStyle="1" w:styleId="Style5">
    <w:name w:val="Style5"/>
    <w:basedOn w:val="Normal"/>
    <w:uiPriority w:val="99"/>
    <w:rsid w:val="002F5DBB"/>
  </w:style>
  <w:style w:type="paragraph" w:customStyle="1" w:styleId="Style6">
    <w:name w:val="Style6"/>
    <w:basedOn w:val="Normal"/>
    <w:uiPriority w:val="99"/>
    <w:rsid w:val="002F5DBB"/>
  </w:style>
  <w:style w:type="paragraph" w:customStyle="1" w:styleId="Style7">
    <w:name w:val="Style7"/>
    <w:basedOn w:val="Normal"/>
    <w:uiPriority w:val="99"/>
    <w:rsid w:val="002F5DBB"/>
  </w:style>
  <w:style w:type="paragraph" w:customStyle="1" w:styleId="Style8">
    <w:name w:val="Style8"/>
    <w:basedOn w:val="Normal"/>
    <w:uiPriority w:val="99"/>
    <w:rsid w:val="002F5DBB"/>
  </w:style>
  <w:style w:type="character" w:customStyle="1" w:styleId="FontStyle11">
    <w:name w:val="Font Style11"/>
    <w:basedOn w:val="DefaultParagraphFont"/>
    <w:uiPriority w:val="99"/>
    <w:rsid w:val="002F5DBB"/>
    <w:rPr>
      <w:rFonts w:ascii="Times New Roman" w:hAnsi="Times New Roman" w:cs="Times New Roman"/>
      <w:sz w:val="28"/>
      <w:szCs w:val="28"/>
    </w:rPr>
  </w:style>
  <w:style w:type="character" w:customStyle="1" w:styleId="FontStyle12">
    <w:name w:val="Font Style12"/>
    <w:basedOn w:val="DefaultParagraphFont"/>
    <w:uiPriority w:val="99"/>
    <w:rsid w:val="002F5DBB"/>
    <w:rPr>
      <w:rFonts w:ascii="Times New Roman" w:hAnsi="Times New Roman" w:cs="Times New Roman"/>
      <w:i/>
      <w:iCs/>
      <w:sz w:val="26"/>
      <w:szCs w:val="26"/>
    </w:rPr>
  </w:style>
  <w:style w:type="character" w:customStyle="1" w:styleId="FontStyle13">
    <w:name w:val="Font Style13"/>
    <w:basedOn w:val="DefaultParagraphFont"/>
    <w:uiPriority w:val="99"/>
    <w:rsid w:val="002F5DBB"/>
    <w:rPr>
      <w:rFonts w:ascii="Times New Roman" w:hAnsi="Times New Roman" w:cs="Times New Roman"/>
      <w:sz w:val="26"/>
      <w:szCs w:val="26"/>
    </w:rPr>
  </w:style>
  <w:style w:type="character" w:customStyle="1" w:styleId="FontStyle14">
    <w:name w:val="Font Style14"/>
    <w:basedOn w:val="DefaultParagraphFont"/>
    <w:uiPriority w:val="99"/>
    <w:rsid w:val="002F5DBB"/>
    <w:rPr>
      <w:rFonts w:ascii="Times New Roman" w:hAnsi="Times New Roman" w:cs="Times New Roman"/>
      <w:b/>
      <w:bCs/>
      <w:sz w:val="24"/>
      <w:szCs w:val="24"/>
    </w:rPr>
  </w:style>
  <w:style w:type="character" w:customStyle="1" w:styleId="FontStyle15">
    <w:name w:val="Font Style15"/>
    <w:basedOn w:val="DefaultParagraphFont"/>
    <w:uiPriority w:val="99"/>
    <w:rsid w:val="002F5DBB"/>
    <w:rPr>
      <w:rFonts w:ascii="Sylfaen" w:hAnsi="Sylfaen" w:cs="Sylfaen"/>
      <w:b/>
      <w:bCs/>
      <w:sz w:val="50"/>
      <w:szCs w:val="50"/>
    </w:rPr>
  </w:style>
  <w:style w:type="character" w:customStyle="1" w:styleId="FontStyle16">
    <w:name w:val="Font Style16"/>
    <w:basedOn w:val="DefaultParagraphFont"/>
    <w:uiPriority w:val="99"/>
    <w:rsid w:val="002F5DBB"/>
    <w:rPr>
      <w:rFonts w:ascii="Times New Roman" w:hAnsi="Times New Roman" w:cs="Times New Roman"/>
      <w:sz w:val="22"/>
      <w:szCs w:val="22"/>
    </w:rPr>
  </w:style>
  <w:style w:type="character" w:customStyle="1" w:styleId="FontStyle17">
    <w:name w:val="Font Style17"/>
    <w:basedOn w:val="DefaultParagraphFont"/>
    <w:uiPriority w:val="99"/>
    <w:rsid w:val="002F5DBB"/>
    <w:rPr>
      <w:rFonts w:ascii="Times New Roman" w:hAnsi="Times New Roman" w:cs="Times New Roman"/>
      <w:i/>
      <w:iCs/>
      <w:sz w:val="22"/>
      <w:szCs w:val="22"/>
    </w:rPr>
  </w:style>
  <w:style w:type="character" w:customStyle="1" w:styleId="FontStyle18">
    <w:name w:val="Font Style18"/>
    <w:basedOn w:val="DefaultParagraphFont"/>
    <w:uiPriority w:val="99"/>
    <w:rsid w:val="002F5DBB"/>
    <w:rPr>
      <w:rFonts w:ascii="Times New Roman" w:hAnsi="Times New Roman" w:cs="Times New Roman"/>
      <w:sz w:val="14"/>
      <w:szCs w:val="14"/>
    </w:rPr>
  </w:style>
  <w:style w:type="character" w:customStyle="1" w:styleId="FontStyle19">
    <w:name w:val="Font Style19"/>
    <w:basedOn w:val="DefaultParagraphFont"/>
    <w:uiPriority w:val="99"/>
    <w:rsid w:val="002F5DBB"/>
    <w:rPr>
      <w:rFonts w:ascii="Times New Roman" w:hAnsi="Times New Roman" w:cs="Times New Roman"/>
      <w:b/>
      <w:bCs/>
      <w:spacing w:val="-10"/>
      <w:sz w:val="22"/>
      <w:szCs w:val="22"/>
    </w:rPr>
  </w:style>
  <w:style w:type="paragraph" w:styleId="Header">
    <w:name w:val="header"/>
    <w:basedOn w:val="Normal"/>
    <w:link w:val="HeaderChar"/>
    <w:uiPriority w:val="99"/>
    <w:unhideWhenUsed/>
    <w:rsid w:val="00EF7E38"/>
    <w:pPr>
      <w:tabs>
        <w:tab w:val="center" w:pos="4680"/>
        <w:tab w:val="right" w:pos="9360"/>
      </w:tabs>
    </w:pPr>
  </w:style>
  <w:style w:type="character" w:customStyle="1" w:styleId="HeaderChar">
    <w:name w:val="Header Char"/>
    <w:basedOn w:val="DefaultParagraphFont"/>
    <w:link w:val="Header"/>
    <w:uiPriority w:val="99"/>
    <w:locked/>
    <w:rsid w:val="00EF7E38"/>
    <w:rPr>
      <w:rFonts w:hAnsi="Times New Roman" w:cs="Times New Roman"/>
      <w:sz w:val="24"/>
      <w:szCs w:val="24"/>
    </w:rPr>
  </w:style>
  <w:style w:type="paragraph" w:styleId="Footer">
    <w:name w:val="footer"/>
    <w:basedOn w:val="Normal"/>
    <w:link w:val="FooterChar"/>
    <w:uiPriority w:val="99"/>
    <w:unhideWhenUsed/>
    <w:rsid w:val="00EF7E38"/>
    <w:pPr>
      <w:tabs>
        <w:tab w:val="center" w:pos="4680"/>
        <w:tab w:val="right" w:pos="9360"/>
      </w:tabs>
    </w:pPr>
  </w:style>
  <w:style w:type="character" w:customStyle="1" w:styleId="FooterChar">
    <w:name w:val="Footer Char"/>
    <w:basedOn w:val="DefaultParagraphFont"/>
    <w:link w:val="Footer"/>
    <w:uiPriority w:val="99"/>
    <w:locked/>
    <w:rsid w:val="00EF7E38"/>
    <w:rPr>
      <w:rFonts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276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Windows2</dc:creator>
  <cp:lastModifiedBy>Harper, Michael</cp:lastModifiedBy>
  <cp:revision>31</cp:revision>
  <dcterms:created xsi:type="dcterms:W3CDTF">2017-06-10T03:44:00Z</dcterms:created>
  <dcterms:modified xsi:type="dcterms:W3CDTF">2018-08-22T23:57:00Z</dcterms:modified>
</cp:coreProperties>
</file>