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396ACC" w:rsidRDefault="007C4BEA" w:rsidP="00396ACC">
      <w:pPr>
        <w:spacing w:before="120" w:after="120" w:line="240" w:lineRule="auto"/>
        <w:jc w:val="center"/>
        <w:rPr>
          <w:rFonts w:ascii="Times New Roman" w:hAnsi="Times New Roman" w:cs="Times New Roman"/>
          <w:sz w:val="36"/>
        </w:rPr>
      </w:pPr>
      <w:r w:rsidRPr="00396ACC">
        <w:rPr>
          <w:rFonts w:ascii="Times New Roman" w:hAnsi="Times New Roman" w:cs="Times New Roman"/>
          <w:sz w:val="36"/>
        </w:rPr>
        <w:t>SEAMEN</w:t>
      </w:r>
      <w:r w:rsidR="001C469B" w:rsidRPr="00396ACC">
        <w:rPr>
          <w:rFonts w:ascii="Times New Roman" w:hAnsi="Times New Roman" w:cs="Times New Roman"/>
          <w:sz w:val="36"/>
        </w:rPr>
        <w:t>’</w:t>
      </w:r>
      <w:r w:rsidRPr="00396ACC">
        <w:rPr>
          <w:rFonts w:ascii="Times New Roman" w:hAnsi="Times New Roman" w:cs="Times New Roman"/>
          <w:sz w:val="36"/>
        </w:rPr>
        <w:t>S WAR PENSIONS AND ALLOWANCES</w:t>
      </w:r>
      <w:r w:rsidR="00F53BB5">
        <w:rPr>
          <w:rFonts w:ascii="Times New Roman" w:hAnsi="Times New Roman" w:cs="Times New Roman"/>
          <w:sz w:val="36"/>
        </w:rPr>
        <w:t>.</w:t>
      </w:r>
    </w:p>
    <w:p w:rsidR="00C55133" w:rsidRPr="00E8108A" w:rsidRDefault="00C55133" w:rsidP="00396ACC">
      <w:pPr>
        <w:pBdr>
          <w:top w:val="single" w:sz="4" w:space="1" w:color="auto"/>
        </w:pBdr>
        <w:spacing w:before="240" w:after="0" w:line="240" w:lineRule="auto"/>
        <w:ind w:left="4032" w:right="4032"/>
        <w:jc w:val="center"/>
        <w:rPr>
          <w:rFonts w:ascii="Times New Roman" w:hAnsi="Times New Roman" w:cs="Times New Roman"/>
          <w:b/>
          <w:sz w:val="2"/>
        </w:rPr>
      </w:pPr>
    </w:p>
    <w:p w:rsidR="007C4BEA" w:rsidRPr="00396ACC" w:rsidRDefault="007C4BEA" w:rsidP="00396ACC">
      <w:pPr>
        <w:spacing w:before="120" w:after="120" w:line="240" w:lineRule="auto"/>
        <w:jc w:val="center"/>
        <w:rPr>
          <w:rFonts w:ascii="Times New Roman" w:hAnsi="Times New Roman" w:cs="Times New Roman"/>
          <w:b/>
          <w:sz w:val="28"/>
        </w:rPr>
      </w:pPr>
      <w:r w:rsidRPr="00396ACC">
        <w:rPr>
          <w:rFonts w:ascii="Times New Roman" w:hAnsi="Times New Roman" w:cs="Times New Roman"/>
          <w:b/>
          <w:sz w:val="28"/>
        </w:rPr>
        <w:t>No. 59 of 1959.</w:t>
      </w:r>
    </w:p>
    <w:p w:rsidR="007C4BEA" w:rsidRPr="00396ACC" w:rsidRDefault="007C4BEA" w:rsidP="00E8108A">
      <w:pPr>
        <w:spacing w:before="120" w:after="120" w:line="240" w:lineRule="auto"/>
        <w:ind w:left="432" w:hanging="432"/>
        <w:jc w:val="center"/>
        <w:rPr>
          <w:rFonts w:ascii="Times New Roman" w:hAnsi="Times New Roman" w:cs="Times New Roman"/>
          <w:sz w:val="26"/>
        </w:rPr>
      </w:pPr>
      <w:r w:rsidRPr="00396ACC">
        <w:rPr>
          <w:rFonts w:ascii="Times New Roman" w:hAnsi="Times New Roman" w:cs="Times New Roman"/>
          <w:sz w:val="26"/>
        </w:rPr>
        <w:t xml:space="preserve">An Act to amend the </w:t>
      </w:r>
      <w:r w:rsidR="001C469B" w:rsidRPr="00396ACC">
        <w:rPr>
          <w:rFonts w:ascii="Times New Roman" w:hAnsi="Times New Roman" w:cs="Times New Roman"/>
          <w:i/>
          <w:sz w:val="26"/>
        </w:rPr>
        <w:t xml:space="preserve">Seamen’s War Pensions and Allowances Act </w:t>
      </w:r>
      <w:r w:rsidRPr="00396ACC">
        <w:rPr>
          <w:rFonts w:ascii="Times New Roman" w:hAnsi="Times New Roman" w:cs="Times New Roman"/>
          <w:sz w:val="26"/>
        </w:rPr>
        <w:t>1940</w:t>
      </w:r>
      <w:r w:rsidR="00BE1551" w:rsidRPr="00396ACC">
        <w:rPr>
          <w:rFonts w:ascii="Times New Roman" w:hAnsi="Times New Roman" w:cs="Times New Roman"/>
          <w:sz w:val="26"/>
        </w:rPr>
        <w:t>–</w:t>
      </w:r>
      <w:r w:rsidRPr="00396ACC">
        <w:rPr>
          <w:rFonts w:ascii="Times New Roman" w:hAnsi="Times New Roman" w:cs="Times New Roman"/>
          <w:sz w:val="26"/>
        </w:rPr>
        <w:t>1958.</w:t>
      </w:r>
    </w:p>
    <w:p w:rsidR="007C4BEA" w:rsidRPr="00396ACC" w:rsidRDefault="007C4BEA" w:rsidP="00396ACC">
      <w:pPr>
        <w:spacing w:before="120" w:after="120" w:line="240" w:lineRule="auto"/>
        <w:jc w:val="right"/>
        <w:rPr>
          <w:rFonts w:ascii="Times New Roman" w:hAnsi="Times New Roman" w:cs="Times New Roman"/>
          <w:sz w:val="26"/>
        </w:rPr>
      </w:pPr>
      <w:r w:rsidRPr="00396ACC">
        <w:rPr>
          <w:rFonts w:ascii="Times New Roman" w:hAnsi="Times New Roman" w:cs="Times New Roman"/>
          <w:sz w:val="26"/>
        </w:rPr>
        <w:t>[Assented to 30th September, 1959.]</w:t>
      </w:r>
    </w:p>
    <w:p w:rsidR="007C4BEA" w:rsidRPr="009158EB" w:rsidRDefault="001C469B" w:rsidP="00396ACC">
      <w:pPr>
        <w:spacing w:after="0" w:line="240" w:lineRule="auto"/>
        <w:jc w:val="both"/>
        <w:rPr>
          <w:rFonts w:ascii="Times New Roman" w:hAnsi="Times New Roman"/>
        </w:rPr>
      </w:pPr>
      <w:r w:rsidRPr="009158EB">
        <w:rPr>
          <w:rFonts w:ascii="Times New Roman" w:hAnsi="Times New Roman"/>
        </w:rPr>
        <w:t>B</w:t>
      </w:r>
      <w:r w:rsidR="007C4BEA" w:rsidRPr="009158EB">
        <w:rPr>
          <w:rFonts w:ascii="Times New Roman" w:hAnsi="Times New Roman"/>
        </w:rPr>
        <w:t>E it enacted by the Queen</w:t>
      </w:r>
      <w:r w:rsidRPr="009158EB">
        <w:rPr>
          <w:rFonts w:ascii="Times New Roman" w:hAnsi="Times New Roman"/>
        </w:rPr>
        <w:t>’</w:t>
      </w:r>
      <w:r w:rsidR="007C4BEA" w:rsidRPr="009158EB">
        <w:rPr>
          <w:rFonts w:ascii="Times New Roman" w:hAnsi="Times New Roman"/>
        </w:rPr>
        <w:t>s Most Excellent Majesty, the Senate, and the House of Representatives of the Commonwealth of Australia, as follows:—</w:t>
      </w:r>
    </w:p>
    <w:p w:rsidR="007C4BEA" w:rsidRPr="001057FE" w:rsidRDefault="001C469B" w:rsidP="001057FE">
      <w:pPr>
        <w:spacing w:before="120" w:after="60" w:line="240" w:lineRule="auto"/>
        <w:jc w:val="both"/>
        <w:rPr>
          <w:rFonts w:ascii="Times New Roman" w:hAnsi="Times New Roman" w:cs="Times New Roman"/>
          <w:b/>
          <w:sz w:val="20"/>
        </w:rPr>
      </w:pPr>
      <w:r w:rsidRPr="001057FE">
        <w:rPr>
          <w:rFonts w:ascii="Times New Roman" w:hAnsi="Times New Roman" w:cs="Times New Roman"/>
          <w:b/>
          <w:sz w:val="20"/>
        </w:rPr>
        <w:t>Short title and citation.</w:t>
      </w:r>
    </w:p>
    <w:p w:rsidR="007C4BEA" w:rsidRPr="00396ACC" w:rsidRDefault="001C469B" w:rsidP="00E8108A">
      <w:pPr>
        <w:tabs>
          <w:tab w:val="left" w:pos="864"/>
          <w:tab w:val="left" w:pos="1260"/>
        </w:tabs>
        <w:spacing w:after="0" w:line="240" w:lineRule="auto"/>
        <w:ind w:firstLine="432"/>
        <w:jc w:val="both"/>
        <w:rPr>
          <w:rFonts w:ascii="Times New Roman" w:hAnsi="Times New Roman"/>
        </w:rPr>
      </w:pPr>
      <w:r w:rsidRPr="00396ACC">
        <w:rPr>
          <w:rFonts w:ascii="Times New Roman" w:hAnsi="Times New Roman"/>
          <w:b/>
        </w:rPr>
        <w:t>1.</w:t>
      </w:r>
      <w:r w:rsidR="007C4BEA" w:rsidRPr="00396ACC">
        <w:rPr>
          <w:rFonts w:ascii="Times New Roman" w:hAnsi="Times New Roman"/>
        </w:rPr>
        <w:t>—</w:t>
      </w:r>
      <w:r w:rsidR="001B375A" w:rsidRPr="00396ACC">
        <w:rPr>
          <w:rFonts w:ascii="Times New Roman" w:hAnsi="Times New Roman"/>
        </w:rPr>
        <w:t>(1.)</w:t>
      </w:r>
      <w:r w:rsidR="00C55D91" w:rsidRPr="00396ACC">
        <w:rPr>
          <w:rFonts w:ascii="Times New Roman" w:hAnsi="Times New Roman"/>
        </w:rPr>
        <w:tab/>
      </w:r>
      <w:r w:rsidR="007C4BEA" w:rsidRPr="00396ACC">
        <w:rPr>
          <w:rFonts w:ascii="Times New Roman" w:hAnsi="Times New Roman"/>
        </w:rPr>
        <w:t xml:space="preserve">This Act may be cited as the </w:t>
      </w:r>
      <w:r w:rsidRPr="00396ACC">
        <w:rPr>
          <w:rFonts w:ascii="Times New Roman" w:hAnsi="Times New Roman"/>
          <w:i/>
        </w:rPr>
        <w:t xml:space="preserve">Seamen’s War Pensions and Allowances Act </w:t>
      </w:r>
      <w:r w:rsidR="007C4BEA" w:rsidRPr="00396ACC">
        <w:rPr>
          <w:rFonts w:ascii="Times New Roman" w:hAnsi="Times New Roman"/>
        </w:rPr>
        <w:t>1959.</w:t>
      </w:r>
    </w:p>
    <w:p w:rsidR="007C4BEA" w:rsidRPr="00396ACC" w:rsidRDefault="001B375A" w:rsidP="00396ACC">
      <w:pPr>
        <w:tabs>
          <w:tab w:val="left" w:pos="864"/>
        </w:tabs>
        <w:spacing w:after="0" w:line="240" w:lineRule="auto"/>
        <w:ind w:firstLine="432"/>
        <w:jc w:val="both"/>
        <w:rPr>
          <w:rFonts w:ascii="Times New Roman" w:hAnsi="Times New Roman"/>
        </w:rPr>
      </w:pPr>
      <w:r w:rsidRPr="00396ACC">
        <w:rPr>
          <w:rFonts w:ascii="Times New Roman" w:hAnsi="Times New Roman"/>
        </w:rPr>
        <w:t>(2.)</w:t>
      </w:r>
      <w:r w:rsidR="00C55D91" w:rsidRPr="00396ACC">
        <w:rPr>
          <w:rFonts w:ascii="Times New Roman" w:hAnsi="Times New Roman"/>
        </w:rPr>
        <w:tab/>
      </w:r>
      <w:r w:rsidR="007C4BEA" w:rsidRPr="00396ACC">
        <w:rPr>
          <w:rFonts w:ascii="Times New Roman" w:hAnsi="Times New Roman"/>
        </w:rPr>
        <w:t xml:space="preserve">The </w:t>
      </w:r>
      <w:r w:rsidR="001C469B" w:rsidRPr="00396ACC">
        <w:rPr>
          <w:rFonts w:ascii="Times New Roman" w:hAnsi="Times New Roman"/>
          <w:i/>
        </w:rPr>
        <w:t xml:space="preserve">Seamen’s War Pensions and Allowances Act </w:t>
      </w:r>
      <w:r w:rsidR="007C4BEA" w:rsidRPr="00396ACC">
        <w:rPr>
          <w:rFonts w:ascii="Times New Roman" w:hAnsi="Times New Roman"/>
        </w:rPr>
        <w:t>1940</w:t>
      </w:r>
      <w:r w:rsidR="001057FE">
        <w:rPr>
          <w:rFonts w:ascii="Times New Roman" w:hAnsi="Times New Roman"/>
        </w:rPr>
        <w:t>–</w:t>
      </w:r>
      <w:r w:rsidR="009158EB">
        <w:rPr>
          <w:rFonts w:ascii="Times New Roman" w:hAnsi="Times New Roman"/>
        </w:rPr>
        <w:t>1958,</w:t>
      </w:r>
      <w:r w:rsidR="007C4BEA" w:rsidRPr="00396ACC">
        <w:rPr>
          <w:rFonts w:ascii="Times New Roman" w:hAnsi="Times New Roman"/>
        </w:rPr>
        <w:t xml:space="preserve"> as amended by this Act, may be cited as the </w:t>
      </w:r>
      <w:r w:rsidR="001C469B" w:rsidRPr="00396ACC">
        <w:rPr>
          <w:rFonts w:ascii="Times New Roman" w:hAnsi="Times New Roman"/>
          <w:i/>
        </w:rPr>
        <w:t xml:space="preserve">Seamen’s War Pensions and Allowances Act </w:t>
      </w:r>
      <w:r w:rsidR="007C4BEA" w:rsidRPr="00396ACC">
        <w:rPr>
          <w:rFonts w:ascii="Times New Roman" w:hAnsi="Times New Roman"/>
        </w:rPr>
        <w:t>1940</w:t>
      </w:r>
      <w:r w:rsidR="00BE1551" w:rsidRPr="00396ACC">
        <w:rPr>
          <w:rFonts w:ascii="Times New Roman" w:hAnsi="Times New Roman"/>
        </w:rPr>
        <w:t>–</w:t>
      </w:r>
      <w:r w:rsidR="007C4BEA" w:rsidRPr="00396ACC">
        <w:rPr>
          <w:rFonts w:ascii="Times New Roman" w:hAnsi="Times New Roman"/>
        </w:rPr>
        <w:t>1959.</w:t>
      </w:r>
    </w:p>
    <w:p w:rsidR="007C4BEA" w:rsidRPr="001057FE" w:rsidRDefault="001C469B" w:rsidP="001057FE">
      <w:pPr>
        <w:spacing w:before="120" w:after="60" w:line="240" w:lineRule="auto"/>
        <w:jc w:val="both"/>
        <w:rPr>
          <w:rFonts w:ascii="Times New Roman" w:hAnsi="Times New Roman" w:cs="Times New Roman"/>
          <w:b/>
          <w:sz w:val="20"/>
        </w:rPr>
      </w:pPr>
      <w:r w:rsidRPr="001057FE">
        <w:rPr>
          <w:rFonts w:ascii="Times New Roman" w:hAnsi="Times New Roman" w:cs="Times New Roman"/>
          <w:b/>
          <w:sz w:val="20"/>
        </w:rPr>
        <w:t>Commencement.</w:t>
      </w:r>
    </w:p>
    <w:p w:rsidR="007C4BEA" w:rsidRPr="00396ACC" w:rsidRDefault="00E35164" w:rsidP="0018090A">
      <w:pPr>
        <w:tabs>
          <w:tab w:val="left" w:pos="720"/>
        </w:tabs>
        <w:spacing w:after="0" w:line="240" w:lineRule="auto"/>
        <w:ind w:firstLine="432"/>
        <w:jc w:val="both"/>
        <w:rPr>
          <w:rFonts w:ascii="Times New Roman" w:hAnsi="Times New Roman"/>
        </w:rPr>
      </w:pPr>
      <w:r w:rsidRPr="00396ACC">
        <w:rPr>
          <w:rFonts w:ascii="Times New Roman" w:hAnsi="Times New Roman"/>
          <w:b/>
        </w:rPr>
        <w:t>2.</w:t>
      </w:r>
      <w:r w:rsidR="00C55D91" w:rsidRPr="00396ACC">
        <w:rPr>
          <w:rFonts w:ascii="Times New Roman" w:hAnsi="Times New Roman"/>
          <w:b/>
        </w:rPr>
        <w:tab/>
      </w:r>
      <w:r w:rsidR="007C4BEA" w:rsidRPr="00396ACC">
        <w:rPr>
          <w:rFonts w:ascii="Times New Roman" w:hAnsi="Times New Roman"/>
        </w:rPr>
        <w:t>This Act shall come into operation on the day on which it receives the Royal Assent.</w:t>
      </w:r>
    </w:p>
    <w:p w:rsidR="007C4BEA" w:rsidRPr="001057FE" w:rsidRDefault="001C469B" w:rsidP="001057FE">
      <w:pPr>
        <w:spacing w:before="120" w:after="60" w:line="240" w:lineRule="auto"/>
        <w:jc w:val="both"/>
        <w:rPr>
          <w:rFonts w:ascii="Times New Roman" w:hAnsi="Times New Roman" w:cs="Times New Roman"/>
          <w:b/>
          <w:sz w:val="20"/>
        </w:rPr>
      </w:pPr>
      <w:r w:rsidRPr="001057FE">
        <w:rPr>
          <w:rFonts w:ascii="Times New Roman" w:hAnsi="Times New Roman" w:cs="Times New Roman"/>
          <w:b/>
          <w:sz w:val="20"/>
        </w:rPr>
        <w:t>Fi</w:t>
      </w:r>
      <w:r w:rsidR="008B4C99" w:rsidRPr="001057FE">
        <w:rPr>
          <w:rFonts w:ascii="Times New Roman" w:hAnsi="Times New Roman" w:cs="Times New Roman"/>
          <w:b/>
          <w:sz w:val="20"/>
        </w:rPr>
        <w:t>r</w:t>
      </w:r>
      <w:r w:rsidRPr="001057FE">
        <w:rPr>
          <w:rFonts w:ascii="Times New Roman" w:hAnsi="Times New Roman" w:cs="Times New Roman"/>
          <w:b/>
          <w:sz w:val="20"/>
        </w:rPr>
        <w:t>st Schedule.</w:t>
      </w:r>
    </w:p>
    <w:p w:rsidR="007C4BEA" w:rsidRPr="00396ACC" w:rsidRDefault="00E35164" w:rsidP="0018090A">
      <w:pPr>
        <w:tabs>
          <w:tab w:val="left" w:pos="720"/>
        </w:tabs>
        <w:spacing w:after="0" w:line="240" w:lineRule="auto"/>
        <w:ind w:firstLine="432"/>
        <w:jc w:val="both"/>
        <w:rPr>
          <w:rFonts w:ascii="Times New Roman" w:hAnsi="Times New Roman"/>
        </w:rPr>
      </w:pPr>
      <w:r w:rsidRPr="00396ACC">
        <w:rPr>
          <w:rFonts w:ascii="Times New Roman" w:hAnsi="Times New Roman"/>
          <w:b/>
        </w:rPr>
        <w:t>3.</w:t>
      </w:r>
      <w:r w:rsidR="00C55D91" w:rsidRPr="00396ACC">
        <w:rPr>
          <w:rFonts w:ascii="Times New Roman" w:hAnsi="Times New Roman"/>
          <w:b/>
        </w:rPr>
        <w:tab/>
      </w:r>
      <w:r w:rsidR="007C4BEA" w:rsidRPr="00396ACC">
        <w:rPr>
          <w:rFonts w:ascii="Times New Roman" w:hAnsi="Times New Roman"/>
        </w:rPr>
        <w:t xml:space="preserve">The First Schedule to the </w:t>
      </w:r>
      <w:r w:rsidR="001C469B" w:rsidRPr="00396ACC">
        <w:rPr>
          <w:rFonts w:ascii="Times New Roman" w:hAnsi="Times New Roman"/>
          <w:i/>
        </w:rPr>
        <w:t xml:space="preserve">Seamen’s War Pensions and Allowances Act </w:t>
      </w:r>
      <w:r w:rsidR="007C4BEA" w:rsidRPr="00396ACC">
        <w:rPr>
          <w:rFonts w:ascii="Times New Roman" w:hAnsi="Times New Roman"/>
        </w:rPr>
        <w:t>1940</w:t>
      </w:r>
      <w:r w:rsidR="00BE1551" w:rsidRPr="00396ACC">
        <w:rPr>
          <w:rFonts w:ascii="Times New Roman" w:hAnsi="Times New Roman"/>
        </w:rPr>
        <w:t>–</w:t>
      </w:r>
      <w:r w:rsidR="007C4BEA" w:rsidRPr="00396ACC">
        <w:rPr>
          <w:rFonts w:ascii="Times New Roman" w:hAnsi="Times New Roman"/>
        </w:rPr>
        <w:t>1958 is repealed and the following Schedule inserted in its stead:—</w:t>
      </w:r>
    </w:p>
    <w:p w:rsidR="00D95728" w:rsidRPr="001057FE" w:rsidRDefault="001C469B" w:rsidP="00EB2C4B">
      <w:pPr>
        <w:tabs>
          <w:tab w:val="left" w:pos="7920"/>
        </w:tabs>
        <w:spacing w:before="60" w:after="0" w:line="240" w:lineRule="auto"/>
        <w:ind w:firstLine="3787"/>
        <w:jc w:val="both"/>
        <w:rPr>
          <w:rFonts w:ascii="Times New Roman" w:hAnsi="Times New Roman"/>
        </w:rPr>
      </w:pPr>
      <w:r w:rsidRPr="001057FE">
        <w:rPr>
          <w:rFonts w:ascii="Times New Roman" w:hAnsi="Times New Roman"/>
        </w:rPr>
        <w:t>FIRST SCHEDULE.</w:t>
      </w:r>
      <w:r w:rsidR="00D95728" w:rsidRPr="001057FE">
        <w:rPr>
          <w:rFonts w:ascii="Times New Roman" w:hAnsi="Times New Roman"/>
        </w:rPr>
        <w:tab/>
        <w:t xml:space="preserve">Section </w:t>
      </w:r>
      <w:r w:rsidR="00D95728" w:rsidRPr="001057FE">
        <w:rPr>
          <w:rFonts w:ascii="Times New Roman" w:hAnsi="Times New Roman"/>
          <w:smallCaps/>
        </w:rPr>
        <w:t>18.</w:t>
      </w:r>
    </w:p>
    <w:p w:rsidR="00D95728" w:rsidRPr="00396ACC" w:rsidRDefault="00D95728" w:rsidP="00396ACC">
      <w:pPr>
        <w:spacing w:after="0" w:line="240" w:lineRule="auto"/>
        <w:jc w:val="center"/>
        <w:rPr>
          <w:rFonts w:ascii="Times New Roman" w:hAnsi="Times New Roman"/>
          <w:smallCaps/>
        </w:rPr>
      </w:pPr>
      <w:r w:rsidRPr="00396ACC">
        <w:rPr>
          <w:rFonts w:ascii="Times New Roman" w:hAnsi="Times New Roman"/>
          <w:smallCaps/>
        </w:rPr>
        <w:t>——</w:t>
      </w:r>
    </w:p>
    <w:p w:rsidR="007C4BEA" w:rsidRPr="00396ACC" w:rsidRDefault="001C469B" w:rsidP="00396ACC">
      <w:pPr>
        <w:spacing w:before="60" w:after="60" w:line="240" w:lineRule="auto"/>
        <w:jc w:val="center"/>
        <w:rPr>
          <w:rFonts w:ascii="Times New Roman" w:hAnsi="Times New Roman"/>
        </w:rPr>
      </w:pPr>
      <w:r w:rsidRPr="00396ACC">
        <w:rPr>
          <w:rFonts w:ascii="Times New Roman" w:hAnsi="Times New Roman"/>
          <w:smallCaps/>
        </w:rPr>
        <w:t>General Pension Rates—Death or Total Incapacity.</w:t>
      </w:r>
    </w:p>
    <w:tbl>
      <w:tblPr>
        <w:tblW w:w="5000" w:type="pct"/>
        <w:tblCellMar>
          <w:left w:w="40" w:type="dxa"/>
          <w:right w:w="40" w:type="dxa"/>
        </w:tblCellMar>
        <w:tblLook w:val="0000" w:firstRow="0" w:lastRow="0" w:firstColumn="0" w:lastColumn="0" w:noHBand="0" w:noVBand="0"/>
      </w:tblPr>
      <w:tblGrid>
        <w:gridCol w:w="1067"/>
        <w:gridCol w:w="334"/>
        <w:gridCol w:w="444"/>
        <w:gridCol w:w="334"/>
        <w:gridCol w:w="1824"/>
        <w:gridCol w:w="351"/>
        <w:gridCol w:w="444"/>
        <w:gridCol w:w="334"/>
        <w:gridCol w:w="334"/>
        <w:gridCol w:w="444"/>
        <w:gridCol w:w="444"/>
        <w:gridCol w:w="334"/>
        <w:gridCol w:w="391"/>
        <w:gridCol w:w="444"/>
        <w:gridCol w:w="362"/>
        <w:gridCol w:w="445"/>
        <w:gridCol w:w="445"/>
        <w:gridCol w:w="334"/>
      </w:tblGrid>
      <w:tr w:rsidR="007C4BEA" w:rsidRPr="00396ACC" w:rsidTr="00095FA5">
        <w:trPr>
          <w:trHeight w:val="20"/>
        </w:trPr>
        <w:tc>
          <w:tcPr>
            <w:tcW w:w="3001" w:type="pct"/>
            <w:gridSpan w:val="9"/>
            <w:tcBorders>
              <w:top w:val="single" w:sz="6" w:space="0" w:color="auto"/>
              <w:right w:val="single" w:sz="6" w:space="0" w:color="auto"/>
            </w:tcBorders>
            <w:vAlign w:val="center"/>
          </w:tcPr>
          <w:p w:rsidR="007C4BEA" w:rsidRPr="00396ACC" w:rsidRDefault="007C4BEA" w:rsidP="000E3709">
            <w:pPr>
              <w:spacing w:before="120" w:after="120" w:line="240" w:lineRule="auto"/>
              <w:jc w:val="center"/>
              <w:rPr>
                <w:rFonts w:ascii="Times New Roman" w:hAnsi="Times New Roman"/>
              </w:rPr>
            </w:pPr>
            <w:r w:rsidRPr="00396ACC">
              <w:rPr>
                <w:rFonts w:ascii="Times New Roman" w:hAnsi="Times New Roman"/>
              </w:rPr>
              <w:t>Column 1.</w:t>
            </w:r>
          </w:p>
        </w:tc>
        <w:tc>
          <w:tcPr>
            <w:tcW w:w="671" w:type="pct"/>
            <w:gridSpan w:val="3"/>
            <w:tcBorders>
              <w:top w:val="single" w:sz="6" w:space="0" w:color="auto"/>
              <w:left w:val="single" w:sz="6" w:space="0" w:color="auto"/>
              <w:right w:val="single" w:sz="6" w:space="0" w:color="auto"/>
            </w:tcBorders>
            <w:vAlign w:val="center"/>
          </w:tcPr>
          <w:p w:rsidR="007C4BEA" w:rsidRPr="00396ACC" w:rsidRDefault="007C4BEA" w:rsidP="000E3709">
            <w:pPr>
              <w:spacing w:before="120" w:after="120" w:line="240" w:lineRule="auto"/>
              <w:jc w:val="center"/>
              <w:rPr>
                <w:rFonts w:ascii="Times New Roman" w:hAnsi="Times New Roman"/>
              </w:rPr>
            </w:pPr>
            <w:r w:rsidRPr="00396ACC">
              <w:rPr>
                <w:rFonts w:ascii="Times New Roman" w:hAnsi="Times New Roman"/>
              </w:rPr>
              <w:t>Column 2.</w:t>
            </w:r>
          </w:p>
        </w:tc>
        <w:tc>
          <w:tcPr>
            <w:tcW w:w="657" w:type="pct"/>
            <w:gridSpan w:val="3"/>
            <w:tcBorders>
              <w:top w:val="single" w:sz="6" w:space="0" w:color="auto"/>
              <w:left w:val="single" w:sz="6" w:space="0" w:color="auto"/>
              <w:right w:val="single" w:sz="6" w:space="0" w:color="auto"/>
            </w:tcBorders>
            <w:vAlign w:val="center"/>
          </w:tcPr>
          <w:p w:rsidR="007C4BEA" w:rsidRPr="00396ACC" w:rsidRDefault="007C4BEA" w:rsidP="000E3709">
            <w:pPr>
              <w:spacing w:before="120" w:after="120" w:line="240" w:lineRule="auto"/>
              <w:jc w:val="center"/>
              <w:rPr>
                <w:rFonts w:ascii="Times New Roman" w:hAnsi="Times New Roman"/>
              </w:rPr>
            </w:pPr>
            <w:r w:rsidRPr="00396ACC">
              <w:rPr>
                <w:rFonts w:ascii="Times New Roman" w:hAnsi="Times New Roman"/>
              </w:rPr>
              <w:t>Column 3.</w:t>
            </w:r>
          </w:p>
        </w:tc>
        <w:tc>
          <w:tcPr>
            <w:tcW w:w="671" w:type="pct"/>
            <w:gridSpan w:val="3"/>
            <w:tcBorders>
              <w:top w:val="single" w:sz="6" w:space="0" w:color="auto"/>
              <w:left w:val="single" w:sz="6" w:space="0" w:color="auto"/>
            </w:tcBorders>
            <w:vAlign w:val="center"/>
          </w:tcPr>
          <w:p w:rsidR="007C4BEA" w:rsidRPr="00396ACC" w:rsidRDefault="007C4BEA" w:rsidP="000E3709">
            <w:pPr>
              <w:spacing w:before="120" w:after="120" w:line="240" w:lineRule="auto"/>
              <w:jc w:val="center"/>
              <w:rPr>
                <w:rFonts w:ascii="Times New Roman" w:hAnsi="Times New Roman"/>
              </w:rPr>
            </w:pPr>
            <w:r w:rsidRPr="00396ACC">
              <w:rPr>
                <w:rFonts w:ascii="Times New Roman" w:hAnsi="Times New Roman"/>
              </w:rPr>
              <w:t>Column 4.</w:t>
            </w:r>
          </w:p>
        </w:tc>
      </w:tr>
      <w:tr w:rsidR="007C4BEA" w:rsidRPr="00396ACC" w:rsidTr="00095FA5">
        <w:trPr>
          <w:trHeight w:val="20"/>
        </w:trPr>
        <w:tc>
          <w:tcPr>
            <w:tcW w:w="3001" w:type="pct"/>
            <w:gridSpan w:val="9"/>
            <w:tcBorders>
              <w:bottom w:val="single" w:sz="6" w:space="0" w:color="auto"/>
              <w:righ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Rate of pay per day of the Australian mariner.</w:t>
            </w:r>
          </w:p>
        </w:tc>
        <w:tc>
          <w:tcPr>
            <w:tcW w:w="671" w:type="pct"/>
            <w:gridSpan w:val="3"/>
            <w:tcBorders>
              <w:left w:val="single" w:sz="6" w:space="0" w:color="auto"/>
              <w:bottom w:val="single" w:sz="6" w:space="0" w:color="auto"/>
              <w:righ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Rate of pension payable</w:t>
            </w:r>
            <w:r w:rsidR="00977D35" w:rsidRPr="00396ACC">
              <w:rPr>
                <w:rFonts w:ascii="Times New Roman" w:hAnsi="Times New Roman"/>
              </w:rPr>
              <w:t xml:space="preserve"> </w:t>
            </w:r>
            <w:r w:rsidRPr="00396ACC">
              <w:rPr>
                <w:rFonts w:ascii="Times New Roman" w:hAnsi="Times New Roman"/>
              </w:rPr>
              <w:t>per fortnight to widow on death of Australian mariner.</w:t>
            </w:r>
          </w:p>
        </w:tc>
        <w:tc>
          <w:tcPr>
            <w:tcW w:w="657" w:type="pct"/>
            <w:gridSpan w:val="3"/>
            <w:tcBorders>
              <w:left w:val="single" w:sz="6" w:space="0" w:color="auto"/>
              <w:bottom w:val="single" w:sz="6" w:space="0" w:color="auto"/>
              <w:righ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Aggregates of rates of pensions payable</w:t>
            </w:r>
            <w:r w:rsidR="00977D35" w:rsidRPr="00396ACC">
              <w:rPr>
                <w:rFonts w:ascii="Times New Roman" w:hAnsi="Times New Roman"/>
              </w:rPr>
              <w:t xml:space="preserve"> </w:t>
            </w:r>
            <w:r w:rsidRPr="00396ACC">
              <w:rPr>
                <w:rFonts w:ascii="Times New Roman" w:hAnsi="Times New Roman"/>
              </w:rPr>
              <w:t xml:space="preserve">per fortnight to </w:t>
            </w:r>
            <w:proofErr w:type="spellStart"/>
            <w:r w:rsidRPr="00396ACC">
              <w:rPr>
                <w:rFonts w:ascii="Times New Roman" w:hAnsi="Times New Roman"/>
              </w:rPr>
              <w:t>dependants</w:t>
            </w:r>
            <w:proofErr w:type="spellEnd"/>
            <w:r w:rsidRPr="00396ACC">
              <w:rPr>
                <w:rFonts w:ascii="Times New Roman" w:hAnsi="Times New Roman"/>
              </w:rPr>
              <w:t xml:space="preserve"> other than widow and children on death of Australian mariner.</w:t>
            </w:r>
          </w:p>
        </w:tc>
        <w:tc>
          <w:tcPr>
            <w:tcW w:w="671" w:type="pct"/>
            <w:gridSpan w:val="3"/>
            <w:tcBorders>
              <w:left w:val="single" w:sz="6" w:space="0" w:color="auto"/>
              <w:bottom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Rate of pension payable</w:t>
            </w:r>
            <w:r w:rsidR="00977D35" w:rsidRPr="00396ACC">
              <w:rPr>
                <w:rFonts w:ascii="Times New Roman" w:hAnsi="Times New Roman"/>
              </w:rPr>
              <w:t xml:space="preserve"> </w:t>
            </w:r>
            <w:r w:rsidRPr="00396ACC">
              <w:rPr>
                <w:rFonts w:ascii="Times New Roman" w:hAnsi="Times New Roman"/>
              </w:rPr>
              <w:t>per fortnight to Australian mariner upon total incapacity.</w:t>
            </w:r>
          </w:p>
        </w:tc>
      </w:tr>
      <w:tr w:rsidR="007C4BEA" w:rsidRPr="00396ACC" w:rsidTr="00095FA5">
        <w:trPr>
          <w:trHeight w:val="20"/>
        </w:trPr>
        <w:tc>
          <w:tcPr>
            <w:tcW w:w="586"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p>
        </w:tc>
        <w:tc>
          <w:tcPr>
            <w:tcW w:w="183"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w:t>
            </w:r>
          </w:p>
        </w:tc>
        <w:tc>
          <w:tcPr>
            <w:tcW w:w="244"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s.</w:t>
            </w:r>
          </w:p>
        </w:tc>
        <w:tc>
          <w:tcPr>
            <w:tcW w:w="183"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d.</w:t>
            </w:r>
          </w:p>
        </w:tc>
        <w:tc>
          <w:tcPr>
            <w:tcW w:w="1002"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p>
        </w:tc>
        <w:tc>
          <w:tcPr>
            <w:tcW w:w="193"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w:t>
            </w:r>
          </w:p>
        </w:tc>
        <w:tc>
          <w:tcPr>
            <w:tcW w:w="244"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s.</w:t>
            </w:r>
          </w:p>
        </w:tc>
        <w:tc>
          <w:tcPr>
            <w:tcW w:w="183"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d.</w:t>
            </w:r>
          </w:p>
        </w:tc>
        <w:tc>
          <w:tcPr>
            <w:tcW w:w="183" w:type="pct"/>
            <w:tcBorders>
              <w:top w:val="single" w:sz="6" w:space="0" w:color="auto"/>
              <w:right w:val="single" w:sz="6" w:space="0" w:color="auto"/>
            </w:tcBorders>
            <w:vAlign w:val="center"/>
          </w:tcPr>
          <w:p w:rsidR="007C4BEA" w:rsidRPr="00396ACC" w:rsidRDefault="007C4BEA" w:rsidP="00396ACC">
            <w:pPr>
              <w:spacing w:after="0" w:line="240" w:lineRule="auto"/>
              <w:jc w:val="center"/>
              <w:rPr>
                <w:rFonts w:ascii="Times New Roman" w:hAnsi="Times New Roman"/>
              </w:rPr>
            </w:pPr>
          </w:p>
        </w:tc>
        <w:tc>
          <w:tcPr>
            <w:tcW w:w="244" w:type="pct"/>
            <w:tcBorders>
              <w:top w:val="single" w:sz="6" w:space="0" w:color="auto"/>
              <w:lef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w:t>
            </w:r>
          </w:p>
        </w:tc>
        <w:tc>
          <w:tcPr>
            <w:tcW w:w="244" w:type="pct"/>
            <w:tcBorders>
              <w:top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s.</w:t>
            </w:r>
          </w:p>
        </w:tc>
        <w:tc>
          <w:tcPr>
            <w:tcW w:w="183" w:type="pct"/>
            <w:tcBorders>
              <w:top w:val="single" w:sz="6" w:space="0" w:color="auto"/>
              <w:right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d.</w:t>
            </w:r>
          </w:p>
        </w:tc>
        <w:tc>
          <w:tcPr>
            <w:tcW w:w="215" w:type="pct"/>
            <w:tcBorders>
              <w:top w:val="single" w:sz="6" w:space="0" w:color="auto"/>
              <w:lef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w:t>
            </w:r>
          </w:p>
        </w:tc>
        <w:tc>
          <w:tcPr>
            <w:tcW w:w="244"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s.</w:t>
            </w:r>
          </w:p>
        </w:tc>
        <w:tc>
          <w:tcPr>
            <w:tcW w:w="199" w:type="pct"/>
            <w:tcBorders>
              <w:top w:val="single" w:sz="6" w:space="0" w:color="auto"/>
              <w:right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d.</w:t>
            </w:r>
          </w:p>
        </w:tc>
        <w:tc>
          <w:tcPr>
            <w:tcW w:w="244" w:type="pct"/>
            <w:tcBorders>
              <w:top w:val="single" w:sz="6" w:space="0" w:color="auto"/>
              <w:left w:val="single" w:sz="6" w:space="0" w:color="auto"/>
            </w:tcBorders>
            <w:vAlign w:val="center"/>
          </w:tcPr>
          <w:p w:rsidR="007C4BEA" w:rsidRPr="00396ACC" w:rsidRDefault="007C4BEA" w:rsidP="00396ACC">
            <w:pPr>
              <w:spacing w:after="0" w:line="240" w:lineRule="auto"/>
              <w:jc w:val="center"/>
              <w:rPr>
                <w:rFonts w:ascii="Times New Roman" w:hAnsi="Times New Roman"/>
              </w:rPr>
            </w:pPr>
            <w:r w:rsidRPr="00396ACC">
              <w:rPr>
                <w:rFonts w:ascii="Times New Roman" w:hAnsi="Times New Roman"/>
              </w:rPr>
              <w:t>£</w:t>
            </w:r>
          </w:p>
        </w:tc>
        <w:tc>
          <w:tcPr>
            <w:tcW w:w="244"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s.</w:t>
            </w:r>
          </w:p>
        </w:tc>
        <w:tc>
          <w:tcPr>
            <w:tcW w:w="183" w:type="pct"/>
            <w:tcBorders>
              <w:top w:val="single" w:sz="6" w:space="0" w:color="auto"/>
            </w:tcBorders>
            <w:vAlign w:val="center"/>
          </w:tcPr>
          <w:p w:rsidR="007C4BEA" w:rsidRPr="00396ACC" w:rsidRDefault="001C469B" w:rsidP="00396ACC">
            <w:pPr>
              <w:spacing w:after="0" w:line="240" w:lineRule="auto"/>
              <w:jc w:val="center"/>
              <w:rPr>
                <w:rFonts w:ascii="Times New Roman" w:hAnsi="Times New Roman"/>
              </w:rPr>
            </w:pPr>
            <w:r w:rsidRPr="00396ACC">
              <w:rPr>
                <w:rFonts w:ascii="Times New Roman" w:hAnsi="Times New Roman"/>
                <w:i/>
              </w:rPr>
              <w:t>d.</w:t>
            </w:r>
          </w:p>
        </w:tc>
      </w:tr>
      <w:tr w:rsidR="007C4BEA" w:rsidRPr="00396ACC" w:rsidTr="00095FA5">
        <w:trPr>
          <w:trHeight w:val="20"/>
        </w:trPr>
        <w:tc>
          <w:tcPr>
            <w:tcW w:w="586" w:type="pct"/>
          </w:tcPr>
          <w:p w:rsidR="007C4BEA" w:rsidRPr="00396ACC" w:rsidRDefault="007C4BEA" w:rsidP="00396ACC">
            <w:pPr>
              <w:spacing w:after="0" w:line="240" w:lineRule="auto"/>
              <w:jc w:val="both"/>
              <w:rPr>
                <w:rFonts w:ascii="Times New Roman" w:hAnsi="Times New Roman"/>
              </w:rPr>
            </w:pPr>
          </w:p>
        </w:tc>
        <w:tc>
          <w:tcPr>
            <w:tcW w:w="183" w:type="pct"/>
          </w:tcPr>
          <w:p w:rsidR="007C4BEA" w:rsidRPr="00396ACC" w:rsidRDefault="007C4BEA" w:rsidP="00396ACC">
            <w:pPr>
              <w:spacing w:after="0" w:line="240" w:lineRule="auto"/>
              <w:jc w:val="both"/>
              <w:rPr>
                <w:rFonts w:ascii="Times New Roman" w:hAnsi="Times New Roman"/>
              </w:rPr>
            </w:pPr>
          </w:p>
        </w:tc>
        <w:tc>
          <w:tcPr>
            <w:tcW w:w="244" w:type="pct"/>
          </w:tcPr>
          <w:p w:rsidR="007C4BEA" w:rsidRPr="00396ACC" w:rsidRDefault="007C4BEA" w:rsidP="00396ACC">
            <w:pPr>
              <w:spacing w:after="0" w:line="240" w:lineRule="auto"/>
              <w:jc w:val="both"/>
              <w:rPr>
                <w:rFonts w:ascii="Times New Roman" w:hAnsi="Times New Roman"/>
              </w:rPr>
            </w:pPr>
          </w:p>
        </w:tc>
        <w:tc>
          <w:tcPr>
            <w:tcW w:w="183" w:type="pct"/>
          </w:tcPr>
          <w:p w:rsidR="007C4BEA" w:rsidRPr="00396ACC" w:rsidRDefault="007C4BEA" w:rsidP="00396ACC">
            <w:pPr>
              <w:spacing w:after="0" w:line="240" w:lineRule="auto"/>
              <w:jc w:val="both"/>
              <w:rPr>
                <w:rFonts w:ascii="Times New Roman" w:hAnsi="Times New Roman"/>
              </w:rPr>
            </w:pPr>
          </w:p>
        </w:tc>
        <w:tc>
          <w:tcPr>
            <w:tcW w:w="1002" w:type="pct"/>
          </w:tcPr>
          <w:p w:rsidR="007C4BEA" w:rsidRPr="00396ACC" w:rsidRDefault="007C4BEA" w:rsidP="00396ACC">
            <w:pPr>
              <w:spacing w:after="0" w:line="240" w:lineRule="auto"/>
              <w:ind w:firstLine="335"/>
              <w:jc w:val="both"/>
              <w:rPr>
                <w:rFonts w:ascii="Times New Roman" w:hAnsi="Times New Roman"/>
              </w:rPr>
            </w:pPr>
            <w:r w:rsidRPr="00396ACC">
              <w:rPr>
                <w:rFonts w:ascii="Times New Roman" w:hAnsi="Times New Roman"/>
              </w:rPr>
              <w:t>Not exceeding</w:t>
            </w:r>
          </w:p>
        </w:tc>
        <w:tc>
          <w:tcPr>
            <w:tcW w:w="193"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183"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83" w:type="pct"/>
            <w:tcBorders>
              <w:right w:val="single" w:sz="6" w:space="0" w:color="auto"/>
            </w:tcBorders>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w:t>
            </w:r>
          </w:p>
        </w:tc>
        <w:tc>
          <w:tcPr>
            <w:tcW w:w="244" w:type="pct"/>
            <w:tcBorders>
              <w:left w:val="single" w:sz="6" w:space="0" w:color="auto"/>
            </w:tcBorders>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244"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183" w:type="pct"/>
            <w:tcBorders>
              <w:right w:val="single" w:sz="6" w:space="0" w:color="auto"/>
            </w:tcBorders>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tcBorders>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7</w:t>
            </w:r>
          </w:p>
        </w:tc>
        <w:tc>
          <w:tcPr>
            <w:tcW w:w="244"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99" w:type="pct"/>
            <w:tcBorders>
              <w:right w:val="single" w:sz="6" w:space="0" w:color="auto"/>
            </w:tcBorders>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tcBorders>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11</w:t>
            </w:r>
          </w:p>
        </w:tc>
        <w:tc>
          <w:tcPr>
            <w:tcW w:w="244"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83" w:type="pct"/>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r>
      <w:tr w:rsidR="007C4BEA" w:rsidRPr="00396ACC" w:rsidTr="00095FA5">
        <w:trPr>
          <w:trHeight w:val="20"/>
        </w:trPr>
        <w:tc>
          <w:tcPr>
            <w:tcW w:w="586" w:type="pct"/>
            <w:shd w:val="clear" w:color="auto" w:fill="auto"/>
          </w:tcPr>
          <w:p w:rsidR="007C4BEA" w:rsidRPr="00396ACC" w:rsidRDefault="005817B3" w:rsidP="00396ACC">
            <w:pPr>
              <w:spacing w:after="0" w:line="240" w:lineRule="auto"/>
              <w:jc w:val="both"/>
              <w:rPr>
                <w:rFonts w:ascii="Times New Roman" w:hAnsi="Times New Roman"/>
              </w:rPr>
            </w:pPr>
            <w:r w:rsidRPr="00396ACC">
              <w:rPr>
                <w:rFonts w:ascii="Times New Roman" w:hAnsi="Times New Roman"/>
              </w:rPr>
              <w:t>Exceeding</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002"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but not exceeding</w:t>
            </w:r>
          </w:p>
        </w:tc>
        <w:tc>
          <w:tcPr>
            <w:tcW w:w="19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7</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83" w:type="pct"/>
            <w:tcBorders>
              <w:right w:val="single" w:sz="6" w:space="0" w:color="auto"/>
            </w:tcBorders>
            <w:shd w:val="clear" w:color="auto" w:fill="auto"/>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183"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7</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99"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4</w:t>
            </w:r>
          </w:p>
        </w:tc>
        <w:tc>
          <w:tcPr>
            <w:tcW w:w="183" w:type="pct"/>
            <w:shd w:val="clear" w:color="auto" w:fill="auto"/>
            <w:vAlign w:val="center"/>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r>
      <w:tr w:rsidR="007C4BEA" w:rsidRPr="00396ACC" w:rsidTr="00095FA5">
        <w:trPr>
          <w:trHeight w:val="20"/>
        </w:trPr>
        <w:tc>
          <w:tcPr>
            <w:tcW w:w="586"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Exceeding</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7</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002"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but not exceeding</w:t>
            </w:r>
          </w:p>
        </w:tc>
        <w:tc>
          <w:tcPr>
            <w:tcW w:w="19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15</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83" w:type="pct"/>
            <w:tcBorders>
              <w:right w:val="single" w:sz="6" w:space="0" w:color="auto"/>
            </w:tcBorders>
            <w:shd w:val="clear" w:color="auto" w:fill="auto"/>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19</w:t>
            </w:r>
          </w:p>
        </w:tc>
        <w:tc>
          <w:tcPr>
            <w:tcW w:w="183"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7</w:t>
            </w:r>
          </w:p>
        </w:tc>
        <w:tc>
          <w:tcPr>
            <w:tcW w:w="244" w:type="pct"/>
            <w:shd w:val="clear" w:color="auto" w:fill="auto"/>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9</w:t>
            </w:r>
          </w:p>
        </w:tc>
        <w:tc>
          <w:tcPr>
            <w:tcW w:w="199"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14</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r>
      <w:tr w:rsidR="007C4BEA" w:rsidRPr="00396ACC" w:rsidTr="00095FA5">
        <w:trPr>
          <w:trHeight w:val="20"/>
        </w:trPr>
        <w:tc>
          <w:tcPr>
            <w:tcW w:w="586"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Exceeding</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15</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002"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but not exceeding</w:t>
            </w:r>
          </w:p>
        </w:tc>
        <w:tc>
          <w:tcPr>
            <w:tcW w:w="19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83" w:type="pct"/>
            <w:tcBorders>
              <w:right w:val="single" w:sz="6" w:space="0" w:color="auto"/>
            </w:tcBorders>
            <w:shd w:val="clear" w:color="auto" w:fill="auto"/>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11</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11</w:t>
            </w:r>
          </w:p>
        </w:tc>
        <w:tc>
          <w:tcPr>
            <w:tcW w:w="183"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8</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w:t>
            </w:r>
          </w:p>
        </w:tc>
        <w:tc>
          <w:tcPr>
            <w:tcW w:w="199"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4</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r>
      <w:tr w:rsidR="007C4BEA" w:rsidRPr="00396ACC" w:rsidTr="00095FA5">
        <w:trPr>
          <w:trHeight w:val="20"/>
        </w:trPr>
        <w:tc>
          <w:tcPr>
            <w:tcW w:w="586"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Exceeding</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c>
          <w:tcPr>
            <w:tcW w:w="1002" w:type="pct"/>
            <w:shd w:val="clear" w:color="auto" w:fill="auto"/>
          </w:tcPr>
          <w:p w:rsidR="007C4BEA" w:rsidRPr="00396ACC" w:rsidRDefault="007C4BEA" w:rsidP="00396ACC">
            <w:pPr>
              <w:spacing w:after="0" w:line="240" w:lineRule="auto"/>
              <w:jc w:val="both"/>
              <w:rPr>
                <w:rFonts w:ascii="Times New Roman" w:hAnsi="Times New Roman"/>
              </w:rPr>
            </w:pPr>
            <w:r w:rsidRPr="00396ACC">
              <w:rPr>
                <w:rFonts w:ascii="Times New Roman" w:hAnsi="Times New Roman"/>
              </w:rPr>
              <w:t>but not exceeding</w:t>
            </w:r>
          </w:p>
        </w:tc>
        <w:tc>
          <w:tcPr>
            <w:tcW w:w="19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10</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183" w:type="pct"/>
            <w:tcBorders>
              <w:right w:val="single" w:sz="6" w:space="0" w:color="auto"/>
            </w:tcBorders>
            <w:shd w:val="clear" w:color="auto" w:fill="auto"/>
          </w:tcPr>
          <w:p w:rsidR="007C4BEA" w:rsidRPr="00396ACC" w:rsidRDefault="00CE6305" w:rsidP="00095FA5">
            <w:pPr>
              <w:spacing w:after="0" w:line="240" w:lineRule="auto"/>
              <w:ind w:right="144"/>
              <w:jc w:val="right"/>
              <w:rPr>
                <w:rFonts w:ascii="Times New Roman" w:hAnsi="Times New Roman"/>
              </w:rPr>
            </w:pPr>
            <w:r w:rsidRPr="00396ACC">
              <w:rPr>
                <w:rFonts w:ascii="Times New Roman" w:hAnsi="Times New Roman"/>
              </w:rPr>
              <w:t>..</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3</w:t>
            </w:r>
          </w:p>
        </w:tc>
        <w:tc>
          <w:tcPr>
            <w:tcW w:w="183"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8</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13</w:t>
            </w:r>
          </w:p>
        </w:tc>
        <w:tc>
          <w:tcPr>
            <w:tcW w:w="199" w:type="pct"/>
            <w:tcBorders>
              <w:righ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tcBorders>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12</w:t>
            </w:r>
          </w:p>
        </w:tc>
        <w:tc>
          <w:tcPr>
            <w:tcW w:w="244"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13</w:t>
            </w:r>
          </w:p>
        </w:tc>
        <w:tc>
          <w:tcPr>
            <w:tcW w:w="183" w:type="pct"/>
            <w:shd w:val="clear" w:color="auto" w:fill="auto"/>
          </w:tcPr>
          <w:p w:rsidR="007C4BEA" w:rsidRPr="00396ACC" w:rsidRDefault="007C4BEA" w:rsidP="00095FA5">
            <w:pPr>
              <w:spacing w:after="0" w:line="240" w:lineRule="auto"/>
              <w:ind w:right="144"/>
              <w:jc w:val="right"/>
              <w:rPr>
                <w:rFonts w:ascii="Times New Roman" w:hAnsi="Times New Roman"/>
              </w:rPr>
            </w:pPr>
            <w:r w:rsidRPr="00396ACC">
              <w:rPr>
                <w:rFonts w:ascii="Times New Roman" w:hAnsi="Times New Roman"/>
              </w:rPr>
              <w:t>6</w:t>
            </w:r>
          </w:p>
        </w:tc>
      </w:tr>
      <w:tr w:rsidR="00095FA5" w:rsidRPr="00396ACC" w:rsidTr="00095FA5">
        <w:trPr>
          <w:trHeight w:val="20"/>
        </w:trPr>
        <w:tc>
          <w:tcPr>
            <w:tcW w:w="586" w:type="pct"/>
            <w:tcBorders>
              <w:bottom w:val="single" w:sz="6" w:space="0" w:color="auto"/>
            </w:tcBorders>
            <w:shd w:val="clear" w:color="auto" w:fill="auto"/>
          </w:tcPr>
          <w:p w:rsidR="00095FA5" w:rsidRPr="00396ACC" w:rsidRDefault="00095FA5" w:rsidP="00396ACC">
            <w:pPr>
              <w:spacing w:after="0" w:line="240" w:lineRule="auto"/>
              <w:jc w:val="both"/>
              <w:rPr>
                <w:rFonts w:ascii="Times New Roman" w:hAnsi="Times New Roman"/>
              </w:rPr>
            </w:pPr>
            <w:r w:rsidRPr="00396ACC">
              <w:rPr>
                <w:rFonts w:ascii="Times New Roman" w:hAnsi="Times New Roman"/>
              </w:rPr>
              <w:t>Exceeding</w:t>
            </w:r>
          </w:p>
        </w:tc>
        <w:tc>
          <w:tcPr>
            <w:tcW w:w="183"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2</w:t>
            </w:r>
          </w:p>
        </w:tc>
        <w:tc>
          <w:tcPr>
            <w:tcW w:w="244"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10</w:t>
            </w:r>
          </w:p>
        </w:tc>
        <w:tc>
          <w:tcPr>
            <w:tcW w:w="183"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0</w:t>
            </w:r>
          </w:p>
        </w:tc>
        <w:tc>
          <w:tcPr>
            <w:tcW w:w="1805" w:type="pct"/>
            <w:gridSpan w:val="5"/>
            <w:tcBorders>
              <w:bottom w:val="single" w:sz="6" w:space="0" w:color="auto"/>
              <w:right w:val="single" w:sz="6" w:space="0" w:color="auto"/>
            </w:tcBorders>
            <w:shd w:val="clear" w:color="auto" w:fill="auto"/>
          </w:tcPr>
          <w:p w:rsidR="00095FA5" w:rsidRPr="00396ACC" w:rsidRDefault="00095FA5" w:rsidP="00095FA5">
            <w:pPr>
              <w:tabs>
                <w:tab w:val="center" w:leader="dot" w:pos="3131"/>
              </w:tabs>
              <w:spacing w:after="0" w:line="240" w:lineRule="auto"/>
              <w:jc w:val="both"/>
              <w:rPr>
                <w:rFonts w:ascii="Times New Roman" w:hAnsi="Times New Roman"/>
              </w:rPr>
            </w:pPr>
            <w:r w:rsidRPr="00396ACC">
              <w:rPr>
                <w:rFonts w:ascii="Times New Roman" w:hAnsi="Times New Roman"/>
              </w:rPr>
              <w:tab/>
            </w:r>
          </w:p>
        </w:tc>
        <w:tc>
          <w:tcPr>
            <w:tcW w:w="244" w:type="pct"/>
            <w:tcBorders>
              <w:left w:val="single" w:sz="6" w:space="0" w:color="auto"/>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12</w:t>
            </w:r>
          </w:p>
        </w:tc>
        <w:tc>
          <w:tcPr>
            <w:tcW w:w="244"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6</w:t>
            </w:r>
          </w:p>
        </w:tc>
        <w:tc>
          <w:tcPr>
            <w:tcW w:w="183" w:type="pct"/>
            <w:tcBorders>
              <w:bottom w:val="single" w:sz="6" w:space="0" w:color="auto"/>
              <w:right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0</w:t>
            </w:r>
          </w:p>
        </w:tc>
        <w:tc>
          <w:tcPr>
            <w:tcW w:w="215" w:type="pct"/>
            <w:tcBorders>
              <w:left w:val="single" w:sz="6" w:space="0" w:color="auto"/>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8</w:t>
            </w:r>
          </w:p>
        </w:tc>
        <w:tc>
          <w:tcPr>
            <w:tcW w:w="244"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16</w:t>
            </w:r>
          </w:p>
        </w:tc>
        <w:tc>
          <w:tcPr>
            <w:tcW w:w="199" w:type="pct"/>
            <w:tcBorders>
              <w:bottom w:val="single" w:sz="6" w:space="0" w:color="auto"/>
              <w:right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0</w:t>
            </w:r>
          </w:p>
        </w:tc>
        <w:tc>
          <w:tcPr>
            <w:tcW w:w="244" w:type="pct"/>
            <w:tcBorders>
              <w:left w:val="single" w:sz="6" w:space="0" w:color="auto"/>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12</w:t>
            </w:r>
          </w:p>
        </w:tc>
        <w:tc>
          <w:tcPr>
            <w:tcW w:w="244" w:type="pct"/>
            <w:tcBorders>
              <w:bottom w:val="single" w:sz="6" w:space="0" w:color="auto"/>
            </w:tcBorders>
            <w:shd w:val="clear" w:color="auto" w:fill="auto"/>
            <w:vAlign w:val="center"/>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16</w:t>
            </w:r>
          </w:p>
        </w:tc>
        <w:tc>
          <w:tcPr>
            <w:tcW w:w="183" w:type="pct"/>
            <w:tcBorders>
              <w:bottom w:val="single" w:sz="6" w:space="0" w:color="auto"/>
            </w:tcBorders>
            <w:shd w:val="clear" w:color="auto" w:fill="auto"/>
          </w:tcPr>
          <w:p w:rsidR="00095FA5" w:rsidRPr="00396ACC" w:rsidRDefault="00095FA5" w:rsidP="00095FA5">
            <w:pPr>
              <w:spacing w:after="0" w:line="240" w:lineRule="auto"/>
              <w:ind w:right="144"/>
              <w:jc w:val="right"/>
              <w:rPr>
                <w:rFonts w:ascii="Times New Roman" w:hAnsi="Times New Roman"/>
              </w:rPr>
            </w:pPr>
            <w:r w:rsidRPr="00396ACC">
              <w:rPr>
                <w:rFonts w:ascii="Times New Roman" w:hAnsi="Times New Roman"/>
              </w:rPr>
              <w:t>0</w:t>
            </w:r>
          </w:p>
        </w:tc>
      </w:tr>
    </w:tbl>
    <w:p w:rsidR="007C4BEA" w:rsidRPr="005050BE" w:rsidRDefault="001C469B" w:rsidP="005050BE">
      <w:pPr>
        <w:spacing w:before="120" w:after="60" w:line="240" w:lineRule="auto"/>
        <w:jc w:val="both"/>
        <w:rPr>
          <w:rFonts w:ascii="Times New Roman" w:hAnsi="Times New Roman" w:cs="Times New Roman"/>
          <w:b/>
          <w:sz w:val="20"/>
        </w:rPr>
      </w:pPr>
      <w:r w:rsidRPr="005050BE">
        <w:rPr>
          <w:rFonts w:ascii="Times New Roman" w:hAnsi="Times New Roman" w:cs="Times New Roman"/>
          <w:b/>
          <w:sz w:val="20"/>
        </w:rPr>
        <w:t>Application of amendment.</w:t>
      </w:r>
    </w:p>
    <w:p w:rsidR="007C4BEA" w:rsidRPr="00396ACC" w:rsidRDefault="00E35164" w:rsidP="00F2076B">
      <w:pPr>
        <w:tabs>
          <w:tab w:val="left" w:pos="720"/>
        </w:tabs>
        <w:spacing w:after="0" w:line="240" w:lineRule="auto"/>
        <w:ind w:firstLine="432"/>
        <w:jc w:val="both"/>
        <w:rPr>
          <w:rFonts w:ascii="Times New Roman" w:hAnsi="Times New Roman"/>
        </w:rPr>
      </w:pPr>
      <w:r w:rsidRPr="00396ACC">
        <w:rPr>
          <w:rFonts w:ascii="Times New Roman" w:hAnsi="Times New Roman"/>
          <w:b/>
        </w:rPr>
        <w:t>4.</w:t>
      </w:r>
      <w:r w:rsidR="00C55D91" w:rsidRPr="00396ACC">
        <w:rPr>
          <w:rFonts w:ascii="Times New Roman" w:hAnsi="Times New Roman"/>
          <w:b/>
        </w:rPr>
        <w:tab/>
      </w:r>
      <w:r w:rsidR="007C4BEA" w:rsidRPr="00396ACC">
        <w:rPr>
          <w:rFonts w:ascii="Times New Roman" w:hAnsi="Times New Roman"/>
        </w:rPr>
        <w:t>The amendment effected by this Act applies in relation to instalments of pensions falling due on the first pension pay day after the date of commencement of this Act and to all subsequent instalments.</w:t>
      </w:r>
      <w:bookmarkStart w:id="0" w:name="_GoBack"/>
      <w:bookmarkEnd w:id="0"/>
    </w:p>
    <w:sectPr w:rsidR="007C4BEA" w:rsidRPr="00396ACC" w:rsidSect="003679DC">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31" w:rsidRDefault="00162531" w:rsidP="008D3AB8">
      <w:pPr>
        <w:spacing w:after="0" w:line="240" w:lineRule="auto"/>
      </w:pPr>
      <w:r>
        <w:separator/>
      </w:r>
    </w:p>
  </w:endnote>
  <w:endnote w:type="continuationSeparator" w:id="0">
    <w:p w:rsidR="00162531" w:rsidRDefault="00162531" w:rsidP="008D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31" w:rsidRDefault="00162531" w:rsidP="008D3AB8">
      <w:pPr>
        <w:spacing w:after="0" w:line="240" w:lineRule="auto"/>
      </w:pPr>
      <w:r>
        <w:separator/>
      </w:r>
    </w:p>
  </w:footnote>
  <w:footnote w:type="continuationSeparator" w:id="0">
    <w:p w:rsidR="00162531" w:rsidRDefault="00162531" w:rsidP="008D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B8" w:rsidRPr="008D3AB8" w:rsidRDefault="008D3AB8" w:rsidP="00B22817">
    <w:pPr>
      <w:pStyle w:val="Header"/>
      <w:tabs>
        <w:tab w:val="clear" w:pos="9360"/>
        <w:tab w:val="right" w:pos="8640"/>
      </w:tabs>
      <w:rPr>
        <w:sz w:val="20"/>
      </w:rPr>
    </w:pPr>
    <w:r w:rsidRPr="008D3AB8">
      <w:rPr>
        <w:rFonts w:ascii="Times New Roman" w:hAnsi="Times New Roman"/>
        <w:sz w:val="20"/>
      </w:rPr>
      <w:t>No. 59.</w:t>
    </w:r>
    <w:r w:rsidRPr="008D3AB8">
      <w:rPr>
        <w:rFonts w:ascii="Times New Roman" w:hAnsi="Times New Roman"/>
        <w:sz w:val="20"/>
      </w:rPr>
      <w:tab/>
    </w:r>
    <w:r w:rsidRPr="008D3AB8">
      <w:rPr>
        <w:rFonts w:ascii="Times New Roman" w:hAnsi="Times New Roman"/>
        <w:i/>
        <w:sz w:val="20"/>
      </w:rPr>
      <w:t>Seamen’s War Pensions and Allowances.</w:t>
    </w:r>
    <w:r w:rsidRPr="008D3AB8">
      <w:rPr>
        <w:rFonts w:ascii="Times New Roman" w:hAnsi="Times New Roman"/>
        <w:i/>
        <w:sz w:val="20"/>
      </w:rPr>
      <w:tab/>
    </w:r>
    <w:r w:rsidRPr="008D3AB8">
      <w:rPr>
        <w:rFonts w:ascii="Times New Roman" w:hAnsi="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25B51"/>
    <w:rsid w:val="000330F8"/>
    <w:rsid w:val="000421B2"/>
    <w:rsid w:val="00051309"/>
    <w:rsid w:val="000567E5"/>
    <w:rsid w:val="00095FA5"/>
    <w:rsid w:val="000A33EB"/>
    <w:rsid w:val="000E24C9"/>
    <w:rsid w:val="000E3709"/>
    <w:rsid w:val="001057FE"/>
    <w:rsid w:val="00162531"/>
    <w:rsid w:val="0018090A"/>
    <w:rsid w:val="001928BD"/>
    <w:rsid w:val="001A28B7"/>
    <w:rsid w:val="001B375A"/>
    <w:rsid w:val="001B786A"/>
    <w:rsid w:val="001C469B"/>
    <w:rsid w:val="00210F21"/>
    <w:rsid w:val="00242576"/>
    <w:rsid w:val="00251CFF"/>
    <w:rsid w:val="00252A28"/>
    <w:rsid w:val="002546FA"/>
    <w:rsid w:val="0026786D"/>
    <w:rsid w:val="002904C4"/>
    <w:rsid w:val="002E25C5"/>
    <w:rsid w:val="002E457E"/>
    <w:rsid w:val="00334824"/>
    <w:rsid w:val="00366DF0"/>
    <w:rsid w:val="003679DC"/>
    <w:rsid w:val="003832C6"/>
    <w:rsid w:val="0039425C"/>
    <w:rsid w:val="00396ACC"/>
    <w:rsid w:val="003A0EF0"/>
    <w:rsid w:val="003A50D2"/>
    <w:rsid w:val="004215B4"/>
    <w:rsid w:val="00431543"/>
    <w:rsid w:val="0043288D"/>
    <w:rsid w:val="00463776"/>
    <w:rsid w:val="004F4607"/>
    <w:rsid w:val="004F5017"/>
    <w:rsid w:val="005050BE"/>
    <w:rsid w:val="00533E50"/>
    <w:rsid w:val="005419E6"/>
    <w:rsid w:val="00575172"/>
    <w:rsid w:val="005817B3"/>
    <w:rsid w:val="00592529"/>
    <w:rsid w:val="00592D3F"/>
    <w:rsid w:val="00597536"/>
    <w:rsid w:val="005B2DA1"/>
    <w:rsid w:val="005B2E43"/>
    <w:rsid w:val="005C348B"/>
    <w:rsid w:val="005F1756"/>
    <w:rsid w:val="006326C6"/>
    <w:rsid w:val="006566C6"/>
    <w:rsid w:val="00656B4E"/>
    <w:rsid w:val="00666116"/>
    <w:rsid w:val="006A608C"/>
    <w:rsid w:val="006B1F6F"/>
    <w:rsid w:val="006C2ED7"/>
    <w:rsid w:val="006C3487"/>
    <w:rsid w:val="006D0EDD"/>
    <w:rsid w:val="00733175"/>
    <w:rsid w:val="00740B7C"/>
    <w:rsid w:val="00767BD0"/>
    <w:rsid w:val="00791412"/>
    <w:rsid w:val="00796EE5"/>
    <w:rsid w:val="007C0338"/>
    <w:rsid w:val="007C4BEA"/>
    <w:rsid w:val="007D05CB"/>
    <w:rsid w:val="00803239"/>
    <w:rsid w:val="00803D0C"/>
    <w:rsid w:val="008110AE"/>
    <w:rsid w:val="008323F2"/>
    <w:rsid w:val="00841F5F"/>
    <w:rsid w:val="008454CB"/>
    <w:rsid w:val="008462E2"/>
    <w:rsid w:val="008A718C"/>
    <w:rsid w:val="008B29BE"/>
    <w:rsid w:val="008B4C99"/>
    <w:rsid w:val="008D3AB8"/>
    <w:rsid w:val="008E4AC2"/>
    <w:rsid w:val="009158EB"/>
    <w:rsid w:val="00951AEE"/>
    <w:rsid w:val="00971FBA"/>
    <w:rsid w:val="00977D35"/>
    <w:rsid w:val="00980B47"/>
    <w:rsid w:val="009D27C5"/>
    <w:rsid w:val="009E5179"/>
    <w:rsid w:val="00AC2005"/>
    <w:rsid w:val="00AE19C8"/>
    <w:rsid w:val="00AE4EC7"/>
    <w:rsid w:val="00AF5EC7"/>
    <w:rsid w:val="00B05B9C"/>
    <w:rsid w:val="00B22817"/>
    <w:rsid w:val="00BC6A57"/>
    <w:rsid w:val="00BE1551"/>
    <w:rsid w:val="00BE7CBB"/>
    <w:rsid w:val="00C13E5B"/>
    <w:rsid w:val="00C55133"/>
    <w:rsid w:val="00C55D91"/>
    <w:rsid w:val="00C71EFE"/>
    <w:rsid w:val="00CD4D66"/>
    <w:rsid w:val="00CE2D3C"/>
    <w:rsid w:val="00CE6305"/>
    <w:rsid w:val="00CF1125"/>
    <w:rsid w:val="00CF25B7"/>
    <w:rsid w:val="00CF5ABB"/>
    <w:rsid w:val="00D311BE"/>
    <w:rsid w:val="00D55B6D"/>
    <w:rsid w:val="00D95728"/>
    <w:rsid w:val="00D95BE8"/>
    <w:rsid w:val="00DA5A85"/>
    <w:rsid w:val="00DE69F4"/>
    <w:rsid w:val="00DE6DE8"/>
    <w:rsid w:val="00E07C3D"/>
    <w:rsid w:val="00E31F5D"/>
    <w:rsid w:val="00E35164"/>
    <w:rsid w:val="00E45264"/>
    <w:rsid w:val="00E56E03"/>
    <w:rsid w:val="00E8108A"/>
    <w:rsid w:val="00EB2C4B"/>
    <w:rsid w:val="00EC5C56"/>
    <w:rsid w:val="00EE3828"/>
    <w:rsid w:val="00F2076B"/>
    <w:rsid w:val="00F53BB5"/>
    <w:rsid w:val="00F65567"/>
    <w:rsid w:val="00F91887"/>
    <w:rsid w:val="00F938AC"/>
    <w:rsid w:val="00FA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semiHidden/>
    <w:unhideWhenUsed/>
    <w:rsid w:val="008D3A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3AB8"/>
  </w:style>
  <w:style w:type="paragraph" w:styleId="Footer">
    <w:name w:val="footer"/>
    <w:basedOn w:val="Normal"/>
    <w:link w:val="FooterChar"/>
    <w:uiPriority w:val="99"/>
    <w:semiHidden/>
    <w:unhideWhenUsed/>
    <w:rsid w:val="008D3A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3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2017-04-24T11:32:00Z</dcterms:created>
  <dcterms:modified xsi:type="dcterms:W3CDTF">2018-08-08T22:20:00Z</dcterms:modified>
</cp:coreProperties>
</file>