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AB" w:rsidRPr="00DE208C" w:rsidRDefault="007E02AB" w:rsidP="00DE208C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DE208C">
        <w:rPr>
          <w:rFonts w:ascii="Times New Roman" w:hAnsi="Times New Roman"/>
          <w:sz w:val="36"/>
        </w:rPr>
        <w:t>DIPLOMATIC IMMUNITIES</w:t>
      </w:r>
      <w:r w:rsidR="002D4D69">
        <w:rPr>
          <w:rFonts w:ascii="Times New Roman" w:hAnsi="Times New Roman"/>
          <w:sz w:val="36"/>
        </w:rPr>
        <w:t>.</w:t>
      </w:r>
    </w:p>
    <w:p w:rsidR="00DE208C" w:rsidRPr="009E5724" w:rsidRDefault="00DE208C" w:rsidP="00DE208C">
      <w:pPr>
        <w:pBdr>
          <w:top w:val="single" w:sz="4" w:space="1" w:color="auto"/>
        </w:pBdr>
        <w:spacing w:before="120" w:after="0" w:line="240" w:lineRule="auto"/>
        <w:ind w:left="4032" w:right="4032"/>
        <w:jc w:val="center"/>
        <w:rPr>
          <w:rFonts w:ascii="Times New Roman" w:hAnsi="Times New Roman"/>
          <w:sz w:val="12"/>
        </w:rPr>
      </w:pPr>
    </w:p>
    <w:p w:rsidR="007E02AB" w:rsidRPr="00DE208C" w:rsidRDefault="0011075D" w:rsidP="00944DF5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DE208C">
        <w:rPr>
          <w:rFonts w:ascii="Times New Roman" w:hAnsi="Times New Roman"/>
          <w:b/>
          <w:sz w:val="28"/>
        </w:rPr>
        <w:t>No. 2 of 1958.</w:t>
      </w:r>
    </w:p>
    <w:p w:rsidR="007E02AB" w:rsidRPr="00DE208C" w:rsidRDefault="007E02AB" w:rsidP="00DE208C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DE208C">
        <w:rPr>
          <w:rFonts w:ascii="Times New Roman" w:hAnsi="Times New Roman"/>
          <w:sz w:val="26"/>
        </w:rPr>
        <w:t xml:space="preserve">An Act to amend the </w:t>
      </w:r>
      <w:r w:rsidR="0011075D" w:rsidRPr="00DE208C">
        <w:rPr>
          <w:rFonts w:ascii="Times New Roman" w:hAnsi="Times New Roman"/>
          <w:i/>
          <w:sz w:val="26"/>
        </w:rPr>
        <w:t xml:space="preserve">Diplomatic Immunities Act </w:t>
      </w:r>
      <w:r w:rsidRPr="00DE208C">
        <w:rPr>
          <w:rFonts w:ascii="Times New Roman" w:hAnsi="Times New Roman"/>
          <w:sz w:val="26"/>
        </w:rPr>
        <w:t>1952.</w:t>
      </w:r>
    </w:p>
    <w:p w:rsidR="007E02AB" w:rsidRPr="00DE208C" w:rsidRDefault="007E02AB" w:rsidP="00DE208C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DE208C">
        <w:rPr>
          <w:rFonts w:ascii="Times New Roman" w:hAnsi="Times New Roman"/>
          <w:sz w:val="26"/>
        </w:rPr>
        <w:t>[Assented to 3rd April, 1958.]</w:t>
      </w:r>
    </w:p>
    <w:p w:rsidR="007E02AB" w:rsidRPr="00BC0626" w:rsidRDefault="007E02AB" w:rsidP="00DE208C">
      <w:pPr>
        <w:spacing w:after="0" w:line="240" w:lineRule="auto"/>
        <w:jc w:val="both"/>
        <w:rPr>
          <w:rFonts w:ascii="Times New Roman" w:hAnsi="Times New Roman"/>
        </w:rPr>
      </w:pPr>
      <w:r w:rsidRPr="00BC0626">
        <w:rPr>
          <w:rFonts w:ascii="Times New Roman" w:hAnsi="Times New Roman"/>
        </w:rPr>
        <w:t>BE it enacted by the Queen</w:t>
      </w:r>
      <w:r w:rsidR="00FC070D" w:rsidRPr="00BC0626">
        <w:rPr>
          <w:rFonts w:ascii="Times New Roman" w:hAnsi="Times New Roman"/>
        </w:rPr>
        <w:t>’</w:t>
      </w:r>
      <w:r w:rsidRPr="00BC0626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E02AB" w:rsidRPr="00DE208C" w:rsidRDefault="0011075D" w:rsidP="005119DA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t>Short title and citation.</w:t>
      </w:r>
    </w:p>
    <w:p w:rsidR="007E02AB" w:rsidRPr="0011075D" w:rsidRDefault="0011075D" w:rsidP="005119DA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1</w:t>
      </w:r>
      <w:r w:rsidR="007E02AB" w:rsidRPr="00BC0626">
        <w:rPr>
          <w:rFonts w:ascii="Times New Roman" w:hAnsi="Times New Roman"/>
          <w:b/>
        </w:rPr>
        <w:t>.</w:t>
      </w:r>
      <w:r w:rsidR="007E02AB" w:rsidRPr="0011075D">
        <w:rPr>
          <w:rFonts w:ascii="Times New Roman" w:hAnsi="Times New Roman"/>
        </w:rPr>
        <w:t>—(1.)</w:t>
      </w:r>
      <w:r w:rsidR="00DE208C">
        <w:rPr>
          <w:rFonts w:ascii="Times New Roman" w:hAnsi="Times New Roman"/>
        </w:rPr>
        <w:tab/>
      </w:r>
      <w:r w:rsidR="007E02AB" w:rsidRPr="0011075D">
        <w:rPr>
          <w:rFonts w:ascii="Times New Roman" w:hAnsi="Times New Roman"/>
        </w:rPr>
        <w:t xml:space="preserve">This Act may be cited as the </w:t>
      </w:r>
      <w:r w:rsidRPr="0011075D">
        <w:rPr>
          <w:rFonts w:ascii="Times New Roman" w:hAnsi="Times New Roman"/>
          <w:i/>
        </w:rPr>
        <w:t xml:space="preserve">Diplomatic Immunities Act </w:t>
      </w:r>
      <w:r w:rsidR="007E02AB" w:rsidRPr="0011075D">
        <w:rPr>
          <w:rFonts w:ascii="Times New Roman" w:hAnsi="Times New Roman"/>
        </w:rPr>
        <w:t>1958.</w:t>
      </w:r>
    </w:p>
    <w:p w:rsidR="007E02AB" w:rsidRPr="0011075D" w:rsidRDefault="007E02AB" w:rsidP="005119DA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</w:rPr>
        <w:t>(2.)</w:t>
      </w:r>
      <w:r w:rsidR="00DE208C">
        <w:rPr>
          <w:rFonts w:ascii="Times New Roman" w:hAnsi="Times New Roman"/>
        </w:rPr>
        <w:tab/>
      </w:r>
      <w:r w:rsidRPr="0011075D">
        <w:rPr>
          <w:rFonts w:ascii="Times New Roman" w:hAnsi="Times New Roman"/>
        </w:rPr>
        <w:t xml:space="preserve">The </w:t>
      </w:r>
      <w:r w:rsidR="0011075D" w:rsidRPr="0011075D">
        <w:rPr>
          <w:rFonts w:ascii="Times New Roman" w:hAnsi="Times New Roman"/>
          <w:i/>
        </w:rPr>
        <w:t xml:space="preserve">Diplomatic Immunities Act </w:t>
      </w:r>
      <w:r w:rsidR="00BC0626">
        <w:rPr>
          <w:rFonts w:ascii="Times New Roman" w:hAnsi="Times New Roman"/>
        </w:rPr>
        <w:t>1952</w:t>
      </w:r>
      <w:r w:rsidRPr="0011075D">
        <w:rPr>
          <w:rFonts w:ascii="Times New Roman" w:hAnsi="Times New Roman"/>
        </w:rPr>
        <w:t xml:space="preserve"> is in this Act referred to as the Principal Act.</w:t>
      </w:r>
    </w:p>
    <w:p w:rsidR="007E02AB" w:rsidRPr="0011075D" w:rsidRDefault="007E02AB" w:rsidP="005119DA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</w:rPr>
        <w:t>(3.)</w:t>
      </w:r>
      <w:r w:rsidR="005119DA">
        <w:rPr>
          <w:rFonts w:ascii="Times New Roman" w:hAnsi="Times New Roman"/>
        </w:rPr>
        <w:tab/>
      </w:r>
      <w:r w:rsidRPr="0011075D">
        <w:rPr>
          <w:rFonts w:ascii="Times New Roman" w:hAnsi="Times New Roman"/>
        </w:rPr>
        <w:t>Th</w:t>
      </w:r>
      <w:r w:rsidR="005119DA">
        <w:rPr>
          <w:rFonts w:ascii="Times New Roman" w:hAnsi="Times New Roman"/>
        </w:rPr>
        <w:t>e</w:t>
      </w:r>
      <w:r w:rsidRPr="0011075D">
        <w:rPr>
          <w:rFonts w:ascii="Times New Roman" w:hAnsi="Times New Roman"/>
        </w:rPr>
        <w:t xml:space="preserve"> Principal Act, as amended by this Act, may be cited as the </w:t>
      </w:r>
      <w:r w:rsidR="0011075D" w:rsidRPr="0011075D">
        <w:rPr>
          <w:rFonts w:ascii="Times New Roman" w:hAnsi="Times New Roman"/>
          <w:i/>
        </w:rPr>
        <w:t xml:space="preserve">Diplomatic Immunities Act </w:t>
      </w:r>
      <w:r w:rsidRPr="0011075D">
        <w:rPr>
          <w:rFonts w:ascii="Times New Roman" w:hAnsi="Times New Roman"/>
        </w:rPr>
        <w:t>1952</w:t>
      </w:r>
      <w:r w:rsidR="002F395D">
        <w:rPr>
          <w:rFonts w:ascii="Times New Roman" w:hAnsi="Times New Roman"/>
        </w:rPr>
        <w:t>–</w:t>
      </w:r>
      <w:r w:rsidRPr="0011075D">
        <w:rPr>
          <w:rFonts w:ascii="Times New Roman" w:hAnsi="Times New Roman"/>
        </w:rPr>
        <w:t>1958.</w:t>
      </w:r>
    </w:p>
    <w:p w:rsidR="007E02AB" w:rsidRPr="00DE208C" w:rsidRDefault="0011075D" w:rsidP="005119DA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t>Commencement.</w:t>
      </w:r>
    </w:p>
    <w:p w:rsidR="007E02AB" w:rsidRPr="0011075D" w:rsidRDefault="0011075D" w:rsidP="005119D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2.</w:t>
      </w:r>
      <w:r w:rsidR="00DE208C">
        <w:rPr>
          <w:rFonts w:ascii="Times New Roman" w:hAnsi="Times New Roman"/>
          <w:b/>
        </w:rPr>
        <w:tab/>
      </w:r>
      <w:r w:rsidR="007E02AB" w:rsidRPr="0011075D">
        <w:rPr>
          <w:rFonts w:ascii="Times New Roman" w:hAnsi="Times New Roman"/>
        </w:rPr>
        <w:t>This Act shall come into operation on the day on which it receives the Royal Assent.</w:t>
      </w:r>
    </w:p>
    <w:p w:rsidR="007E02AB" w:rsidRPr="00DE208C" w:rsidRDefault="0011075D" w:rsidP="005119DA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t>Title</w:t>
      </w:r>
      <w:r w:rsidR="007E02AB" w:rsidRPr="00DE208C">
        <w:rPr>
          <w:rFonts w:ascii="Times New Roman" w:hAnsi="Times New Roman"/>
          <w:sz w:val="20"/>
        </w:rPr>
        <w:t>.</w:t>
      </w:r>
    </w:p>
    <w:p w:rsidR="007E02AB" w:rsidRPr="0011075D" w:rsidRDefault="0011075D" w:rsidP="005119D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3</w:t>
      </w:r>
      <w:r w:rsidR="007E02AB" w:rsidRPr="00BC0626">
        <w:rPr>
          <w:rFonts w:ascii="Times New Roman" w:hAnsi="Times New Roman"/>
          <w:b/>
        </w:rPr>
        <w:t>.</w:t>
      </w:r>
      <w:r w:rsidR="00DE208C">
        <w:rPr>
          <w:rFonts w:ascii="Times New Roman" w:hAnsi="Times New Roman"/>
        </w:rPr>
        <w:tab/>
      </w:r>
      <w:r w:rsidR="007E02AB" w:rsidRPr="0011075D">
        <w:rPr>
          <w:rFonts w:ascii="Times New Roman" w:hAnsi="Times New Roman"/>
        </w:rPr>
        <w:t xml:space="preserve">The title of the Principal Act is amended by omitting the words </w:t>
      </w:r>
      <w:r w:rsidR="00FC070D">
        <w:rPr>
          <w:rFonts w:ascii="Times New Roman" w:hAnsi="Times New Roman"/>
        </w:rPr>
        <w:t>“</w:t>
      </w:r>
      <w:r w:rsidR="007E02AB" w:rsidRPr="0011075D">
        <w:rPr>
          <w:rFonts w:ascii="Times New Roman" w:hAnsi="Times New Roman"/>
        </w:rPr>
        <w:t>parts of the Queen</w:t>
      </w:r>
      <w:r w:rsidR="00FC070D">
        <w:rPr>
          <w:rFonts w:ascii="Times New Roman" w:hAnsi="Times New Roman"/>
        </w:rPr>
        <w:t>’</w:t>
      </w:r>
      <w:r w:rsidR="007E02AB" w:rsidRPr="0011075D">
        <w:rPr>
          <w:rFonts w:ascii="Times New Roman" w:hAnsi="Times New Roman"/>
        </w:rPr>
        <w:t>s dominions</w:t>
      </w:r>
      <w:r w:rsidR="00FC070D">
        <w:rPr>
          <w:rFonts w:ascii="Times New Roman" w:hAnsi="Times New Roman"/>
        </w:rPr>
        <w:t>”</w:t>
      </w:r>
      <w:r w:rsidR="007E02AB" w:rsidRPr="0011075D">
        <w:rPr>
          <w:rFonts w:ascii="Times New Roman" w:hAnsi="Times New Roman"/>
        </w:rPr>
        <w:t xml:space="preserve"> and inserting in their stead the words </w:t>
      </w:r>
      <w:r w:rsidR="00FC070D">
        <w:rPr>
          <w:rFonts w:ascii="Times New Roman" w:hAnsi="Times New Roman"/>
        </w:rPr>
        <w:t>“</w:t>
      </w:r>
      <w:r w:rsidR="007E02AB" w:rsidRPr="0011075D">
        <w:rPr>
          <w:rFonts w:ascii="Times New Roman" w:hAnsi="Times New Roman"/>
        </w:rPr>
        <w:t>Countries within the Commonwealth of Nations</w:t>
      </w:r>
      <w:r w:rsidR="00FC070D">
        <w:rPr>
          <w:rFonts w:ascii="Times New Roman" w:hAnsi="Times New Roman"/>
        </w:rPr>
        <w:t>”</w:t>
      </w:r>
      <w:r w:rsidR="007E02AB" w:rsidRPr="0011075D">
        <w:rPr>
          <w:rFonts w:ascii="Times New Roman" w:hAnsi="Times New Roman"/>
        </w:rPr>
        <w:t>.</w:t>
      </w:r>
    </w:p>
    <w:p w:rsidR="007E02AB" w:rsidRPr="00DE208C" w:rsidRDefault="0011075D" w:rsidP="005119DA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t>Definitions</w:t>
      </w:r>
      <w:r w:rsidR="007E02AB" w:rsidRPr="00DE208C">
        <w:rPr>
          <w:rFonts w:ascii="Times New Roman" w:hAnsi="Times New Roman"/>
          <w:sz w:val="20"/>
        </w:rPr>
        <w:t>.</w:t>
      </w:r>
    </w:p>
    <w:p w:rsidR="007E02AB" w:rsidRPr="0011075D" w:rsidRDefault="0011075D" w:rsidP="005119D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4</w:t>
      </w:r>
      <w:r w:rsidR="007E02AB" w:rsidRPr="0011075D">
        <w:rPr>
          <w:rFonts w:ascii="Times New Roman" w:hAnsi="Times New Roman"/>
        </w:rPr>
        <w:t>.</w:t>
      </w:r>
      <w:r w:rsidR="00DE208C">
        <w:rPr>
          <w:rFonts w:ascii="Times New Roman" w:hAnsi="Times New Roman"/>
        </w:rPr>
        <w:tab/>
      </w:r>
      <w:r w:rsidR="007E02AB" w:rsidRPr="0011075D">
        <w:rPr>
          <w:rFonts w:ascii="Times New Roman" w:hAnsi="Times New Roman"/>
        </w:rPr>
        <w:t>Section two of the Principal Act is amended—</w:t>
      </w:r>
    </w:p>
    <w:p w:rsidR="007E02AB" w:rsidRPr="0011075D" w:rsidRDefault="007E02AB" w:rsidP="005119DA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</w:rPr>
        <w:t>(</w:t>
      </w:r>
      <w:r w:rsidR="0011075D" w:rsidRPr="0011075D">
        <w:rPr>
          <w:rFonts w:ascii="Times New Roman" w:hAnsi="Times New Roman"/>
          <w:i/>
        </w:rPr>
        <w:t>a</w:t>
      </w:r>
      <w:r w:rsidRPr="0011075D">
        <w:rPr>
          <w:rFonts w:ascii="Times New Roman" w:hAnsi="Times New Roman"/>
        </w:rPr>
        <w:t>)</w:t>
      </w:r>
      <w:r w:rsidR="0011075D" w:rsidRPr="0011075D">
        <w:rPr>
          <w:rFonts w:ascii="Times New Roman" w:hAnsi="Times New Roman"/>
          <w:i/>
        </w:rPr>
        <w:t xml:space="preserve"> </w:t>
      </w:r>
      <w:r w:rsidRPr="0011075D">
        <w:rPr>
          <w:rFonts w:ascii="Times New Roman" w:hAnsi="Times New Roman"/>
        </w:rPr>
        <w:t xml:space="preserve">by inserting before the definition of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chief representative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the following definition:—</w:t>
      </w:r>
    </w:p>
    <w:p w:rsidR="007E02AB" w:rsidRPr="0011075D" w:rsidRDefault="00FC070D" w:rsidP="005119DA">
      <w:pPr>
        <w:spacing w:after="0" w:line="240" w:lineRule="auto"/>
        <w:ind w:left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“‘</w:t>
      </w:r>
      <w:r w:rsidR="007E02AB" w:rsidRPr="0011075D">
        <w:rPr>
          <w:rFonts w:ascii="Times New Roman" w:hAnsi="Times New Roman"/>
        </w:rPr>
        <w:t>Australia</w:t>
      </w:r>
      <w:r>
        <w:rPr>
          <w:rFonts w:ascii="Times New Roman" w:hAnsi="Times New Roman"/>
        </w:rPr>
        <w:t>’</w:t>
      </w:r>
      <w:r w:rsidR="007E02AB" w:rsidRPr="0011075D">
        <w:rPr>
          <w:rFonts w:ascii="Times New Roman" w:hAnsi="Times New Roman"/>
        </w:rPr>
        <w:t xml:space="preserve"> means the Commonwealth of Australia;</w:t>
      </w:r>
      <w:r>
        <w:rPr>
          <w:rFonts w:ascii="Times New Roman" w:hAnsi="Times New Roman"/>
        </w:rPr>
        <w:t>”</w:t>
      </w:r>
      <w:r w:rsidR="007E02AB" w:rsidRPr="0011075D">
        <w:rPr>
          <w:rFonts w:ascii="Times New Roman" w:hAnsi="Times New Roman"/>
        </w:rPr>
        <w:t>;</w:t>
      </w:r>
    </w:p>
    <w:p w:rsidR="007E02AB" w:rsidRPr="0011075D" w:rsidRDefault="007E02AB" w:rsidP="005119DA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</w:rPr>
        <w:t>(</w:t>
      </w:r>
      <w:r w:rsidR="0011075D" w:rsidRPr="0011075D">
        <w:rPr>
          <w:rFonts w:ascii="Times New Roman" w:hAnsi="Times New Roman"/>
          <w:i/>
        </w:rPr>
        <w:t>b</w:t>
      </w:r>
      <w:r w:rsidRPr="0011075D">
        <w:rPr>
          <w:rFonts w:ascii="Times New Roman" w:hAnsi="Times New Roman"/>
        </w:rPr>
        <w:t>)</w:t>
      </w:r>
      <w:r w:rsidR="0011075D" w:rsidRPr="0011075D">
        <w:rPr>
          <w:rFonts w:ascii="Times New Roman" w:hAnsi="Times New Roman"/>
          <w:i/>
        </w:rPr>
        <w:t xml:space="preserve"> </w:t>
      </w:r>
      <w:r w:rsidRPr="0011075D">
        <w:rPr>
          <w:rFonts w:ascii="Times New Roman" w:hAnsi="Times New Roman"/>
        </w:rPr>
        <w:t xml:space="preserve">by omitting from the definition of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chief representative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the words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the Commonwealth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and inserting in their stead the word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Australia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>; and</w:t>
      </w:r>
    </w:p>
    <w:p w:rsidR="007E02AB" w:rsidRPr="0011075D" w:rsidRDefault="007E02AB" w:rsidP="005119DA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</w:rPr>
        <w:t>(</w:t>
      </w:r>
      <w:r w:rsidR="0011075D" w:rsidRPr="0011075D">
        <w:rPr>
          <w:rFonts w:ascii="Times New Roman" w:hAnsi="Times New Roman"/>
          <w:i/>
        </w:rPr>
        <w:t>c</w:t>
      </w:r>
      <w:r w:rsidRPr="0011075D">
        <w:rPr>
          <w:rFonts w:ascii="Times New Roman" w:hAnsi="Times New Roman"/>
        </w:rPr>
        <w:t>)</w:t>
      </w:r>
      <w:r w:rsidR="0011075D" w:rsidRPr="0011075D">
        <w:rPr>
          <w:rFonts w:ascii="Times New Roman" w:hAnsi="Times New Roman"/>
          <w:i/>
        </w:rPr>
        <w:t xml:space="preserve"> </w:t>
      </w:r>
      <w:r w:rsidRPr="0011075D">
        <w:rPr>
          <w:rFonts w:ascii="Times New Roman" w:hAnsi="Times New Roman"/>
        </w:rPr>
        <w:t xml:space="preserve">by omitting from the definition of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country to which this Act applies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all the words after the word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Ceylon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and inserting in their stead the words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,</w:t>
      </w:r>
      <w:r w:rsidR="00922EE2">
        <w:rPr>
          <w:rFonts w:ascii="Times New Roman" w:hAnsi="Times New Roman"/>
        </w:rPr>
        <w:t xml:space="preserve"> </w:t>
      </w:r>
      <w:r w:rsidRPr="0011075D">
        <w:rPr>
          <w:rFonts w:ascii="Times New Roman" w:hAnsi="Times New Roman"/>
        </w:rPr>
        <w:t>the Federation of Malaya, Ghana or a country declared by the regulations to be a country within the Commonwealth of Nations to which this Act applies;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>.</w:t>
      </w:r>
    </w:p>
    <w:p w:rsidR="007E02AB" w:rsidRPr="0011075D" w:rsidRDefault="0011075D" w:rsidP="005119D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5</w:t>
      </w:r>
      <w:r w:rsidR="007E02AB" w:rsidRPr="00BC0626">
        <w:rPr>
          <w:rFonts w:ascii="Times New Roman" w:hAnsi="Times New Roman"/>
          <w:b/>
        </w:rPr>
        <w:t>.</w:t>
      </w:r>
      <w:r w:rsidR="00DE208C">
        <w:rPr>
          <w:rFonts w:ascii="Times New Roman" w:hAnsi="Times New Roman"/>
        </w:rPr>
        <w:tab/>
      </w:r>
      <w:r w:rsidR="007E02AB" w:rsidRPr="0011075D">
        <w:rPr>
          <w:rFonts w:ascii="Times New Roman" w:hAnsi="Times New Roman"/>
        </w:rPr>
        <w:t>Section three of the Principal Act is repealed and the following section inserted in its stead:—</w:t>
      </w:r>
    </w:p>
    <w:p w:rsidR="007E02AB" w:rsidRPr="00DE208C" w:rsidRDefault="0011075D" w:rsidP="005119DA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t>Application</w:t>
      </w:r>
      <w:r w:rsidR="007E02AB" w:rsidRPr="00DE208C">
        <w:rPr>
          <w:rFonts w:ascii="Times New Roman" w:hAnsi="Times New Roman"/>
          <w:sz w:val="20"/>
        </w:rPr>
        <w:t>.</w:t>
      </w:r>
    </w:p>
    <w:p w:rsidR="007E02AB" w:rsidRPr="0011075D" w:rsidRDefault="00FC070D" w:rsidP="002E52E6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E02AB" w:rsidRPr="0011075D">
        <w:rPr>
          <w:rFonts w:ascii="Times New Roman" w:hAnsi="Times New Roman"/>
        </w:rPr>
        <w:t>3.</w:t>
      </w:r>
      <w:r w:rsidR="00DE208C">
        <w:rPr>
          <w:rFonts w:ascii="Times New Roman" w:hAnsi="Times New Roman"/>
        </w:rPr>
        <w:tab/>
      </w:r>
      <w:r w:rsidR="007E02AB" w:rsidRPr="0011075D">
        <w:rPr>
          <w:rFonts w:ascii="Times New Roman" w:hAnsi="Times New Roman"/>
        </w:rPr>
        <w:t>This Act extends to all the Territories of Australia, including any Territory governed by Australia under a Trusteeship Agreement.</w:t>
      </w:r>
      <w:r>
        <w:rPr>
          <w:rFonts w:ascii="Times New Roman" w:hAnsi="Times New Roman"/>
        </w:rPr>
        <w:t>”</w:t>
      </w:r>
      <w:r w:rsidR="007E02AB" w:rsidRPr="0011075D">
        <w:rPr>
          <w:rFonts w:ascii="Times New Roman" w:hAnsi="Times New Roman"/>
        </w:rPr>
        <w:t>.</w:t>
      </w:r>
    </w:p>
    <w:p w:rsidR="00DE208C" w:rsidRDefault="00DE208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E208C" w:rsidRPr="00DE208C" w:rsidRDefault="00DE208C" w:rsidP="00DE208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lastRenderedPageBreak/>
        <w:t>Regulations may modify application of Act.</w:t>
      </w:r>
    </w:p>
    <w:p w:rsidR="00DE208C" w:rsidRPr="0011075D" w:rsidRDefault="00DE208C" w:rsidP="00DE208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6</w:t>
      </w:r>
      <w:r w:rsidRPr="00BC0626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 w:rsidRPr="0011075D">
        <w:rPr>
          <w:rFonts w:ascii="Times New Roman" w:hAnsi="Times New Roman"/>
        </w:rPr>
        <w:t xml:space="preserve">Section six of the Principal Act is amended by omitting the words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the Commonwealth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(wherever occurring) and inserting in their stead the word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Australia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>.</w:t>
      </w:r>
    </w:p>
    <w:p w:rsidR="00DE208C" w:rsidRPr="00DE208C" w:rsidRDefault="00DE208C" w:rsidP="00DE208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E208C">
        <w:rPr>
          <w:rFonts w:ascii="Times New Roman" w:hAnsi="Times New Roman"/>
          <w:b/>
          <w:sz w:val="20"/>
        </w:rPr>
        <w:t>Regulations may confer consular immunity on certain persons</w:t>
      </w:r>
      <w:r w:rsidRPr="00DE208C">
        <w:rPr>
          <w:rFonts w:ascii="Times New Roman" w:hAnsi="Times New Roman"/>
          <w:sz w:val="20"/>
        </w:rPr>
        <w:t>.</w:t>
      </w:r>
    </w:p>
    <w:p w:rsidR="00DE208C" w:rsidRDefault="00DE208C" w:rsidP="00DE208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11075D">
        <w:rPr>
          <w:rFonts w:ascii="Times New Roman" w:hAnsi="Times New Roman"/>
          <w:b/>
        </w:rPr>
        <w:t>7</w:t>
      </w:r>
      <w:bookmarkStart w:id="0" w:name="_GoBack"/>
      <w:r w:rsidRPr="00BC0626">
        <w:rPr>
          <w:rFonts w:ascii="Times New Roman" w:hAnsi="Times New Roman"/>
          <w:b/>
        </w:rPr>
        <w:t>.</w:t>
      </w:r>
      <w:bookmarkEnd w:id="0"/>
      <w:r>
        <w:rPr>
          <w:rFonts w:ascii="Times New Roman" w:hAnsi="Times New Roman"/>
        </w:rPr>
        <w:tab/>
      </w:r>
      <w:r w:rsidRPr="0011075D">
        <w:rPr>
          <w:rFonts w:ascii="Times New Roman" w:hAnsi="Times New Roman"/>
        </w:rPr>
        <w:t xml:space="preserve">Section seven of the Principal Act is amended by omitting the words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a prescribed part of the Queen</w:t>
      </w:r>
      <w:r w:rsidR="00FC070D">
        <w:rPr>
          <w:rFonts w:ascii="Times New Roman" w:hAnsi="Times New Roman"/>
        </w:rPr>
        <w:t>’</w:t>
      </w:r>
      <w:r w:rsidRPr="0011075D">
        <w:rPr>
          <w:rFonts w:ascii="Times New Roman" w:hAnsi="Times New Roman"/>
        </w:rPr>
        <w:t>s dominions, not being a country to which this Act applies,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 xml:space="preserve"> and inserting in their stead the words </w:t>
      </w:r>
      <w:r w:rsidR="00FC070D">
        <w:rPr>
          <w:rFonts w:ascii="Times New Roman" w:hAnsi="Times New Roman"/>
        </w:rPr>
        <w:t>“</w:t>
      </w:r>
      <w:r w:rsidRPr="0011075D">
        <w:rPr>
          <w:rFonts w:ascii="Times New Roman" w:hAnsi="Times New Roman"/>
        </w:rPr>
        <w:t>a place (not being a country to which this Act applies) declared by the regulations to be a place within the Commonwealth of Nations to which this section applies</w:t>
      </w:r>
      <w:r w:rsidR="00FC070D">
        <w:rPr>
          <w:rFonts w:ascii="Times New Roman" w:hAnsi="Times New Roman"/>
        </w:rPr>
        <w:t>”</w:t>
      </w:r>
      <w:r w:rsidRPr="0011075D">
        <w:rPr>
          <w:rFonts w:ascii="Times New Roman" w:hAnsi="Times New Roman"/>
        </w:rPr>
        <w:t>.</w:t>
      </w:r>
    </w:p>
    <w:p w:rsidR="006A24E7" w:rsidRDefault="006A24E7" w:rsidP="006A24E7">
      <w:pPr>
        <w:pBdr>
          <w:bottom w:val="single" w:sz="4" w:space="1" w:color="auto"/>
        </w:pBdr>
        <w:spacing w:before="12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6A24E7" w:rsidSect="00E67856">
      <w:headerReference w:type="even" r:id="rId8"/>
      <w:head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81" w:rsidRDefault="00DE6181" w:rsidP="00DE208C">
      <w:pPr>
        <w:spacing w:after="0" w:line="240" w:lineRule="auto"/>
      </w:pPr>
      <w:r>
        <w:separator/>
      </w:r>
    </w:p>
  </w:endnote>
  <w:endnote w:type="continuationSeparator" w:id="0">
    <w:p w:rsidR="00DE6181" w:rsidRDefault="00DE6181" w:rsidP="00DE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81" w:rsidRDefault="00DE6181" w:rsidP="00DE208C">
      <w:pPr>
        <w:spacing w:after="0" w:line="240" w:lineRule="auto"/>
      </w:pPr>
      <w:r>
        <w:separator/>
      </w:r>
    </w:p>
  </w:footnote>
  <w:footnote w:type="continuationSeparator" w:id="0">
    <w:p w:rsidR="00DE6181" w:rsidRDefault="00DE6181" w:rsidP="00DE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8C" w:rsidRPr="00DE208C" w:rsidRDefault="00DE208C" w:rsidP="00902C71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</w:rPr>
    </w:pPr>
    <w:r w:rsidRPr="00DE208C">
      <w:rPr>
        <w:rFonts w:ascii="Times New Roman" w:hAnsi="Times New Roman"/>
        <w:sz w:val="20"/>
      </w:rPr>
      <w:t>1958.</w:t>
    </w:r>
    <w:r w:rsidRPr="00DE208C">
      <w:rPr>
        <w:rFonts w:ascii="Times New Roman" w:hAnsi="Times New Roman"/>
        <w:sz w:val="20"/>
      </w:rPr>
      <w:ptab w:relativeTo="margin" w:alignment="center" w:leader="none"/>
    </w:r>
    <w:r w:rsidRPr="00DE208C">
      <w:rPr>
        <w:rFonts w:ascii="Times New Roman" w:hAnsi="Times New Roman"/>
        <w:i/>
        <w:sz w:val="20"/>
      </w:rPr>
      <w:t>Diplomatic Immunities.</w:t>
    </w:r>
    <w:r w:rsidR="00902C71">
      <w:rPr>
        <w:rFonts w:ascii="Times New Roman" w:hAnsi="Times New Roman"/>
        <w:i/>
        <w:sz w:val="20"/>
      </w:rPr>
      <w:tab/>
    </w:r>
    <w:r w:rsidRPr="00DE208C">
      <w:rPr>
        <w:rFonts w:ascii="Times New Roman" w:hAnsi="Times New Roman"/>
        <w:sz w:val="20"/>
      </w:rPr>
      <w:t>No. 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8C" w:rsidRPr="00DE208C" w:rsidRDefault="00DE208C" w:rsidP="00902C71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</w:rPr>
    </w:pPr>
    <w:r w:rsidRPr="00DE208C">
      <w:rPr>
        <w:rFonts w:ascii="Times New Roman" w:hAnsi="Times New Roman"/>
        <w:sz w:val="20"/>
      </w:rPr>
      <w:t>No. 2.</w:t>
    </w:r>
    <w:r w:rsidRPr="00DE208C">
      <w:rPr>
        <w:rFonts w:ascii="Times New Roman" w:hAnsi="Times New Roman"/>
        <w:sz w:val="20"/>
      </w:rPr>
      <w:ptab w:relativeTo="margin" w:alignment="center" w:leader="none"/>
    </w:r>
    <w:r w:rsidRPr="00DE208C">
      <w:rPr>
        <w:rFonts w:ascii="Times New Roman" w:hAnsi="Times New Roman"/>
        <w:i/>
        <w:sz w:val="20"/>
      </w:rPr>
      <w:t>Diplomatic Immunities.</w:t>
    </w:r>
    <w:r w:rsidR="00902C71">
      <w:rPr>
        <w:rFonts w:ascii="Times New Roman" w:hAnsi="Times New Roman"/>
        <w:i/>
        <w:sz w:val="20"/>
      </w:rPr>
      <w:tab/>
    </w:r>
    <w:r w:rsidRPr="00DE208C">
      <w:rPr>
        <w:rFonts w:ascii="Times New Roman" w:hAnsi="Times New Roman"/>
        <w:sz w:val="20"/>
      </w:rPr>
      <w:t>1958.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02AB"/>
    <w:rsid w:val="000707D5"/>
    <w:rsid w:val="000B10D4"/>
    <w:rsid w:val="0011075D"/>
    <w:rsid w:val="00276538"/>
    <w:rsid w:val="002D4D69"/>
    <w:rsid w:val="002E52E6"/>
    <w:rsid w:val="002F395D"/>
    <w:rsid w:val="005119DA"/>
    <w:rsid w:val="00567EF8"/>
    <w:rsid w:val="006A24E7"/>
    <w:rsid w:val="00757092"/>
    <w:rsid w:val="00786AAE"/>
    <w:rsid w:val="00792F2B"/>
    <w:rsid w:val="007E02AB"/>
    <w:rsid w:val="00902C71"/>
    <w:rsid w:val="00922EE2"/>
    <w:rsid w:val="00944DF5"/>
    <w:rsid w:val="00A22541"/>
    <w:rsid w:val="00A75B25"/>
    <w:rsid w:val="00BC0626"/>
    <w:rsid w:val="00C3404B"/>
    <w:rsid w:val="00D63834"/>
    <w:rsid w:val="00DE208C"/>
    <w:rsid w:val="00DE6181"/>
    <w:rsid w:val="00E67856"/>
    <w:rsid w:val="00F74104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5">
    <w:name w:val="Style75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">
    <w:name w:val="Style100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">
    <w:name w:val="Style115"/>
    <w:basedOn w:val="Normal"/>
    <w:rsid w:val="007E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7E02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8">
    <w:name w:val="CharStyle38"/>
    <w:basedOn w:val="DefaultParagraphFont"/>
    <w:rsid w:val="007E02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43">
    <w:name w:val="CharStyle43"/>
    <w:basedOn w:val="DefaultParagraphFont"/>
    <w:rsid w:val="007E02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3">
    <w:name w:val="CharStyle63"/>
    <w:basedOn w:val="DefaultParagraphFont"/>
    <w:rsid w:val="007E02AB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64">
    <w:name w:val="CharStyle64"/>
    <w:basedOn w:val="DefaultParagraphFont"/>
    <w:rsid w:val="007E02A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7">
    <w:name w:val="CharStyle67"/>
    <w:basedOn w:val="DefaultParagraphFont"/>
    <w:rsid w:val="007E02AB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86">
    <w:name w:val="CharStyle86"/>
    <w:basedOn w:val="DefaultParagraphFont"/>
    <w:rsid w:val="007E02A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09">
    <w:name w:val="CharStyle109"/>
    <w:basedOn w:val="DefaultParagraphFont"/>
    <w:rsid w:val="007E02AB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66">
    <w:name w:val="CharStyle266"/>
    <w:basedOn w:val="DefaultParagraphFont"/>
    <w:rsid w:val="007E02A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401">
    <w:name w:val="CharStyle401"/>
    <w:basedOn w:val="DefaultParagraphFont"/>
    <w:rsid w:val="007E02A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71">
    <w:name w:val="CharStyle571"/>
    <w:basedOn w:val="DefaultParagraphFont"/>
    <w:rsid w:val="007E02A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DE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08C"/>
  </w:style>
  <w:style w:type="paragraph" w:styleId="Footer">
    <w:name w:val="footer"/>
    <w:basedOn w:val="Normal"/>
    <w:link w:val="FooterChar"/>
    <w:uiPriority w:val="99"/>
    <w:semiHidden/>
    <w:unhideWhenUsed/>
    <w:rsid w:val="00DE2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08C"/>
  </w:style>
  <w:style w:type="paragraph" w:styleId="BalloonText">
    <w:name w:val="Balloon Text"/>
    <w:basedOn w:val="Normal"/>
    <w:link w:val="BalloonTextChar"/>
    <w:uiPriority w:val="99"/>
    <w:semiHidden/>
    <w:unhideWhenUsed/>
    <w:rsid w:val="00DE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ED9F53B-A1DC-49AF-B41E-397872FF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26</cp:revision>
  <dcterms:created xsi:type="dcterms:W3CDTF">2017-04-22T03:52:00Z</dcterms:created>
  <dcterms:modified xsi:type="dcterms:W3CDTF">2018-07-18T22:57:00Z</dcterms:modified>
</cp:coreProperties>
</file>