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DE" w:rsidRDefault="001A58DE" w:rsidP="00F87936">
      <w:pPr>
        <w:jc w:val="center"/>
        <w:rPr>
          <w:sz w:val="36"/>
          <w:szCs w:val="36"/>
          <w:lang w:val="en-US" w:eastAsia="en-US"/>
        </w:rPr>
      </w:pPr>
      <w:r w:rsidRPr="00AE092F">
        <w:rPr>
          <w:sz w:val="36"/>
          <w:szCs w:val="36"/>
          <w:lang w:val="en-US" w:eastAsia="en-US"/>
        </w:rPr>
        <w:t>DEFENCE.</w:t>
      </w:r>
    </w:p>
    <w:p w:rsidR="00AE092F" w:rsidRPr="00D80D35" w:rsidRDefault="00AE092F" w:rsidP="00D80D35">
      <w:pPr>
        <w:pBdr>
          <w:bottom w:val="single" w:sz="4" w:space="1" w:color="auto"/>
        </w:pBdr>
        <w:spacing w:after="120"/>
        <w:ind w:left="3888" w:right="3888"/>
        <w:jc w:val="center"/>
        <w:rPr>
          <w:sz w:val="6"/>
          <w:szCs w:val="22"/>
        </w:rPr>
      </w:pPr>
    </w:p>
    <w:p w:rsidR="001A58DE" w:rsidRPr="00AE092F" w:rsidRDefault="001A58DE" w:rsidP="00F87936">
      <w:pPr>
        <w:jc w:val="center"/>
        <w:rPr>
          <w:sz w:val="28"/>
          <w:szCs w:val="28"/>
        </w:rPr>
      </w:pPr>
      <w:r w:rsidRPr="00AE092F">
        <w:rPr>
          <w:b/>
          <w:bCs/>
          <w:sz w:val="28"/>
          <w:szCs w:val="28"/>
          <w:lang w:val="en-US" w:eastAsia="en-US"/>
        </w:rPr>
        <w:t>No. 72 of 1956.</w:t>
      </w:r>
    </w:p>
    <w:p w:rsidR="001A58DE" w:rsidRPr="00AE092F" w:rsidRDefault="001A58DE" w:rsidP="00F87936">
      <w:pPr>
        <w:spacing w:before="120"/>
        <w:jc w:val="center"/>
        <w:rPr>
          <w:sz w:val="26"/>
          <w:szCs w:val="26"/>
        </w:rPr>
      </w:pPr>
      <w:r w:rsidRPr="00AE092F">
        <w:rPr>
          <w:sz w:val="26"/>
          <w:szCs w:val="26"/>
          <w:lang w:val="en-US" w:eastAsia="en-US"/>
        </w:rPr>
        <w:t xml:space="preserve">An Act to amend the </w:t>
      </w:r>
      <w:proofErr w:type="spellStart"/>
      <w:r w:rsidRPr="00AE092F">
        <w:rPr>
          <w:i/>
          <w:iCs/>
          <w:sz w:val="26"/>
          <w:szCs w:val="26"/>
          <w:lang w:val="en-US" w:eastAsia="en-US"/>
        </w:rPr>
        <w:t>Defence</w:t>
      </w:r>
      <w:proofErr w:type="spellEnd"/>
      <w:r w:rsidRPr="00AE092F">
        <w:rPr>
          <w:i/>
          <w:iCs/>
          <w:sz w:val="26"/>
          <w:szCs w:val="26"/>
          <w:lang w:val="en-US" w:eastAsia="en-US"/>
        </w:rPr>
        <w:t xml:space="preserve"> Act </w:t>
      </w:r>
      <w:r w:rsidRPr="00AE092F">
        <w:rPr>
          <w:sz w:val="26"/>
          <w:szCs w:val="26"/>
          <w:lang w:val="en-US" w:eastAsia="en-US"/>
        </w:rPr>
        <w:t>1903</w:t>
      </w:r>
      <w:r w:rsidR="00D80D35">
        <w:rPr>
          <w:sz w:val="26"/>
          <w:szCs w:val="26"/>
          <w:lang w:val="en-US" w:eastAsia="en-US"/>
        </w:rPr>
        <w:t>–</w:t>
      </w:r>
      <w:r w:rsidRPr="00AE092F">
        <w:rPr>
          <w:sz w:val="26"/>
          <w:szCs w:val="26"/>
          <w:lang w:val="en-US" w:eastAsia="en-US"/>
        </w:rPr>
        <w:t>1953.</w:t>
      </w:r>
    </w:p>
    <w:p w:rsidR="001A58DE" w:rsidRPr="00AE092F" w:rsidRDefault="001A58DE" w:rsidP="00F87936">
      <w:pPr>
        <w:spacing w:before="120"/>
        <w:jc w:val="right"/>
        <w:rPr>
          <w:sz w:val="26"/>
          <w:szCs w:val="26"/>
        </w:rPr>
      </w:pPr>
      <w:r w:rsidRPr="00AE092F">
        <w:rPr>
          <w:sz w:val="26"/>
          <w:szCs w:val="26"/>
          <w:lang w:val="en-US" w:eastAsia="en-US"/>
        </w:rPr>
        <w:t>[Assented to 29th October, 1956.]</w:t>
      </w:r>
    </w:p>
    <w:p w:rsidR="001A58DE" w:rsidRPr="00A40789" w:rsidRDefault="001A58DE" w:rsidP="00F87936">
      <w:pPr>
        <w:spacing w:before="120"/>
        <w:jc w:val="both"/>
        <w:rPr>
          <w:sz w:val="22"/>
          <w:szCs w:val="22"/>
        </w:rPr>
      </w:pPr>
      <w:r w:rsidRPr="00A40789">
        <w:rPr>
          <w:sz w:val="22"/>
          <w:szCs w:val="22"/>
          <w:lang w:val="en-US" w:eastAsia="en-US"/>
        </w:rPr>
        <w:t>BE it enacted by the Queen’s Most Excellent Majesty, the Senate, and the House of Representatives of the Commonwealth of Australia, as follows:—</w:t>
      </w:r>
    </w:p>
    <w:p w:rsidR="001A58DE" w:rsidRPr="00AE092F" w:rsidRDefault="001A58DE" w:rsidP="00F87936">
      <w:pPr>
        <w:spacing w:before="120" w:after="60"/>
        <w:jc w:val="both"/>
        <w:rPr>
          <w:sz w:val="20"/>
          <w:szCs w:val="20"/>
        </w:rPr>
      </w:pPr>
      <w:r w:rsidRPr="00AE092F">
        <w:rPr>
          <w:b/>
          <w:bCs/>
          <w:sz w:val="20"/>
          <w:szCs w:val="20"/>
          <w:lang w:val="en-US" w:eastAsia="en-US"/>
        </w:rPr>
        <w:t>Short title and citation.</w:t>
      </w:r>
    </w:p>
    <w:p w:rsidR="001A58DE" w:rsidRPr="00AE092F" w:rsidRDefault="001A58DE" w:rsidP="00ED26C9">
      <w:pPr>
        <w:tabs>
          <w:tab w:val="left" w:pos="1170"/>
        </w:tabs>
        <w:ind w:firstLine="288"/>
        <w:jc w:val="both"/>
        <w:rPr>
          <w:sz w:val="22"/>
          <w:szCs w:val="22"/>
        </w:rPr>
      </w:pPr>
      <w:r w:rsidRPr="00AE092F">
        <w:rPr>
          <w:b/>
          <w:bCs/>
          <w:sz w:val="22"/>
          <w:szCs w:val="22"/>
          <w:lang w:val="en-US" w:eastAsia="en-US"/>
        </w:rPr>
        <w:t>1.</w:t>
      </w:r>
      <w:r w:rsidR="00ED26C9">
        <w:rPr>
          <w:sz w:val="22"/>
          <w:szCs w:val="22"/>
          <w:lang w:val="en-US" w:eastAsia="en-US"/>
        </w:rPr>
        <w:t>—(1.)</w:t>
      </w:r>
      <w:r w:rsidR="00ED26C9">
        <w:rPr>
          <w:sz w:val="22"/>
          <w:szCs w:val="22"/>
          <w:lang w:val="en-US" w:eastAsia="en-US"/>
        </w:rPr>
        <w:tab/>
      </w:r>
      <w:r w:rsidRPr="00AE092F">
        <w:rPr>
          <w:sz w:val="22"/>
          <w:szCs w:val="22"/>
          <w:lang w:val="en-US" w:eastAsia="en-US"/>
        </w:rPr>
        <w:t xml:space="preserve">This Act may be cited as the </w:t>
      </w:r>
      <w:proofErr w:type="spellStart"/>
      <w:r w:rsidRPr="00AE092F">
        <w:rPr>
          <w:i/>
          <w:iCs/>
          <w:sz w:val="22"/>
          <w:szCs w:val="22"/>
          <w:lang w:val="en-US" w:eastAsia="en-US"/>
        </w:rPr>
        <w:t>Defence</w:t>
      </w:r>
      <w:proofErr w:type="spellEnd"/>
      <w:r w:rsidRPr="00AE092F">
        <w:rPr>
          <w:i/>
          <w:iCs/>
          <w:sz w:val="22"/>
          <w:szCs w:val="22"/>
          <w:lang w:val="en-US" w:eastAsia="en-US"/>
        </w:rPr>
        <w:t xml:space="preserve"> Act </w:t>
      </w:r>
      <w:r w:rsidRPr="00AE092F">
        <w:rPr>
          <w:sz w:val="22"/>
          <w:szCs w:val="22"/>
          <w:lang w:val="en-US" w:eastAsia="en-US"/>
        </w:rPr>
        <w:t>1956.</w:t>
      </w:r>
    </w:p>
    <w:p w:rsidR="001A58DE" w:rsidRPr="00AE092F" w:rsidRDefault="00ED26C9" w:rsidP="00F87936">
      <w:pPr>
        <w:ind w:firstLine="288"/>
        <w:jc w:val="both"/>
        <w:rPr>
          <w:sz w:val="22"/>
          <w:szCs w:val="22"/>
        </w:rPr>
      </w:pPr>
      <w:r>
        <w:rPr>
          <w:sz w:val="22"/>
          <w:szCs w:val="22"/>
          <w:lang w:val="en-US" w:eastAsia="en-US"/>
        </w:rPr>
        <w:t>(2.)</w:t>
      </w:r>
      <w:r>
        <w:rPr>
          <w:sz w:val="22"/>
          <w:szCs w:val="22"/>
          <w:lang w:val="en-US" w:eastAsia="en-US"/>
        </w:rPr>
        <w:tab/>
      </w:r>
      <w:r w:rsidR="001A58DE" w:rsidRPr="00AE092F">
        <w:rPr>
          <w:sz w:val="22"/>
          <w:szCs w:val="22"/>
          <w:lang w:val="en-US" w:eastAsia="en-US"/>
        </w:rPr>
        <w:t xml:space="preserve">The </w:t>
      </w:r>
      <w:proofErr w:type="spellStart"/>
      <w:r w:rsidR="001A58DE" w:rsidRPr="00AE092F">
        <w:rPr>
          <w:i/>
          <w:iCs/>
          <w:sz w:val="22"/>
          <w:szCs w:val="22"/>
          <w:lang w:val="en-US" w:eastAsia="en-US"/>
        </w:rPr>
        <w:t>Defence</w:t>
      </w:r>
      <w:proofErr w:type="spellEnd"/>
      <w:r w:rsidR="001A58DE" w:rsidRPr="00AE092F">
        <w:rPr>
          <w:i/>
          <w:iCs/>
          <w:sz w:val="22"/>
          <w:szCs w:val="22"/>
          <w:lang w:val="en-US" w:eastAsia="en-US"/>
        </w:rPr>
        <w:t xml:space="preserve"> Act </w:t>
      </w:r>
      <w:r w:rsidR="00A40789">
        <w:rPr>
          <w:sz w:val="22"/>
          <w:szCs w:val="22"/>
          <w:lang w:val="en-US" w:eastAsia="en-US"/>
        </w:rPr>
        <w:t>1903–1953</w:t>
      </w:r>
      <w:r w:rsidR="001A58DE" w:rsidRPr="00AE092F">
        <w:rPr>
          <w:sz w:val="22"/>
          <w:szCs w:val="22"/>
          <w:lang w:val="en-US" w:eastAsia="en-US"/>
        </w:rPr>
        <w:t xml:space="preserve"> is in this Act referred to as the Principal Act.</w:t>
      </w:r>
    </w:p>
    <w:p w:rsidR="001A58DE" w:rsidRPr="00AE092F" w:rsidRDefault="00ED26C9" w:rsidP="00F87936">
      <w:pPr>
        <w:ind w:firstLine="288"/>
        <w:jc w:val="both"/>
        <w:rPr>
          <w:sz w:val="22"/>
          <w:szCs w:val="22"/>
        </w:rPr>
      </w:pPr>
      <w:r>
        <w:rPr>
          <w:sz w:val="22"/>
          <w:szCs w:val="22"/>
          <w:lang w:val="en-US" w:eastAsia="en-US"/>
        </w:rPr>
        <w:t>(3.)</w:t>
      </w:r>
      <w:r>
        <w:rPr>
          <w:sz w:val="22"/>
          <w:szCs w:val="22"/>
          <w:lang w:val="en-US" w:eastAsia="en-US"/>
        </w:rPr>
        <w:tab/>
      </w:r>
      <w:r w:rsidR="001A58DE" w:rsidRPr="00AE092F">
        <w:rPr>
          <w:sz w:val="22"/>
          <w:szCs w:val="22"/>
          <w:lang w:val="en-US" w:eastAsia="en-US"/>
        </w:rPr>
        <w:t xml:space="preserve">The Principal Act, as amended by this Act, may be cited as the </w:t>
      </w:r>
      <w:proofErr w:type="spellStart"/>
      <w:r w:rsidR="001A58DE" w:rsidRPr="00AE092F">
        <w:rPr>
          <w:i/>
          <w:iCs/>
          <w:sz w:val="22"/>
          <w:szCs w:val="22"/>
          <w:lang w:val="en-US" w:eastAsia="en-US"/>
        </w:rPr>
        <w:t>Defence</w:t>
      </w:r>
      <w:proofErr w:type="spellEnd"/>
      <w:r w:rsidR="001A58DE" w:rsidRPr="00AE092F">
        <w:rPr>
          <w:i/>
          <w:iCs/>
          <w:sz w:val="22"/>
          <w:szCs w:val="22"/>
          <w:lang w:val="en-US" w:eastAsia="en-US"/>
        </w:rPr>
        <w:t xml:space="preserve"> Act </w:t>
      </w:r>
      <w:r w:rsidR="001A58DE" w:rsidRPr="00AE092F">
        <w:rPr>
          <w:sz w:val="22"/>
          <w:szCs w:val="22"/>
          <w:lang w:val="en-US" w:eastAsia="en-US"/>
        </w:rPr>
        <w:t>1903–1956.</w:t>
      </w:r>
    </w:p>
    <w:p w:rsidR="001A58DE" w:rsidRPr="00AE092F" w:rsidRDefault="001A58DE" w:rsidP="00F87936">
      <w:pPr>
        <w:spacing w:before="120" w:after="60"/>
        <w:jc w:val="both"/>
        <w:rPr>
          <w:b/>
          <w:bCs/>
          <w:sz w:val="20"/>
          <w:szCs w:val="20"/>
          <w:lang w:val="en-US" w:eastAsia="en-US"/>
        </w:rPr>
      </w:pPr>
      <w:r w:rsidRPr="00AE092F">
        <w:rPr>
          <w:b/>
          <w:bCs/>
          <w:sz w:val="20"/>
          <w:szCs w:val="20"/>
          <w:lang w:val="en-US" w:eastAsia="en-US"/>
        </w:rPr>
        <w:t>Commencement.</w:t>
      </w:r>
    </w:p>
    <w:p w:rsidR="001A58DE" w:rsidRPr="00AE092F" w:rsidRDefault="001A58DE" w:rsidP="00ED26C9">
      <w:pPr>
        <w:widowControl/>
        <w:ind w:firstLine="432"/>
        <w:jc w:val="both"/>
        <w:rPr>
          <w:sz w:val="22"/>
          <w:szCs w:val="22"/>
        </w:rPr>
      </w:pPr>
      <w:r w:rsidRPr="00AE092F">
        <w:rPr>
          <w:b/>
          <w:bCs/>
          <w:sz w:val="22"/>
          <w:szCs w:val="22"/>
          <w:lang w:val="en-US" w:eastAsia="en-US"/>
        </w:rPr>
        <w:t>2.</w:t>
      </w:r>
      <w:r w:rsidR="00ED26C9">
        <w:rPr>
          <w:sz w:val="22"/>
          <w:szCs w:val="22"/>
          <w:lang w:val="en-US" w:eastAsia="en-US"/>
        </w:rPr>
        <w:tab/>
      </w:r>
      <w:r w:rsidRPr="00AE092F">
        <w:rPr>
          <w:sz w:val="22"/>
          <w:szCs w:val="22"/>
          <w:lang w:val="en-US" w:eastAsia="en-US"/>
        </w:rPr>
        <w:t>This Act shall come into operation on the day on which it receives the Royal Assent.</w:t>
      </w:r>
    </w:p>
    <w:p w:rsidR="001A58DE" w:rsidRPr="00AE092F" w:rsidRDefault="001A58DE" w:rsidP="00F87936">
      <w:pPr>
        <w:spacing w:before="120" w:after="60"/>
        <w:jc w:val="both"/>
        <w:rPr>
          <w:b/>
          <w:bCs/>
          <w:sz w:val="20"/>
          <w:szCs w:val="20"/>
          <w:lang w:val="en-US" w:eastAsia="en-US"/>
        </w:rPr>
      </w:pPr>
      <w:r w:rsidRPr="00AE092F">
        <w:rPr>
          <w:b/>
          <w:bCs/>
          <w:sz w:val="20"/>
          <w:szCs w:val="20"/>
          <w:lang w:val="en-US" w:eastAsia="en-US"/>
        </w:rPr>
        <w:t>Definitions.</w:t>
      </w:r>
    </w:p>
    <w:p w:rsidR="001A58DE" w:rsidRPr="00AE092F" w:rsidRDefault="001A58DE" w:rsidP="00ED26C9">
      <w:pPr>
        <w:widowControl/>
        <w:ind w:firstLine="432"/>
        <w:jc w:val="both"/>
        <w:rPr>
          <w:sz w:val="22"/>
          <w:szCs w:val="22"/>
        </w:rPr>
      </w:pPr>
      <w:r w:rsidRPr="00AE092F">
        <w:rPr>
          <w:b/>
          <w:bCs/>
          <w:sz w:val="22"/>
          <w:szCs w:val="22"/>
          <w:lang w:val="en-US" w:eastAsia="en-US"/>
        </w:rPr>
        <w:t>3.</w:t>
      </w:r>
      <w:r w:rsidR="00ED26C9">
        <w:rPr>
          <w:sz w:val="22"/>
          <w:szCs w:val="22"/>
          <w:lang w:val="en-US" w:eastAsia="en-US"/>
        </w:rPr>
        <w:tab/>
      </w:r>
      <w:r w:rsidRPr="00AE092F">
        <w:rPr>
          <w:sz w:val="22"/>
          <w:szCs w:val="22"/>
          <w:lang w:val="en-US" w:eastAsia="en-US"/>
        </w:rPr>
        <w:t>Section four of the Principal Act is amended—</w:t>
      </w:r>
    </w:p>
    <w:p w:rsidR="001A58DE" w:rsidRPr="00AE092F" w:rsidRDefault="001A58DE" w:rsidP="004E6A03">
      <w:pPr>
        <w:ind w:left="1210" w:hanging="634"/>
        <w:jc w:val="both"/>
        <w:rPr>
          <w:sz w:val="22"/>
          <w:szCs w:val="22"/>
        </w:rPr>
      </w:pPr>
      <w:r w:rsidRPr="00AE092F">
        <w:rPr>
          <w:sz w:val="22"/>
          <w:szCs w:val="22"/>
          <w:lang w:val="en-US" w:eastAsia="en-US"/>
        </w:rPr>
        <w:t>(</w:t>
      </w:r>
      <w:r w:rsidRPr="00AE092F">
        <w:rPr>
          <w:i/>
          <w:iCs/>
          <w:sz w:val="22"/>
          <w:szCs w:val="22"/>
          <w:lang w:val="en-US" w:eastAsia="en-US"/>
        </w:rPr>
        <w:t>a</w:t>
      </w:r>
      <w:r w:rsidRPr="00AE092F">
        <w:rPr>
          <w:sz w:val="22"/>
          <w:szCs w:val="22"/>
          <w:lang w:val="en-US" w:eastAsia="en-US"/>
        </w:rPr>
        <w:t>) by omitting the definition of “Air Force Act” and inserting in its stead the following definition:—</w:t>
      </w:r>
    </w:p>
    <w:p w:rsidR="001A58DE" w:rsidRPr="00AE092F" w:rsidRDefault="001A58DE" w:rsidP="004E6A03">
      <w:pPr>
        <w:ind w:left="1800" w:hanging="360"/>
        <w:jc w:val="both"/>
        <w:rPr>
          <w:sz w:val="22"/>
          <w:szCs w:val="22"/>
        </w:rPr>
      </w:pPr>
      <w:r w:rsidRPr="00AE092F">
        <w:rPr>
          <w:sz w:val="22"/>
          <w:szCs w:val="22"/>
          <w:lang w:val="en-US" w:eastAsia="en-US"/>
        </w:rPr>
        <w:t xml:space="preserve">“‘Air Force Act’—Means the Imperial Act called the Air Force Act as in force on the day on which the </w:t>
      </w:r>
      <w:r w:rsidRPr="00AE092F">
        <w:rPr>
          <w:i/>
          <w:iCs/>
          <w:sz w:val="22"/>
          <w:szCs w:val="22"/>
          <w:lang w:val="en-US" w:eastAsia="en-US"/>
        </w:rPr>
        <w:t xml:space="preserve">Air Force Act </w:t>
      </w:r>
      <w:r w:rsidRPr="00AE092F">
        <w:rPr>
          <w:sz w:val="22"/>
          <w:szCs w:val="22"/>
          <w:lang w:val="en-US" w:eastAsia="en-US"/>
        </w:rPr>
        <w:t xml:space="preserve">1939 came into operation and as applied in relation to the Air Force and the members of that Force by section five of the </w:t>
      </w:r>
      <w:r w:rsidRPr="00AE092F">
        <w:rPr>
          <w:i/>
          <w:iCs/>
          <w:sz w:val="22"/>
          <w:szCs w:val="22"/>
          <w:lang w:val="en-US" w:eastAsia="en-US"/>
        </w:rPr>
        <w:t xml:space="preserve">Air Force Act </w:t>
      </w:r>
      <w:r w:rsidRPr="00AE092F">
        <w:rPr>
          <w:sz w:val="22"/>
          <w:szCs w:val="22"/>
          <w:lang w:val="en-US" w:eastAsia="en-US"/>
        </w:rPr>
        <w:t>1923–1956, with such modifications, adaptations and exceptions as are prescribed under the last-mentioned Act.”; and</w:t>
      </w:r>
    </w:p>
    <w:p w:rsidR="001A58DE" w:rsidRPr="00AE092F" w:rsidRDefault="001A58DE" w:rsidP="00585A16">
      <w:pPr>
        <w:ind w:left="1210" w:hanging="634"/>
        <w:jc w:val="both"/>
        <w:rPr>
          <w:sz w:val="22"/>
          <w:szCs w:val="22"/>
        </w:rPr>
      </w:pPr>
      <w:r w:rsidRPr="00AE092F">
        <w:rPr>
          <w:sz w:val="22"/>
          <w:szCs w:val="22"/>
          <w:lang w:val="en-US" w:eastAsia="en-US"/>
        </w:rPr>
        <w:t>(</w:t>
      </w:r>
      <w:r w:rsidRPr="00AE092F">
        <w:rPr>
          <w:i/>
          <w:iCs/>
          <w:sz w:val="22"/>
          <w:szCs w:val="22"/>
          <w:lang w:val="en-US" w:eastAsia="en-US"/>
        </w:rPr>
        <w:t>b</w:t>
      </w:r>
      <w:r w:rsidRPr="00AE092F">
        <w:rPr>
          <w:sz w:val="22"/>
          <w:szCs w:val="22"/>
          <w:lang w:val="en-US" w:eastAsia="en-US"/>
        </w:rPr>
        <w:t>)</w:t>
      </w:r>
      <w:r w:rsidRPr="00AE092F">
        <w:rPr>
          <w:i/>
          <w:iCs/>
          <w:sz w:val="22"/>
          <w:szCs w:val="22"/>
          <w:lang w:val="en-US" w:eastAsia="en-US"/>
        </w:rPr>
        <w:t xml:space="preserve"> </w:t>
      </w:r>
      <w:r w:rsidRPr="00AE092F">
        <w:rPr>
          <w:sz w:val="22"/>
          <w:szCs w:val="22"/>
          <w:lang w:val="en-US" w:eastAsia="en-US"/>
        </w:rPr>
        <w:t>by omitting the definition of “Army Act” and inserting in its stead the following definition:—</w:t>
      </w:r>
    </w:p>
    <w:p w:rsidR="001A58DE" w:rsidRPr="00AE092F" w:rsidRDefault="001A58DE" w:rsidP="00F87936">
      <w:pPr>
        <w:ind w:left="1620" w:hanging="360"/>
        <w:jc w:val="both"/>
        <w:rPr>
          <w:sz w:val="22"/>
          <w:szCs w:val="22"/>
        </w:rPr>
      </w:pPr>
      <w:r w:rsidRPr="00AE092F">
        <w:rPr>
          <w:sz w:val="22"/>
          <w:szCs w:val="22"/>
          <w:lang w:val="en-US" w:eastAsia="en-US"/>
        </w:rPr>
        <w:t xml:space="preserve">“‘Army Act’—Means the Imperial Act called the Army Act as in force on the day on which the </w:t>
      </w:r>
      <w:proofErr w:type="spellStart"/>
      <w:r w:rsidRPr="00AE092F">
        <w:rPr>
          <w:i/>
          <w:iCs/>
          <w:sz w:val="22"/>
          <w:szCs w:val="22"/>
          <w:lang w:val="en-US" w:eastAsia="en-US"/>
        </w:rPr>
        <w:t>Defence</w:t>
      </w:r>
      <w:proofErr w:type="spellEnd"/>
      <w:r w:rsidRPr="00AE092F">
        <w:rPr>
          <w:i/>
          <w:iCs/>
          <w:sz w:val="22"/>
          <w:szCs w:val="22"/>
          <w:lang w:val="en-US" w:eastAsia="en-US"/>
        </w:rPr>
        <w:t xml:space="preserve"> Act </w:t>
      </w:r>
      <w:r w:rsidRPr="00AE092F">
        <w:rPr>
          <w:sz w:val="22"/>
          <w:szCs w:val="22"/>
          <w:lang w:val="en-US" w:eastAsia="en-US"/>
        </w:rPr>
        <w:t>1956 came into operation.”.</w:t>
      </w:r>
    </w:p>
    <w:p w:rsidR="001A58DE" w:rsidRPr="00AE092F" w:rsidRDefault="001A58DE" w:rsidP="00F87936">
      <w:pPr>
        <w:spacing w:before="120" w:after="60"/>
        <w:jc w:val="both"/>
        <w:rPr>
          <w:b/>
          <w:bCs/>
          <w:sz w:val="20"/>
          <w:szCs w:val="20"/>
          <w:lang w:val="en-US" w:eastAsia="en-US"/>
        </w:rPr>
      </w:pPr>
      <w:r w:rsidRPr="00AE092F">
        <w:rPr>
          <w:b/>
          <w:bCs/>
          <w:sz w:val="20"/>
          <w:szCs w:val="20"/>
          <w:lang w:val="en-US" w:eastAsia="en-US"/>
        </w:rPr>
        <w:t>Period of enlistment.</w:t>
      </w:r>
      <w:bookmarkStart w:id="0" w:name="_GoBack"/>
      <w:bookmarkEnd w:id="0"/>
    </w:p>
    <w:p w:rsidR="001A58DE" w:rsidRPr="00AE092F" w:rsidRDefault="001A58DE" w:rsidP="00C36519">
      <w:pPr>
        <w:widowControl/>
        <w:ind w:firstLine="432"/>
        <w:jc w:val="both"/>
        <w:rPr>
          <w:sz w:val="22"/>
          <w:szCs w:val="22"/>
        </w:rPr>
      </w:pPr>
      <w:r w:rsidRPr="00AE092F">
        <w:rPr>
          <w:b/>
          <w:bCs/>
          <w:sz w:val="22"/>
          <w:szCs w:val="22"/>
          <w:lang w:val="en-US" w:eastAsia="en-US"/>
        </w:rPr>
        <w:t>4.</w:t>
      </w:r>
      <w:r w:rsidR="00C36519">
        <w:rPr>
          <w:sz w:val="22"/>
          <w:szCs w:val="22"/>
          <w:lang w:val="en-US" w:eastAsia="en-US"/>
        </w:rPr>
        <w:tab/>
      </w:r>
      <w:r w:rsidRPr="00AE092F">
        <w:rPr>
          <w:sz w:val="22"/>
          <w:szCs w:val="22"/>
          <w:lang w:val="en-US" w:eastAsia="en-US"/>
        </w:rPr>
        <w:t>Section thirty-six of the Principal Act is amended—</w:t>
      </w:r>
    </w:p>
    <w:p w:rsidR="001A58DE" w:rsidRPr="00AE092F" w:rsidRDefault="001A58DE" w:rsidP="00C36519">
      <w:pPr>
        <w:ind w:left="1210" w:hanging="634"/>
        <w:jc w:val="both"/>
        <w:rPr>
          <w:sz w:val="22"/>
          <w:szCs w:val="22"/>
        </w:rPr>
      </w:pPr>
      <w:r w:rsidRPr="00AE092F">
        <w:rPr>
          <w:sz w:val="22"/>
          <w:szCs w:val="22"/>
          <w:lang w:val="en-US" w:eastAsia="en-US"/>
        </w:rPr>
        <w:t>(</w:t>
      </w:r>
      <w:r w:rsidRPr="00AE092F">
        <w:rPr>
          <w:i/>
          <w:iCs/>
          <w:sz w:val="22"/>
          <w:szCs w:val="22"/>
          <w:lang w:val="en-US" w:eastAsia="en-US"/>
        </w:rPr>
        <w:t>a</w:t>
      </w:r>
      <w:r w:rsidRPr="00AE092F">
        <w:rPr>
          <w:sz w:val="22"/>
          <w:szCs w:val="22"/>
          <w:lang w:val="en-US" w:eastAsia="en-US"/>
        </w:rPr>
        <w:t>) by inserting in the first proviso, after the word “on”, the words “or before”; and</w:t>
      </w:r>
    </w:p>
    <w:p w:rsidR="001A58DE" w:rsidRDefault="001A58DE" w:rsidP="00C36519">
      <w:pPr>
        <w:ind w:left="1210" w:hanging="634"/>
        <w:jc w:val="both"/>
        <w:rPr>
          <w:sz w:val="22"/>
          <w:szCs w:val="22"/>
          <w:lang w:val="en-US" w:eastAsia="en-US"/>
        </w:rPr>
      </w:pPr>
      <w:r w:rsidRPr="00AE092F">
        <w:rPr>
          <w:sz w:val="22"/>
          <w:szCs w:val="22"/>
          <w:lang w:val="en-US" w:eastAsia="en-US"/>
        </w:rPr>
        <w:t>(</w:t>
      </w:r>
      <w:r w:rsidRPr="00AE092F">
        <w:rPr>
          <w:i/>
          <w:iCs/>
          <w:sz w:val="22"/>
          <w:szCs w:val="22"/>
          <w:lang w:val="en-US" w:eastAsia="en-US"/>
        </w:rPr>
        <w:t>b</w:t>
      </w:r>
      <w:r w:rsidRPr="00AE092F">
        <w:rPr>
          <w:sz w:val="22"/>
          <w:szCs w:val="22"/>
          <w:lang w:val="en-US" w:eastAsia="en-US"/>
        </w:rPr>
        <w:t>) by omitting the second proviso.</w:t>
      </w:r>
    </w:p>
    <w:p w:rsidR="00AE092F" w:rsidRDefault="00AE092F" w:rsidP="00F87936">
      <w:pPr>
        <w:autoSpaceDE/>
        <w:autoSpaceDN/>
        <w:adjustRightInd/>
        <w:rPr>
          <w:sz w:val="22"/>
          <w:szCs w:val="22"/>
          <w:lang w:val="en-US" w:eastAsia="en-US"/>
        </w:rPr>
      </w:pPr>
      <w:r>
        <w:rPr>
          <w:sz w:val="22"/>
          <w:szCs w:val="22"/>
          <w:lang w:val="en-US" w:eastAsia="en-US"/>
        </w:rPr>
        <w:br w:type="page"/>
      </w:r>
    </w:p>
    <w:p w:rsidR="001A58DE" w:rsidRPr="00AE092F" w:rsidRDefault="001A58DE" w:rsidP="00D818BC">
      <w:pPr>
        <w:widowControl/>
        <w:ind w:firstLine="432"/>
        <w:jc w:val="both"/>
        <w:rPr>
          <w:sz w:val="22"/>
          <w:szCs w:val="22"/>
        </w:rPr>
      </w:pPr>
      <w:r w:rsidRPr="00AE092F">
        <w:rPr>
          <w:b/>
          <w:bCs/>
          <w:sz w:val="22"/>
          <w:szCs w:val="22"/>
          <w:lang w:val="en-US" w:eastAsia="en-US"/>
        </w:rPr>
        <w:lastRenderedPageBreak/>
        <w:t>5.</w:t>
      </w:r>
      <w:r w:rsidR="00D818BC">
        <w:rPr>
          <w:sz w:val="22"/>
          <w:szCs w:val="22"/>
          <w:lang w:val="en-US" w:eastAsia="en-US"/>
        </w:rPr>
        <w:tab/>
      </w:r>
      <w:r w:rsidRPr="00AE092F">
        <w:rPr>
          <w:sz w:val="22"/>
          <w:szCs w:val="22"/>
          <w:lang w:val="en-US" w:eastAsia="en-US"/>
        </w:rPr>
        <w:t>Section eighty-eight of the Principal Act is repealed and the following section inserted in its stead:—</w:t>
      </w:r>
    </w:p>
    <w:p w:rsidR="001A58DE" w:rsidRPr="00AE092F" w:rsidRDefault="001A58DE" w:rsidP="00F87936">
      <w:pPr>
        <w:spacing w:before="120" w:after="60"/>
        <w:jc w:val="both"/>
        <w:rPr>
          <w:b/>
          <w:bCs/>
          <w:sz w:val="20"/>
          <w:szCs w:val="20"/>
          <w:lang w:val="en-US" w:eastAsia="en-US"/>
        </w:rPr>
      </w:pPr>
      <w:r w:rsidRPr="00AE092F">
        <w:rPr>
          <w:b/>
          <w:bCs/>
          <w:sz w:val="20"/>
          <w:szCs w:val="20"/>
          <w:lang w:val="en-US" w:eastAsia="en-US"/>
        </w:rPr>
        <w:t>Laws applicable to courts-martial.</w:t>
      </w:r>
    </w:p>
    <w:p w:rsidR="001A58DE" w:rsidRPr="00AE092F" w:rsidRDefault="00D818BC" w:rsidP="00D818BC">
      <w:pPr>
        <w:tabs>
          <w:tab w:val="left" w:pos="810"/>
        </w:tabs>
        <w:ind w:firstLine="288"/>
        <w:jc w:val="both"/>
        <w:rPr>
          <w:sz w:val="22"/>
          <w:szCs w:val="22"/>
        </w:rPr>
      </w:pPr>
      <w:r>
        <w:rPr>
          <w:sz w:val="22"/>
          <w:szCs w:val="22"/>
          <w:lang w:val="en-US" w:eastAsia="en-US"/>
        </w:rPr>
        <w:t>“88.</w:t>
      </w:r>
      <w:r>
        <w:rPr>
          <w:sz w:val="22"/>
          <w:szCs w:val="22"/>
          <w:lang w:val="en-US" w:eastAsia="en-US"/>
        </w:rPr>
        <w:tab/>
      </w:r>
      <w:r w:rsidR="001A58DE" w:rsidRPr="00AE092F">
        <w:rPr>
          <w:sz w:val="22"/>
          <w:szCs w:val="22"/>
          <w:lang w:val="en-US" w:eastAsia="en-US"/>
        </w:rPr>
        <w:t>Subject to this Act and to such modifications and adaptations as are prescribed, the provisions of the Army Act and the Rules of Procedure made under that Act in relation to—</w:t>
      </w:r>
    </w:p>
    <w:p w:rsidR="001A58DE" w:rsidRPr="00AE092F" w:rsidRDefault="001A58DE" w:rsidP="00A715AD">
      <w:pPr>
        <w:ind w:left="1066" w:hanging="634"/>
        <w:jc w:val="both"/>
        <w:rPr>
          <w:sz w:val="22"/>
          <w:szCs w:val="22"/>
        </w:rPr>
      </w:pPr>
      <w:r w:rsidRPr="00AE092F">
        <w:rPr>
          <w:sz w:val="22"/>
          <w:szCs w:val="22"/>
          <w:lang w:val="en-US" w:eastAsia="en-US"/>
        </w:rPr>
        <w:t>(</w:t>
      </w:r>
      <w:r w:rsidRPr="00AE092F">
        <w:rPr>
          <w:i/>
          <w:iCs/>
          <w:sz w:val="22"/>
          <w:szCs w:val="22"/>
          <w:lang w:val="en-US" w:eastAsia="en-US"/>
        </w:rPr>
        <w:t>a</w:t>
      </w:r>
      <w:r w:rsidRPr="00AE092F">
        <w:rPr>
          <w:sz w:val="22"/>
          <w:szCs w:val="22"/>
          <w:lang w:val="en-US" w:eastAsia="en-US"/>
        </w:rPr>
        <w:t>)</w:t>
      </w:r>
      <w:r w:rsidRPr="00AE092F">
        <w:rPr>
          <w:i/>
          <w:iCs/>
          <w:sz w:val="22"/>
          <w:szCs w:val="22"/>
          <w:lang w:val="en-US" w:eastAsia="en-US"/>
        </w:rPr>
        <w:t xml:space="preserve"> </w:t>
      </w:r>
      <w:r w:rsidRPr="00AE092F">
        <w:rPr>
          <w:sz w:val="22"/>
          <w:szCs w:val="22"/>
          <w:lang w:val="en-US" w:eastAsia="en-US"/>
        </w:rPr>
        <w:t>the composition, procedure (including the reception of evidence) and powers of courts-martial in the Queen’s Regular Land Forces;</w:t>
      </w:r>
    </w:p>
    <w:p w:rsidR="001A58DE" w:rsidRPr="00AE092F" w:rsidRDefault="001A58DE" w:rsidP="00A715AD">
      <w:pPr>
        <w:ind w:left="1066" w:hanging="634"/>
        <w:jc w:val="both"/>
        <w:rPr>
          <w:sz w:val="22"/>
          <w:szCs w:val="22"/>
        </w:rPr>
      </w:pPr>
      <w:r w:rsidRPr="00AE092F">
        <w:rPr>
          <w:sz w:val="22"/>
          <w:szCs w:val="22"/>
          <w:lang w:val="en-US" w:eastAsia="en-US"/>
        </w:rPr>
        <w:t>(</w:t>
      </w:r>
      <w:r w:rsidRPr="00AE092F">
        <w:rPr>
          <w:i/>
          <w:iCs/>
          <w:sz w:val="22"/>
          <w:szCs w:val="22"/>
          <w:lang w:val="en-US" w:eastAsia="en-US"/>
        </w:rPr>
        <w:t>b</w:t>
      </w:r>
      <w:r w:rsidRPr="00AE092F">
        <w:rPr>
          <w:sz w:val="22"/>
          <w:szCs w:val="22"/>
          <w:lang w:val="en-US" w:eastAsia="en-US"/>
        </w:rPr>
        <w:t>) the confirmation, revision, effect and consequences of the findings and sentences of those courts-martial; and</w:t>
      </w:r>
    </w:p>
    <w:p w:rsidR="001A58DE" w:rsidRPr="00AE092F" w:rsidRDefault="001A58DE" w:rsidP="00A715AD">
      <w:pPr>
        <w:ind w:left="1066" w:hanging="634"/>
        <w:jc w:val="both"/>
        <w:rPr>
          <w:sz w:val="22"/>
          <w:szCs w:val="22"/>
        </w:rPr>
      </w:pPr>
      <w:r w:rsidRPr="00AE092F">
        <w:rPr>
          <w:sz w:val="22"/>
          <w:szCs w:val="22"/>
          <w:lang w:val="en-US" w:eastAsia="en-US"/>
        </w:rPr>
        <w:t>(</w:t>
      </w:r>
      <w:r w:rsidRPr="00AE092F">
        <w:rPr>
          <w:i/>
          <w:iCs/>
          <w:sz w:val="22"/>
          <w:szCs w:val="22"/>
          <w:lang w:val="en-US" w:eastAsia="en-US"/>
        </w:rPr>
        <w:t>c</w:t>
      </w:r>
      <w:r w:rsidRPr="00AE092F">
        <w:rPr>
          <w:sz w:val="22"/>
          <w:szCs w:val="22"/>
          <w:lang w:val="en-US" w:eastAsia="en-US"/>
        </w:rPr>
        <w:t>) the mitigation, remission, commutation and suspension of sentences imposed by those courts-martial,</w:t>
      </w:r>
    </w:p>
    <w:p w:rsidR="008549F1" w:rsidRDefault="001A58DE" w:rsidP="00F87936">
      <w:pPr>
        <w:pStyle w:val="Style5"/>
        <w:jc w:val="both"/>
        <w:rPr>
          <w:sz w:val="22"/>
          <w:szCs w:val="22"/>
          <w:lang w:val="en-US" w:eastAsia="en-US"/>
        </w:rPr>
      </w:pPr>
      <w:r w:rsidRPr="00AE092F">
        <w:rPr>
          <w:sz w:val="22"/>
          <w:szCs w:val="22"/>
          <w:lang w:val="en-US" w:eastAsia="en-US"/>
        </w:rPr>
        <w:t>shall apply in relation to courts-martial in the Military Forces and their findings and sentences.”.</w:t>
      </w:r>
    </w:p>
    <w:p w:rsidR="008E6E74" w:rsidRPr="00AE092F" w:rsidRDefault="008E6E74" w:rsidP="00F87936">
      <w:pPr>
        <w:pStyle w:val="Style5"/>
        <w:pBdr>
          <w:bottom w:val="single" w:sz="4" w:space="1" w:color="auto"/>
        </w:pBdr>
        <w:spacing w:before="600"/>
        <w:ind w:left="3312" w:right="3312"/>
        <w:jc w:val="center"/>
        <w:rPr>
          <w:rStyle w:val="FontStyle18"/>
          <w:sz w:val="22"/>
          <w:szCs w:val="22"/>
        </w:rPr>
      </w:pPr>
    </w:p>
    <w:sectPr w:rsidR="008E6E74" w:rsidRPr="00AE092F" w:rsidSect="008E6E74">
      <w:headerReference w:type="even" r:id="rId8"/>
      <w:headerReference w:type="default" r:id="rId9"/>
      <w:type w:val="continuous"/>
      <w:pgSz w:w="11909" w:h="16834"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C1" w:rsidRDefault="00BF28C1">
      <w:r>
        <w:separator/>
      </w:r>
    </w:p>
  </w:endnote>
  <w:endnote w:type="continuationSeparator" w:id="0">
    <w:p w:rsidR="00BF28C1" w:rsidRDefault="00BF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C1" w:rsidRDefault="00BF28C1">
      <w:r>
        <w:separator/>
      </w:r>
    </w:p>
  </w:footnote>
  <w:footnote w:type="continuationSeparator" w:id="0">
    <w:p w:rsidR="00BF28C1" w:rsidRDefault="00BF2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74" w:rsidRPr="000F7B77" w:rsidRDefault="008E6E74" w:rsidP="00D818BC">
    <w:pPr>
      <w:pStyle w:val="Header"/>
      <w:tabs>
        <w:tab w:val="clear" w:pos="9026"/>
        <w:tab w:val="right" w:pos="9000"/>
      </w:tabs>
      <w:rPr>
        <w:sz w:val="20"/>
        <w:szCs w:val="20"/>
      </w:rPr>
    </w:pPr>
    <w:r w:rsidRPr="000F7B77">
      <w:rPr>
        <w:sz w:val="20"/>
        <w:szCs w:val="20"/>
        <w:lang w:val="en-US" w:eastAsia="en-US"/>
      </w:rPr>
      <w:t>No 72.</w:t>
    </w:r>
    <w:r w:rsidRPr="000F7B77">
      <w:rPr>
        <w:sz w:val="20"/>
        <w:szCs w:val="20"/>
      </w:rPr>
      <w:ptab w:relativeTo="margin" w:alignment="center" w:leader="none"/>
    </w:r>
    <w:proofErr w:type="spellStart"/>
    <w:r w:rsidRPr="000F7B77">
      <w:rPr>
        <w:i/>
        <w:iCs/>
        <w:sz w:val="20"/>
        <w:szCs w:val="20"/>
        <w:lang w:val="en-US" w:eastAsia="en-US"/>
      </w:rPr>
      <w:t>Defence</w:t>
    </w:r>
    <w:proofErr w:type="spellEnd"/>
    <w:r w:rsidRPr="000F7B77">
      <w:rPr>
        <w:i/>
        <w:iCs/>
        <w:sz w:val="20"/>
        <w:szCs w:val="20"/>
        <w:lang w:val="en-US" w:eastAsia="en-US"/>
      </w:rPr>
      <w:t>.</w:t>
    </w:r>
    <w:r w:rsidRPr="000F7B77">
      <w:rPr>
        <w:sz w:val="20"/>
        <w:szCs w:val="20"/>
      </w:rPr>
      <w:ptab w:relativeTo="margin" w:alignment="right" w:leader="none"/>
    </w:r>
    <w:r w:rsidRPr="000F7B77">
      <w:rPr>
        <w:sz w:val="20"/>
        <w:szCs w:val="20"/>
        <w:lang w:val="en-US" w:eastAsia="en-US"/>
      </w:rPr>
      <w:t>1956.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1D" w:rsidRPr="008E6E74" w:rsidRDefault="008E6E74">
    <w:pPr>
      <w:pStyle w:val="Header"/>
      <w:rPr>
        <w:sz w:val="20"/>
        <w:szCs w:val="20"/>
      </w:rPr>
    </w:pPr>
    <w:r w:rsidRPr="008E6E74">
      <w:rPr>
        <w:sz w:val="20"/>
        <w:szCs w:val="20"/>
        <w:lang w:val="en-US" w:eastAsia="en-US"/>
      </w:rPr>
      <w:t>1956.</w:t>
    </w:r>
    <w:r w:rsidRPr="008E6E74">
      <w:rPr>
        <w:sz w:val="20"/>
        <w:szCs w:val="20"/>
        <w:lang w:val="en-US" w:eastAsia="en-US"/>
      </w:rPr>
      <w:ptab w:relativeTo="margin" w:alignment="center" w:leader="none"/>
    </w:r>
    <w:proofErr w:type="spellStart"/>
    <w:r w:rsidRPr="008E6E74">
      <w:rPr>
        <w:i/>
        <w:iCs/>
        <w:sz w:val="20"/>
        <w:szCs w:val="20"/>
        <w:lang w:val="en-US" w:eastAsia="en-US"/>
      </w:rPr>
      <w:t>Defence</w:t>
    </w:r>
    <w:proofErr w:type="spellEnd"/>
    <w:r w:rsidRPr="008E6E74">
      <w:rPr>
        <w:i/>
        <w:iCs/>
        <w:sz w:val="20"/>
        <w:szCs w:val="20"/>
        <w:lang w:val="en-US" w:eastAsia="en-US"/>
      </w:rPr>
      <w:t>.</w:t>
    </w:r>
    <w:r w:rsidRPr="008E6E74">
      <w:rPr>
        <w:sz w:val="20"/>
        <w:szCs w:val="20"/>
        <w:lang w:val="en-US" w:eastAsia="en-US"/>
      </w:rPr>
      <w:ptab w:relativeTo="margin" w:alignment="right" w:leader="none"/>
    </w:r>
    <w:r w:rsidRPr="008E6E74">
      <w:rPr>
        <w:sz w:val="20"/>
        <w:szCs w:val="20"/>
        <w:lang w:val="en-US" w:eastAsia="en-US"/>
      </w:rPr>
      <w:t>No. 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8549F1"/>
    <w:rsid w:val="00057CEA"/>
    <w:rsid w:val="000F7B77"/>
    <w:rsid w:val="001A58DE"/>
    <w:rsid w:val="001E4F89"/>
    <w:rsid w:val="003172AA"/>
    <w:rsid w:val="00327EF5"/>
    <w:rsid w:val="00396691"/>
    <w:rsid w:val="003C59BA"/>
    <w:rsid w:val="00406B03"/>
    <w:rsid w:val="00450B4B"/>
    <w:rsid w:val="004E6A03"/>
    <w:rsid w:val="004F6F9F"/>
    <w:rsid w:val="0050131D"/>
    <w:rsid w:val="00511833"/>
    <w:rsid w:val="00524485"/>
    <w:rsid w:val="005479F6"/>
    <w:rsid w:val="00562BEB"/>
    <w:rsid w:val="00581591"/>
    <w:rsid w:val="00585A16"/>
    <w:rsid w:val="005F37F0"/>
    <w:rsid w:val="00601E99"/>
    <w:rsid w:val="00665AD8"/>
    <w:rsid w:val="00674531"/>
    <w:rsid w:val="006C611C"/>
    <w:rsid w:val="006E5AC2"/>
    <w:rsid w:val="007070A6"/>
    <w:rsid w:val="00790D9B"/>
    <w:rsid w:val="007D0B2F"/>
    <w:rsid w:val="0080455C"/>
    <w:rsid w:val="00813A8D"/>
    <w:rsid w:val="008304DE"/>
    <w:rsid w:val="008549F1"/>
    <w:rsid w:val="008E6E74"/>
    <w:rsid w:val="00A40789"/>
    <w:rsid w:val="00A40A56"/>
    <w:rsid w:val="00A715AD"/>
    <w:rsid w:val="00AD23AC"/>
    <w:rsid w:val="00AE092F"/>
    <w:rsid w:val="00AF4E79"/>
    <w:rsid w:val="00B35D7F"/>
    <w:rsid w:val="00BF28C1"/>
    <w:rsid w:val="00BF76C0"/>
    <w:rsid w:val="00C36519"/>
    <w:rsid w:val="00C63CF1"/>
    <w:rsid w:val="00C97D69"/>
    <w:rsid w:val="00CB27ED"/>
    <w:rsid w:val="00D07DB4"/>
    <w:rsid w:val="00D21B42"/>
    <w:rsid w:val="00D459A7"/>
    <w:rsid w:val="00D60718"/>
    <w:rsid w:val="00D80D35"/>
    <w:rsid w:val="00D818BC"/>
    <w:rsid w:val="00D84B95"/>
    <w:rsid w:val="00DD078D"/>
    <w:rsid w:val="00E40BFD"/>
    <w:rsid w:val="00E447E8"/>
    <w:rsid w:val="00EB381A"/>
    <w:rsid w:val="00ED26C9"/>
    <w:rsid w:val="00F8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A8D"/>
    <w:pPr>
      <w:widowControl w:val="0"/>
      <w:autoSpaceDE w:val="0"/>
      <w:autoSpaceDN w:val="0"/>
      <w:adjustRightInd w:val="0"/>
    </w:pPr>
    <w:rPr>
      <w:rFont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813A8D"/>
  </w:style>
  <w:style w:type="paragraph" w:customStyle="1" w:styleId="Style2">
    <w:name w:val="Style2"/>
    <w:basedOn w:val="Normal"/>
    <w:link w:val="Style2Char"/>
    <w:uiPriority w:val="99"/>
    <w:rsid w:val="00813A8D"/>
  </w:style>
  <w:style w:type="paragraph" w:customStyle="1" w:styleId="Style3">
    <w:name w:val="Style3"/>
    <w:basedOn w:val="Normal"/>
    <w:uiPriority w:val="99"/>
    <w:rsid w:val="00813A8D"/>
  </w:style>
  <w:style w:type="paragraph" w:customStyle="1" w:styleId="Style4">
    <w:name w:val="Style4"/>
    <w:basedOn w:val="Normal"/>
    <w:link w:val="Style4Char"/>
    <w:uiPriority w:val="99"/>
    <w:rsid w:val="00813A8D"/>
  </w:style>
  <w:style w:type="paragraph" w:customStyle="1" w:styleId="Style5">
    <w:name w:val="Style5"/>
    <w:basedOn w:val="Normal"/>
    <w:rsid w:val="00813A8D"/>
  </w:style>
  <w:style w:type="paragraph" w:customStyle="1" w:styleId="Style6">
    <w:name w:val="Style6"/>
    <w:basedOn w:val="Normal"/>
    <w:uiPriority w:val="99"/>
    <w:rsid w:val="00813A8D"/>
  </w:style>
  <w:style w:type="paragraph" w:customStyle="1" w:styleId="Style7">
    <w:name w:val="Style7"/>
    <w:basedOn w:val="Normal"/>
    <w:uiPriority w:val="99"/>
    <w:rsid w:val="00813A8D"/>
  </w:style>
  <w:style w:type="paragraph" w:customStyle="1" w:styleId="Style8">
    <w:name w:val="Style8"/>
    <w:basedOn w:val="Normal"/>
    <w:uiPriority w:val="99"/>
    <w:rsid w:val="00813A8D"/>
  </w:style>
  <w:style w:type="paragraph" w:customStyle="1" w:styleId="Style9">
    <w:name w:val="Style9"/>
    <w:basedOn w:val="Normal"/>
    <w:uiPriority w:val="99"/>
    <w:rsid w:val="00813A8D"/>
  </w:style>
  <w:style w:type="paragraph" w:customStyle="1" w:styleId="Style10">
    <w:name w:val="Style10"/>
    <w:basedOn w:val="Normal"/>
    <w:uiPriority w:val="99"/>
    <w:rsid w:val="00813A8D"/>
  </w:style>
  <w:style w:type="paragraph" w:customStyle="1" w:styleId="Style11">
    <w:name w:val="Style11"/>
    <w:basedOn w:val="Normal"/>
    <w:rsid w:val="00813A8D"/>
  </w:style>
  <w:style w:type="paragraph" w:customStyle="1" w:styleId="Style12">
    <w:name w:val="Style12"/>
    <w:basedOn w:val="Normal"/>
    <w:uiPriority w:val="99"/>
    <w:rsid w:val="00813A8D"/>
  </w:style>
  <w:style w:type="paragraph" w:customStyle="1" w:styleId="Style13">
    <w:name w:val="Style13"/>
    <w:basedOn w:val="Normal"/>
    <w:link w:val="Style13Char"/>
    <w:uiPriority w:val="99"/>
    <w:rsid w:val="00813A8D"/>
  </w:style>
  <w:style w:type="character" w:customStyle="1" w:styleId="FontStyle15">
    <w:name w:val="Font Style15"/>
    <w:basedOn w:val="DefaultParagraphFont"/>
    <w:uiPriority w:val="99"/>
    <w:rsid w:val="00813A8D"/>
    <w:rPr>
      <w:rFonts w:ascii="Times New Roman" w:hAnsi="Times New Roman" w:cs="Times New Roman"/>
      <w:sz w:val="32"/>
      <w:szCs w:val="32"/>
    </w:rPr>
  </w:style>
  <w:style w:type="character" w:customStyle="1" w:styleId="FontStyle16">
    <w:name w:val="Font Style16"/>
    <w:basedOn w:val="DefaultParagraphFont"/>
    <w:uiPriority w:val="99"/>
    <w:rsid w:val="00813A8D"/>
    <w:rPr>
      <w:rFonts w:ascii="Times New Roman" w:hAnsi="Times New Roman" w:cs="Times New Roman"/>
      <w:b/>
      <w:bCs/>
      <w:sz w:val="24"/>
      <w:szCs w:val="24"/>
    </w:rPr>
  </w:style>
  <w:style w:type="character" w:customStyle="1" w:styleId="FontStyle17">
    <w:name w:val="Font Style17"/>
    <w:basedOn w:val="DefaultParagraphFont"/>
    <w:uiPriority w:val="99"/>
    <w:rsid w:val="00813A8D"/>
    <w:rPr>
      <w:rFonts w:ascii="Times New Roman" w:hAnsi="Times New Roman" w:cs="Times New Roman"/>
      <w:sz w:val="26"/>
      <w:szCs w:val="26"/>
    </w:rPr>
  </w:style>
  <w:style w:type="character" w:customStyle="1" w:styleId="FontStyle18">
    <w:name w:val="Font Style18"/>
    <w:basedOn w:val="DefaultParagraphFont"/>
    <w:uiPriority w:val="99"/>
    <w:rsid w:val="00813A8D"/>
    <w:rPr>
      <w:rFonts w:ascii="Times New Roman" w:hAnsi="Times New Roman" w:cs="Times New Roman"/>
      <w:sz w:val="20"/>
      <w:szCs w:val="20"/>
    </w:rPr>
  </w:style>
  <w:style w:type="character" w:customStyle="1" w:styleId="FontStyle19">
    <w:name w:val="Font Style19"/>
    <w:basedOn w:val="DefaultParagraphFont"/>
    <w:uiPriority w:val="99"/>
    <w:rsid w:val="00813A8D"/>
    <w:rPr>
      <w:rFonts w:ascii="Times New Roman" w:hAnsi="Times New Roman" w:cs="Times New Roman"/>
      <w:sz w:val="48"/>
      <w:szCs w:val="48"/>
    </w:rPr>
  </w:style>
  <w:style w:type="character" w:customStyle="1" w:styleId="FontStyle20">
    <w:name w:val="Font Style20"/>
    <w:basedOn w:val="DefaultParagraphFont"/>
    <w:uiPriority w:val="99"/>
    <w:rsid w:val="00813A8D"/>
    <w:rPr>
      <w:rFonts w:ascii="Times New Roman" w:hAnsi="Times New Roman" w:cs="Times New Roman"/>
      <w:i/>
      <w:iCs/>
      <w:sz w:val="20"/>
      <w:szCs w:val="20"/>
    </w:rPr>
  </w:style>
  <w:style w:type="character" w:customStyle="1" w:styleId="FontStyle21">
    <w:name w:val="Font Style21"/>
    <w:basedOn w:val="DefaultParagraphFont"/>
    <w:uiPriority w:val="99"/>
    <w:rsid w:val="00813A8D"/>
    <w:rPr>
      <w:rFonts w:ascii="Times New Roman" w:hAnsi="Times New Roman" w:cs="Times New Roman"/>
      <w:b/>
      <w:bCs/>
      <w:sz w:val="12"/>
      <w:szCs w:val="12"/>
    </w:rPr>
  </w:style>
  <w:style w:type="character" w:customStyle="1" w:styleId="FontStyle22">
    <w:name w:val="Font Style22"/>
    <w:basedOn w:val="DefaultParagraphFont"/>
    <w:uiPriority w:val="99"/>
    <w:rsid w:val="00813A8D"/>
    <w:rPr>
      <w:rFonts w:ascii="Times New Roman" w:hAnsi="Times New Roman" w:cs="Times New Roman"/>
      <w:w w:val="150"/>
      <w:sz w:val="16"/>
      <w:szCs w:val="16"/>
    </w:rPr>
  </w:style>
  <w:style w:type="paragraph" w:styleId="Header">
    <w:name w:val="header"/>
    <w:basedOn w:val="Normal"/>
    <w:link w:val="HeaderChar"/>
    <w:uiPriority w:val="99"/>
    <w:semiHidden/>
    <w:unhideWhenUsed/>
    <w:rsid w:val="001E4F89"/>
    <w:pPr>
      <w:tabs>
        <w:tab w:val="center" w:pos="4513"/>
        <w:tab w:val="right" w:pos="9026"/>
      </w:tabs>
    </w:pPr>
  </w:style>
  <w:style w:type="character" w:customStyle="1" w:styleId="HeaderChar">
    <w:name w:val="Header Char"/>
    <w:basedOn w:val="DefaultParagraphFont"/>
    <w:link w:val="Header"/>
    <w:uiPriority w:val="99"/>
    <w:semiHidden/>
    <w:rsid w:val="001E4F89"/>
    <w:rPr>
      <w:rFonts w:hAnsi="Times New Roman" w:cs="Times New Roman"/>
      <w:sz w:val="24"/>
      <w:szCs w:val="24"/>
    </w:rPr>
  </w:style>
  <w:style w:type="paragraph" w:styleId="Footer">
    <w:name w:val="footer"/>
    <w:basedOn w:val="Normal"/>
    <w:link w:val="FooterChar"/>
    <w:uiPriority w:val="99"/>
    <w:semiHidden/>
    <w:unhideWhenUsed/>
    <w:rsid w:val="001E4F89"/>
    <w:pPr>
      <w:tabs>
        <w:tab w:val="center" w:pos="4513"/>
        <w:tab w:val="right" w:pos="9026"/>
      </w:tabs>
    </w:pPr>
  </w:style>
  <w:style w:type="character" w:customStyle="1" w:styleId="FooterChar">
    <w:name w:val="Footer Char"/>
    <w:basedOn w:val="DefaultParagraphFont"/>
    <w:link w:val="Footer"/>
    <w:uiPriority w:val="99"/>
    <w:semiHidden/>
    <w:rsid w:val="001E4F89"/>
    <w:rPr>
      <w:rFonts w:hAnsi="Times New Roman" w:cs="Times New Roman"/>
      <w:sz w:val="24"/>
      <w:szCs w:val="24"/>
    </w:rPr>
  </w:style>
  <w:style w:type="paragraph" w:customStyle="1" w:styleId="01list">
    <w:name w:val="0_1 list"/>
    <w:basedOn w:val="Style13"/>
    <w:link w:val="01listChar"/>
    <w:qFormat/>
    <w:rsid w:val="003172AA"/>
    <w:pPr>
      <w:widowControl/>
      <w:spacing w:after="120"/>
      <w:ind w:firstLine="144"/>
      <w:jc w:val="both"/>
    </w:pPr>
    <w:rPr>
      <w:sz w:val="22"/>
      <w:szCs w:val="22"/>
      <w:lang w:val="en-US" w:eastAsia="en-US"/>
    </w:rPr>
  </w:style>
  <w:style w:type="paragraph" w:customStyle="1" w:styleId="02list">
    <w:name w:val="0_2 list"/>
    <w:basedOn w:val="Normal"/>
    <w:link w:val="02listChar"/>
    <w:qFormat/>
    <w:rsid w:val="003172AA"/>
    <w:pPr>
      <w:spacing w:after="60"/>
      <w:ind w:left="864" w:hanging="432"/>
      <w:jc w:val="both"/>
    </w:pPr>
    <w:rPr>
      <w:bCs/>
      <w:sz w:val="22"/>
      <w:szCs w:val="22"/>
      <w:lang w:val="en-US" w:eastAsia="en-US"/>
    </w:rPr>
  </w:style>
  <w:style w:type="character" w:customStyle="1" w:styleId="Style13Char">
    <w:name w:val="Style13 Char"/>
    <w:basedOn w:val="DefaultParagraphFont"/>
    <w:link w:val="Style13"/>
    <w:uiPriority w:val="99"/>
    <w:rsid w:val="001E4F89"/>
    <w:rPr>
      <w:rFonts w:hAnsi="Times New Roman" w:cs="Times New Roman"/>
      <w:sz w:val="24"/>
      <w:szCs w:val="24"/>
    </w:rPr>
  </w:style>
  <w:style w:type="character" w:customStyle="1" w:styleId="01listChar">
    <w:name w:val="0_1 list Char"/>
    <w:basedOn w:val="Style13Char"/>
    <w:link w:val="01list"/>
    <w:rsid w:val="003172AA"/>
    <w:rPr>
      <w:rFonts w:hAnsi="Times New Roman" w:cs="Times New Roman"/>
      <w:sz w:val="22"/>
      <w:szCs w:val="22"/>
      <w:lang w:val="en-US" w:eastAsia="en-US"/>
    </w:rPr>
  </w:style>
  <w:style w:type="paragraph" w:customStyle="1" w:styleId="0Chaptertitle">
    <w:name w:val="0_Chapter title"/>
    <w:basedOn w:val="Style2"/>
    <w:link w:val="ChaptertitleChar"/>
    <w:qFormat/>
    <w:rsid w:val="00406B03"/>
    <w:pPr>
      <w:widowControl/>
      <w:spacing w:before="1080"/>
      <w:jc w:val="center"/>
    </w:pPr>
    <w:rPr>
      <w:lang w:val="de-DE" w:eastAsia="de-DE"/>
    </w:rPr>
  </w:style>
  <w:style w:type="character" w:customStyle="1" w:styleId="02listChar">
    <w:name w:val="0_2 list Char"/>
    <w:basedOn w:val="DefaultParagraphFont"/>
    <w:link w:val="02list"/>
    <w:rsid w:val="003172AA"/>
    <w:rPr>
      <w:rFonts w:hAnsi="Times New Roman" w:cs="Times New Roman"/>
      <w:bCs/>
      <w:sz w:val="22"/>
      <w:szCs w:val="22"/>
      <w:lang w:val="en-US" w:eastAsia="en-US"/>
    </w:rPr>
  </w:style>
  <w:style w:type="paragraph" w:customStyle="1" w:styleId="0Subtitle">
    <w:name w:val="0_Subtitle"/>
    <w:basedOn w:val="Style4"/>
    <w:link w:val="0SubtitleChar"/>
    <w:qFormat/>
    <w:rsid w:val="00406B03"/>
    <w:pPr>
      <w:widowControl/>
      <w:spacing w:before="240"/>
      <w:jc w:val="center"/>
    </w:pPr>
    <w:rPr>
      <w:lang w:val="de-DE" w:eastAsia="de-DE"/>
    </w:rPr>
  </w:style>
  <w:style w:type="character" w:customStyle="1" w:styleId="Style2Char">
    <w:name w:val="Style2 Char"/>
    <w:basedOn w:val="DefaultParagraphFont"/>
    <w:link w:val="Style2"/>
    <w:uiPriority w:val="99"/>
    <w:rsid w:val="00406B03"/>
    <w:rPr>
      <w:rFonts w:hAnsi="Times New Roman" w:cs="Times New Roman"/>
      <w:sz w:val="24"/>
      <w:szCs w:val="24"/>
    </w:rPr>
  </w:style>
  <w:style w:type="character" w:customStyle="1" w:styleId="ChaptertitleChar">
    <w:name w:val="Chapter title Char"/>
    <w:basedOn w:val="Style2Char"/>
    <w:link w:val="0Chaptertitle"/>
    <w:rsid w:val="00406B03"/>
    <w:rPr>
      <w:rFonts w:hAnsi="Times New Roman" w:cs="Times New Roman"/>
      <w:sz w:val="24"/>
      <w:szCs w:val="24"/>
    </w:rPr>
  </w:style>
  <w:style w:type="character" w:customStyle="1" w:styleId="Style4Char">
    <w:name w:val="Style4 Char"/>
    <w:basedOn w:val="DefaultParagraphFont"/>
    <w:link w:val="Style4"/>
    <w:uiPriority w:val="99"/>
    <w:rsid w:val="00406B03"/>
    <w:rPr>
      <w:rFonts w:hAnsi="Times New Roman" w:cs="Times New Roman"/>
      <w:sz w:val="24"/>
      <w:szCs w:val="24"/>
    </w:rPr>
  </w:style>
  <w:style w:type="character" w:customStyle="1" w:styleId="0SubtitleChar">
    <w:name w:val="0_Subtitle Char"/>
    <w:basedOn w:val="Style4Char"/>
    <w:link w:val="0Subtitle"/>
    <w:rsid w:val="00406B03"/>
    <w:rPr>
      <w:rFonts w:hAnsi="Times New Roman" w:cs="Times New Roman"/>
      <w:sz w:val="24"/>
      <w:szCs w:val="24"/>
    </w:rPr>
  </w:style>
  <w:style w:type="paragraph" w:styleId="BalloonText">
    <w:name w:val="Balloon Text"/>
    <w:basedOn w:val="Normal"/>
    <w:link w:val="BalloonTextChar"/>
    <w:uiPriority w:val="99"/>
    <w:semiHidden/>
    <w:unhideWhenUsed/>
    <w:rsid w:val="0050131D"/>
    <w:rPr>
      <w:rFonts w:ascii="Tahoma" w:hAnsi="Tahoma" w:cs="Tahoma"/>
      <w:sz w:val="16"/>
      <w:szCs w:val="16"/>
    </w:rPr>
  </w:style>
  <w:style w:type="character" w:customStyle="1" w:styleId="BalloonTextChar">
    <w:name w:val="Balloon Text Char"/>
    <w:basedOn w:val="DefaultParagraphFont"/>
    <w:link w:val="BalloonText"/>
    <w:uiPriority w:val="99"/>
    <w:semiHidden/>
    <w:rsid w:val="00501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124E7-F699-43BF-9EF5-5E4401A09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395</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Jaydeep</dc:creator>
  <cp:lastModifiedBy>Harper, Michael</cp:lastModifiedBy>
  <cp:revision>26</cp:revision>
  <dcterms:created xsi:type="dcterms:W3CDTF">2017-03-14T11:02:00Z</dcterms:created>
  <dcterms:modified xsi:type="dcterms:W3CDTF">2018-07-02T02:55:00Z</dcterms:modified>
</cp:coreProperties>
</file>