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5DF" w:rsidRPr="00B345DB" w:rsidRDefault="007615DF" w:rsidP="00F82E1E">
      <w:pPr>
        <w:spacing w:before="7000" w:after="0" w:line="240" w:lineRule="auto"/>
        <w:jc w:val="center"/>
        <w:rPr>
          <w:rFonts w:ascii="Times New Roman" w:hAnsi="Times New Roman"/>
          <w:sz w:val="36"/>
          <w:szCs w:val="36"/>
        </w:rPr>
      </w:pPr>
      <w:r w:rsidRPr="00B345DB">
        <w:rPr>
          <w:rFonts w:ascii="Times New Roman" w:hAnsi="Times New Roman"/>
          <w:sz w:val="36"/>
          <w:szCs w:val="36"/>
        </w:rPr>
        <w:t>TRACTOR BOUNTY.</w:t>
      </w:r>
    </w:p>
    <w:p w:rsidR="00B345DB" w:rsidRPr="00A866B4" w:rsidRDefault="00B345DB" w:rsidP="00B345DB">
      <w:pPr>
        <w:pBdr>
          <w:bottom w:val="single" w:sz="4" w:space="2" w:color="auto"/>
        </w:pBdr>
        <w:spacing w:before="120" w:after="120" w:line="240" w:lineRule="auto"/>
        <w:ind w:left="4176" w:right="4176"/>
        <w:jc w:val="center"/>
        <w:rPr>
          <w:rFonts w:ascii="Times New Roman" w:hAnsi="Times New Roman" w:cs="Times New Roman"/>
          <w:b/>
          <w:sz w:val="2"/>
          <w:szCs w:val="2"/>
        </w:rPr>
      </w:pPr>
    </w:p>
    <w:p w:rsidR="007615DF" w:rsidRPr="00B345DB" w:rsidRDefault="003B6146" w:rsidP="00B345DB">
      <w:pPr>
        <w:spacing w:after="0" w:line="240" w:lineRule="auto"/>
        <w:jc w:val="center"/>
        <w:rPr>
          <w:rFonts w:ascii="Times New Roman" w:hAnsi="Times New Roman"/>
          <w:sz w:val="28"/>
          <w:szCs w:val="28"/>
        </w:rPr>
      </w:pPr>
      <w:r w:rsidRPr="00B345DB">
        <w:rPr>
          <w:rFonts w:ascii="Times New Roman" w:hAnsi="Times New Roman"/>
          <w:b/>
          <w:sz w:val="28"/>
          <w:szCs w:val="28"/>
        </w:rPr>
        <w:t>No. 14 of 1953.</w:t>
      </w:r>
    </w:p>
    <w:p w:rsidR="007615DF" w:rsidRPr="00B345DB" w:rsidRDefault="007615DF" w:rsidP="00B345DB">
      <w:pPr>
        <w:spacing w:before="120" w:after="0" w:line="240" w:lineRule="auto"/>
        <w:jc w:val="center"/>
        <w:rPr>
          <w:rFonts w:ascii="Times New Roman" w:hAnsi="Times New Roman"/>
          <w:sz w:val="26"/>
          <w:szCs w:val="26"/>
        </w:rPr>
      </w:pPr>
      <w:r w:rsidRPr="00B345DB">
        <w:rPr>
          <w:rFonts w:ascii="Times New Roman" w:hAnsi="Times New Roman"/>
          <w:sz w:val="26"/>
          <w:szCs w:val="26"/>
        </w:rPr>
        <w:t xml:space="preserve">An Act to amend the </w:t>
      </w:r>
      <w:r w:rsidR="003B6146" w:rsidRPr="00B345DB">
        <w:rPr>
          <w:rFonts w:ascii="Times New Roman" w:hAnsi="Times New Roman"/>
          <w:i/>
          <w:sz w:val="26"/>
          <w:szCs w:val="26"/>
        </w:rPr>
        <w:t xml:space="preserve">Tractor Bounty Act </w:t>
      </w:r>
      <w:r w:rsidRPr="00B345DB">
        <w:rPr>
          <w:rFonts w:ascii="Times New Roman" w:hAnsi="Times New Roman"/>
          <w:sz w:val="26"/>
          <w:szCs w:val="26"/>
        </w:rPr>
        <w:t>1939-1950.</w:t>
      </w:r>
    </w:p>
    <w:p w:rsidR="007615DF" w:rsidRPr="00B345DB" w:rsidRDefault="007615DF" w:rsidP="00B345DB">
      <w:pPr>
        <w:spacing w:before="120" w:after="0" w:line="240" w:lineRule="auto"/>
        <w:jc w:val="right"/>
        <w:rPr>
          <w:rFonts w:ascii="Times New Roman" w:hAnsi="Times New Roman"/>
          <w:sz w:val="26"/>
          <w:szCs w:val="26"/>
        </w:rPr>
      </w:pPr>
      <w:r w:rsidRPr="00B345DB">
        <w:rPr>
          <w:rFonts w:ascii="Times New Roman" w:hAnsi="Times New Roman"/>
          <w:sz w:val="26"/>
          <w:szCs w:val="26"/>
        </w:rPr>
        <w:t>[Assented to 8th April, 1953.]</w:t>
      </w:r>
    </w:p>
    <w:p w:rsidR="007615DF" w:rsidRPr="00FE1CE1" w:rsidRDefault="007615DF" w:rsidP="00B345DB">
      <w:pPr>
        <w:spacing w:before="120" w:after="0" w:line="240" w:lineRule="auto"/>
        <w:jc w:val="both"/>
        <w:rPr>
          <w:rFonts w:ascii="Times New Roman" w:hAnsi="Times New Roman"/>
        </w:rPr>
      </w:pPr>
      <w:r w:rsidRPr="00FE1CE1">
        <w:rPr>
          <w:rFonts w:ascii="Times New Roman" w:hAnsi="Times New Roman"/>
        </w:rPr>
        <w:t>BE it enacted by the Queen</w:t>
      </w:r>
      <w:r w:rsidR="00B353C2" w:rsidRPr="00FE1CE1">
        <w:rPr>
          <w:rFonts w:ascii="Times New Roman" w:hAnsi="Times New Roman"/>
        </w:rPr>
        <w:t>’</w:t>
      </w:r>
      <w:r w:rsidRPr="00FE1CE1">
        <w:rPr>
          <w:rFonts w:ascii="Times New Roman" w:hAnsi="Times New Roman"/>
        </w:rPr>
        <w:t>s Most Excellent Majesty, the Senate, and the House of Representatives of the Commonwealth of Australia, for the purpose of appropriating the grant originated in the House of Representatives, as follows:—</w:t>
      </w:r>
    </w:p>
    <w:p w:rsidR="007615DF" w:rsidRPr="00B345DB" w:rsidRDefault="003B6146" w:rsidP="00B345DB">
      <w:pPr>
        <w:spacing w:before="120" w:after="60" w:line="240" w:lineRule="auto"/>
        <w:rPr>
          <w:rFonts w:ascii="Times New Roman" w:hAnsi="Times New Roman"/>
          <w:sz w:val="20"/>
        </w:rPr>
      </w:pPr>
      <w:r w:rsidRPr="00B345DB">
        <w:rPr>
          <w:rFonts w:ascii="Times New Roman" w:hAnsi="Times New Roman"/>
          <w:b/>
          <w:sz w:val="20"/>
        </w:rPr>
        <w:t>Short title and citation.</w:t>
      </w:r>
    </w:p>
    <w:p w:rsidR="007615DF" w:rsidRPr="00A354FF" w:rsidRDefault="003B6146" w:rsidP="00B345DB">
      <w:pPr>
        <w:tabs>
          <w:tab w:val="left" w:pos="1267"/>
        </w:tabs>
        <w:spacing w:after="0" w:line="240" w:lineRule="auto"/>
        <w:ind w:firstLine="432"/>
        <w:jc w:val="both"/>
        <w:rPr>
          <w:rFonts w:ascii="Times New Roman" w:hAnsi="Times New Roman"/>
        </w:rPr>
      </w:pPr>
      <w:r w:rsidRPr="00A354FF">
        <w:rPr>
          <w:rFonts w:ascii="Times New Roman" w:hAnsi="Times New Roman"/>
          <w:b/>
        </w:rPr>
        <w:t>1.</w:t>
      </w:r>
      <w:r w:rsidR="007615DF" w:rsidRPr="00A354FF">
        <w:rPr>
          <w:rFonts w:ascii="Times New Roman" w:hAnsi="Times New Roman"/>
        </w:rPr>
        <w:t>—(1.)</w:t>
      </w:r>
      <w:r w:rsidR="00B345DB">
        <w:rPr>
          <w:rFonts w:ascii="Times New Roman" w:hAnsi="Times New Roman"/>
        </w:rPr>
        <w:tab/>
      </w:r>
      <w:r w:rsidR="007615DF" w:rsidRPr="00A354FF">
        <w:rPr>
          <w:rFonts w:ascii="Times New Roman" w:hAnsi="Times New Roman"/>
        </w:rPr>
        <w:t xml:space="preserve">This Act may be cited as the </w:t>
      </w:r>
      <w:r w:rsidRPr="00A354FF">
        <w:rPr>
          <w:rFonts w:ascii="Times New Roman" w:hAnsi="Times New Roman"/>
          <w:i/>
        </w:rPr>
        <w:t xml:space="preserve">Tractor Bounty Act </w:t>
      </w:r>
      <w:r w:rsidR="007615DF" w:rsidRPr="00A354FF">
        <w:rPr>
          <w:rFonts w:ascii="Times New Roman" w:hAnsi="Times New Roman"/>
        </w:rPr>
        <w:t>1953.</w:t>
      </w:r>
    </w:p>
    <w:p w:rsidR="00030E99" w:rsidRDefault="00030E99">
      <w:pPr>
        <w:rPr>
          <w:rFonts w:ascii="Times New Roman" w:hAnsi="Times New Roman"/>
        </w:rPr>
      </w:pPr>
      <w:r>
        <w:rPr>
          <w:rFonts w:ascii="Times New Roman" w:hAnsi="Times New Roman"/>
        </w:rPr>
        <w:br w:type="page"/>
      </w:r>
    </w:p>
    <w:p w:rsidR="007615DF" w:rsidRPr="00A354FF" w:rsidRDefault="007615DF" w:rsidP="00CE22E6">
      <w:pPr>
        <w:tabs>
          <w:tab w:val="left" w:pos="900"/>
        </w:tabs>
        <w:spacing w:after="0" w:line="240" w:lineRule="auto"/>
        <w:ind w:firstLine="432"/>
        <w:jc w:val="both"/>
        <w:rPr>
          <w:rFonts w:ascii="Times New Roman" w:hAnsi="Times New Roman"/>
        </w:rPr>
      </w:pPr>
      <w:r w:rsidRPr="00A354FF">
        <w:rPr>
          <w:rFonts w:ascii="Times New Roman" w:hAnsi="Times New Roman"/>
        </w:rPr>
        <w:lastRenderedPageBreak/>
        <w:t>(2.)</w:t>
      </w:r>
      <w:r w:rsidR="00CE22E6">
        <w:rPr>
          <w:rFonts w:ascii="Times New Roman" w:hAnsi="Times New Roman"/>
        </w:rPr>
        <w:tab/>
      </w:r>
      <w:r w:rsidRPr="00A354FF">
        <w:rPr>
          <w:rFonts w:ascii="Times New Roman" w:hAnsi="Times New Roman"/>
        </w:rPr>
        <w:t xml:space="preserve">The </w:t>
      </w:r>
      <w:r w:rsidR="003B6146" w:rsidRPr="00A354FF">
        <w:rPr>
          <w:rFonts w:ascii="Times New Roman" w:hAnsi="Times New Roman"/>
          <w:i/>
        </w:rPr>
        <w:t xml:space="preserve">Tractor Bounty Act </w:t>
      </w:r>
      <w:r w:rsidR="00FE1CE1">
        <w:rPr>
          <w:rFonts w:ascii="Times New Roman" w:hAnsi="Times New Roman"/>
        </w:rPr>
        <w:t>1939-1950</w:t>
      </w:r>
      <w:r w:rsidRPr="00A354FF">
        <w:rPr>
          <w:rFonts w:ascii="Times New Roman" w:hAnsi="Times New Roman"/>
        </w:rPr>
        <w:t xml:space="preserve"> is in this Act referred to as the Principal Act.</w:t>
      </w:r>
    </w:p>
    <w:p w:rsidR="007615DF" w:rsidRPr="00A354FF" w:rsidRDefault="007615DF" w:rsidP="00CE22E6">
      <w:pPr>
        <w:tabs>
          <w:tab w:val="left" w:pos="900"/>
        </w:tabs>
        <w:spacing w:after="0" w:line="240" w:lineRule="auto"/>
        <w:ind w:firstLine="432"/>
        <w:jc w:val="both"/>
        <w:rPr>
          <w:rFonts w:ascii="Times New Roman" w:hAnsi="Times New Roman"/>
        </w:rPr>
      </w:pPr>
      <w:r w:rsidRPr="00A354FF">
        <w:rPr>
          <w:rFonts w:ascii="Times New Roman" w:hAnsi="Times New Roman"/>
        </w:rPr>
        <w:t>(3.)</w:t>
      </w:r>
      <w:r w:rsidR="00CE22E6">
        <w:rPr>
          <w:rFonts w:ascii="Times New Roman" w:hAnsi="Times New Roman"/>
        </w:rPr>
        <w:tab/>
      </w:r>
      <w:r w:rsidRPr="00A354FF">
        <w:rPr>
          <w:rFonts w:ascii="Times New Roman" w:hAnsi="Times New Roman"/>
        </w:rPr>
        <w:t xml:space="preserve">The Principal Act, as amended by this Act, may be cited as the </w:t>
      </w:r>
      <w:r w:rsidR="003B6146" w:rsidRPr="00A354FF">
        <w:rPr>
          <w:rFonts w:ascii="Times New Roman" w:hAnsi="Times New Roman"/>
          <w:i/>
        </w:rPr>
        <w:t xml:space="preserve">Tractor Bounty Act </w:t>
      </w:r>
      <w:r w:rsidRPr="00A354FF">
        <w:rPr>
          <w:rFonts w:ascii="Times New Roman" w:hAnsi="Times New Roman"/>
        </w:rPr>
        <w:t>1939-1953.</w:t>
      </w:r>
    </w:p>
    <w:p w:rsidR="007615DF" w:rsidRPr="00120B58" w:rsidRDefault="003B6146" w:rsidP="00120B58">
      <w:pPr>
        <w:spacing w:before="120" w:after="60" w:line="240" w:lineRule="auto"/>
        <w:rPr>
          <w:rFonts w:ascii="Times New Roman" w:hAnsi="Times New Roman"/>
          <w:sz w:val="20"/>
        </w:rPr>
      </w:pPr>
      <w:r w:rsidRPr="00120B58">
        <w:rPr>
          <w:rFonts w:ascii="Times New Roman" w:hAnsi="Times New Roman"/>
          <w:b/>
          <w:sz w:val="20"/>
        </w:rPr>
        <w:t>Commencement.</w:t>
      </w:r>
    </w:p>
    <w:p w:rsidR="007615DF" w:rsidRPr="00A354FF" w:rsidRDefault="003B6146" w:rsidP="00120B58">
      <w:pPr>
        <w:spacing w:after="0" w:line="240" w:lineRule="auto"/>
        <w:ind w:firstLine="432"/>
        <w:jc w:val="both"/>
        <w:rPr>
          <w:rFonts w:ascii="Times New Roman" w:hAnsi="Times New Roman"/>
        </w:rPr>
      </w:pPr>
      <w:r w:rsidRPr="00A354FF">
        <w:rPr>
          <w:rFonts w:ascii="Times New Roman" w:hAnsi="Times New Roman"/>
          <w:b/>
        </w:rPr>
        <w:t>2.</w:t>
      </w:r>
      <w:r w:rsidR="00120B58">
        <w:rPr>
          <w:rFonts w:ascii="Times New Roman" w:hAnsi="Times New Roman"/>
          <w:b/>
        </w:rPr>
        <w:tab/>
      </w:r>
      <w:r w:rsidR="007615DF" w:rsidRPr="00A354FF">
        <w:rPr>
          <w:rFonts w:ascii="Times New Roman" w:hAnsi="Times New Roman"/>
        </w:rPr>
        <w:t>This Act shall be deemed to have come into operation on the twenty-fourth day of October, One thousand nine hundred and fifty-two.</w:t>
      </w:r>
    </w:p>
    <w:p w:rsidR="007615DF" w:rsidRPr="002E1EB0" w:rsidRDefault="003B6146" w:rsidP="002E1EB0">
      <w:pPr>
        <w:spacing w:before="120" w:after="60" w:line="240" w:lineRule="auto"/>
        <w:rPr>
          <w:rFonts w:ascii="Times New Roman" w:hAnsi="Times New Roman"/>
          <w:sz w:val="20"/>
        </w:rPr>
      </w:pPr>
      <w:r w:rsidRPr="002E1EB0">
        <w:rPr>
          <w:rFonts w:ascii="Times New Roman" w:hAnsi="Times New Roman"/>
          <w:b/>
          <w:sz w:val="20"/>
        </w:rPr>
        <w:t>Limit of annual</w:t>
      </w:r>
      <w:r w:rsidR="00FE1CE1">
        <w:rPr>
          <w:rFonts w:ascii="Times New Roman" w:hAnsi="Times New Roman"/>
          <w:b/>
          <w:sz w:val="20"/>
        </w:rPr>
        <w:t xml:space="preserve"> </w:t>
      </w:r>
      <w:r w:rsidRPr="002E1EB0">
        <w:rPr>
          <w:rFonts w:ascii="Times New Roman" w:hAnsi="Times New Roman"/>
          <w:b/>
          <w:sz w:val="20"/>
        </w:rPr>
        <w:t>bounty.</w:t>
      </w:r>
      <w:r w:rsidR="00120B58" w:rsidRPr="002E1EB0">
        <w:rPr>
          <w:rFonts w:ascii="Times New Roman" w:hAnsi="Times New Roman"/>
          <w:b/>
          <w:sz w:val="20"/>
        </w:rPr>
        <w:t xml:space="preserve"> </w:t>
      </w:r>
    </w:p>
    <w:p w:rsidR="007615DF" w:rsidRPr="00A354FF" w:rsidRDefault="003B6146" w:rsidP="002E1EB0">
      <w:pPr>
        <w:spacing w:after="0" w:line="240" w:lineRule="auto"/>
        <w:ind w:firstLine="432"/>
        <w:jc w:val="both"/>
        <w:rPr>
          <w:rFonts w:ascii="Times New Roman" w:hAnsi="Times New Roman"/>
        </w:rPr>
      </w:pPr>
      <w:r w:rsidRPr="00A354FF">
        <w:rPr>
          <w:rFonts w:ascii="Times New Roman" w:hAnsi="Times New Roman"/>
          <w:b/>
        </w:rPr>
        <w:t>3.</w:t>
      </w:r>
      <w:r w:rsidR="002E1EB0">
        <w:rPr>
          <w:rFonts w:ascii="Times New Roman" w:hAnsi="Times New Roman"/>
          <w:b/>
        </w:rPr>
        <w:tab/>
      </w:r>
      <w:r w:rsidR="007615DF" w:rsidRPr="00A354FF">
        <w:rPr>
          <w:rFonts w:ascii="Times New Roman" w:hAnsi="Times New Roman"/>
        </w:rPr>
        <w:t>Section four of the Principal Act is repealed.</w:t>
      </w:r>
    </w:p>
    <w:p w:rsidR="00B50E66" w:rsidRPr="00B50E66" w:rsidRDefault="00B50E66" w:rsidP="00B50E66">
      <w:pPr>
        <w:spacing w:before="120" w:after="60" w:line="240" w:lineRule="auto"/>
        <w:rPr>
          <w:rFonts w:ascii="Times New Roman" w:hAnsi="Times New Roman"/>
          <w:sz w:val="20"/>
        </w:rPr>
      </w:pPr>
      <w:r w:rsidRPr="00B50E66">
        <w:rPr>
          <w:rFonts w:ascii="Times New Roman" w:hAnsi="Times New Roman"/>
          <w:b/>
          <w:sz w:val="20"/>
        </w:rPr>
        <w:t>Specification of bounty.</w:t>
      </w:r>
    </w:p>
    <w:p w:rsidR="007615DF" w:rsidRPr="00A354FF" w:rsidRDefault="003B6146" w:rsidP="002E1EB0">
      <w:pPr>
        <w:spacing w:after="0" w:line="240" w:lineRule="auto"/>
        <w:ind w:firstLine="432"/>
        <w:jc w:val="both"/>
        <w:rPr>
          <w:rFonts w:ascii="Times New Roman" w:hAnsi="Times New Roman"/>
        </w:rPr>
      </w:pPr>
      <w:r w:rsidRPr="00A354FF">
        <w:rPr>
          <w:rFonts w:ascii="Times New Roman" w:hAnsi="Times New Roman"/>
          <w:b/>
        </w:rPr>
        <w:t>4.</w:t>
      </w:r>
      <w:r w:rsidR="002E1EB0">
        <w:rPr>
          <w:rFonts w:ascii="Times New Roman" w:hAnsi="Times New Roman"/>
          <w:b/>
        </w:rPr>
        <w:tab/>
      </w:r>
      <w:r w:rsidR="007615DF" w:rsidRPr="00A354FF">
        <w:rPr>
          <w:rFonts w:ascii="Times New Roman" w:hAnsi="Times New Roman"/>
        </w:rPr>
        <w:t xml:space="preserve">Section six of the Principal Act is amended by omitting the word </w:t>
      </w:r>
      <w:r w:rsidR="00B353C2">
        <w:rPr>
          <w:rFonts w:ascii="Times New Roman" w:hAnsi="Times New Roman"/>
        </w:rPr>
        <w:t>“</w:t>
      </w:r>
      <w:r w:rsidR="007615DF" w:rsidRPr="00A354FF">
        <w:rPr>
          <w:rFonts w:ascii="Times New Roman" w:hAnsi="Times New Roman"/>
        </w:rPr>
        <w:t>fourteen</w:t>
      </w:r>
      <w:r w:rsidR="00B353C2">
        <w:rPr>
          <w:rFonts w:ascii="Times New Roman" w:hAnsi="Times New Roman"/>
        </w:rPr>
        <w:t>”</w:t>
      </w:r>
      <w:r w:rsidR="007615DF" w:rsidRPr="00A354FF">
        <w:rPr>
          <w:rFonts w:ascii="Times New Roman" w:hAnsi="Times New Roman"/>
        </w:rPr>
        <w:t xml:space="preserve"> and inserting in its stead the word </w:t>
      </w:r>
      <w:r w:rsidR="00B353C2">
        <w:rPr>
          <w:rFonts w:ascii="Times New Roman" w:hAnsi="Times New Roman"/>
        </w:rPr>
        <w:t>“</w:t>
      </w:r>
      <w:r w:rsidR="007615DF" w:rsidRPr="00A354FF">
        <w:rPr>
          <w:rFonts w:ascii="Times New Roman" w:hAnsi="Times New Roman"/>
        </w:rPr>
        <w:t>sixteen</w:t>
      </w:r>
      <w:r w:rsidR="00B353C2">
        <w:rPr>
          <w:rFonts w:ascii="Times New Roman" w:hAnsi="Times New Roman"/>
        </w:rPr>
        <w:t>”</w:t>
      </w:r>
      <w:r w:rsidR="007615DF" w:rsidRPr="00A354FF">
        <w:rPr>
          <w:rFonts w:ascii="Times New Roman" w:hAnsi="Times New Roman"/>
        </w:rPr>
        <w:t>.</w:t>
      </w:r>
    </w:p>
    <w:p w:rsidR="007615DF" w:rsidRPr="002E1EB0" w:rsidRDefault="003B6146" w:rsidP="002E1EB0">
      <w:pPr>
        <w:spacing w:before="120" w:after="60" w:line="240" w:lineRule="auto"/>
        <w:rPr>
          <w:rFonts w:ascii="Times New Roman" w:hAnsi="Times New Roman"/>
          <w:sz w:val="20"/>
        </w:rPr>
      </w:pPr>
      <w:r w:rsidRPr="002E1EB0">
        <w:rPr>
          <w:rFonts w:ascii="Times New Roman" w:hAnsi="Times New Roman"/>
          <w:b/>
          <w:sz w:val="20"/>
        </w:rPr>
        <w:t>Rates of bounty.</w:t>
      </w:r>
    </w:p>
    <w:p w:rsidR="00941249" w:rsidRDefault="003B6146" w:rsidP="001B70B8">
      <w:pPr>
        <w:tabs>
          <w:tab w:val="left" w:pos="1267"/>
        </w:tabs>
        <w:spacing w:after="60" w:line="240" w:lineRule="auto"/>
        <w:ind w:firstLine="432"/>
        <w:jc w:val="both"/>
        <w:rPr>
          <w:rFonts w:ascii="Times New Roman" w:hAnsi="Times New Roman"/>
        </w:rPr>
      </w:pPr>
      <w:r w:rsidRPr="00A354FF">
        <w:rPr>
          <w:rFonts w:ascii="Times New Roman" w:hAnsi="Times New Roman"/>
          <w:b/>
        </w:rPr>
        <w:t>5.</w:t>
      </w:r>
      <w:r w:rsidR="007615DF" w:rsidRPr="00A354FF">
        <w:rPr>
          <w:rFonts w:ascii="Times New Roman" w:hAnsi="Times New Roman"/>
        </w:rPr>
        <w:t>—(1.)</w:t>
      </w:r>
      <w:r w:rsidR="002E1EB0">
        <w:rPr>
          <w:rFonts w:ascii="Times New Roman" w:hAnsi="Times New Roman"/>
        </w:rPr>
        <w:tab/>
      </w:r>
      <w:r w:rsidR="007615DF" w:rsidRPr="00A354FF">
        <w:rPr>
          <w:rFonts w:ascii="Times New Roman" w:hAnsi="Times New Roman"/>
        </w:rPr>
        <w:t xml:space="preserve">Section seven of the Principal Act is amended— </w:t>
      </w:r>
    </w:p>
    <w:p w:rsidR="007615DF" w:rsidRPr="00A354FF" w:rsidRDefault="007615DF" w:rsidP="00941249">
      <w:pPr>
        <w:tabs>
          <w:tab w:val="left" w:pos="1267"/>
        </w:tabs>
        <w:spacing w:after="60" w:line="240" w:lineRule="auto"/>
        <w:ind w:left="1296" w:hanging="720"/>
        <w:jc w:val="both"/>
        <w:rPr>
          <w:rFonts w:ascii="Times New Roman" w:hAnsi="Times New Roman"/>
        </w:rPr>
      </w:pPr>
      <w:r w:rsidRPr="00A354FF">
        <w:rPr>
          <w:rFonts w:ascii="Times New Roman" w:hAnsi="Times New Roman"/>
        </w:rPr>
        <w:t>(</w:t>
      </w:r>
      <w:r w:rsidR="003B6146" w:rsidRPr="00A354FF">
        <w:rPr>
          <w:rFonts w:ascii="Times New Roman" w:hAnsi="Times New Roman"/>
          <w:i/>
        </w:rPr>
        <w:t>a</w:t>
      </w:r>
      <w:r w:rsidRPr="00A354FF">
        <w:rPr>
          <w:rFonts w:ascii="Times New Roman" w:hAnsi="Times New Roman"/>
        </w:rPr>
        <w:t>) by omitting the table contained in sub-section (1.) and inserting in its stead the following table:—</w:t>
      </w:r>
    </w:p>
    <w:tbl>
      <w:tblPr>
        <w:tblW w:w="5000" w:type="pct"/>
        <w:tblCellMar>
          <w:left w:w="40" w:type="dxa"/>
          <w:right w:w="40" w:type="dxa"/>
        </w:tblCellMar>
        <w:tblLook w:val="04A0" w:firstRow="1" w:lastRow="0" w:firstColumn="1" w:lastColumn="0" w:noHBand="0" w:noVBand="1"/>
      </w:tblPr>
      <w:tblGrid>
        <w:gridCol w:w="7560"/>
        <w:gridCol w:w="1880"/>
      </w:tblGrid>
      <w:tr w:rsidR="007615DF" w:rsidRPr="00321D70" w:rsidTr="00EB5FD2">
        <w:trPr>
          <w:trHeight w:val="20"/>
        </w:trPr>
        <w:tc>
          <w:tcPr>
            <w:tcW w:w="4004" w:type="pct"/>
            <w:tcBorders>
              <w:top w:val="single" w:sz="6" w:space="0" w:color="auto"/>
              <w:bottom w:val="single" w:sz="6" w:space="0" w:color="auto"/>
              <w:right w:val="single" w:sz="6" w:space="0" w:color="auto"/>
            </w:tcBorders>
            <w:vAlign w:val="center"/>
          </w:tcPr>
          <w:p w:rsidR="007615DF" w:rsidRPr="00321D70" w:rsidRDefault="003B6146" w:rsidP="004D12B7">
            <w:pPr>
              <w:spacing w:before="120" w:after="120" w:line="240" w:lineRule="auto"/>
              <w:jc w:val="center"/>
              <w:rPr>
                <w:rFonts w:ascii="Times New Roman" w:hAnsi="Times New Roman"/>
              </w:rPr>
            </w:pPr>
            <w:r w:rsidRPr="00321D70">
              <w:rPr>
                <w:rFonts w:ascii="Times New Roman" w:hAnsi="Times New Roman"/>
              </w:rPr>
              <w:t>Belt pulley horse-power of engine.</w:t>
            </w:r>
          </w:p>
        </w:tc>
        <w:tc>
          <w:tcPr>
            <w:tcW w:w="996" w:type="pct"/>
            <w:tcBorders>
              <w:top w:val="single" w:sz="6" w:space="0" w:color="auto"/>
              <w:left w:val="single" w:sz="6" w:space="0" w:color="auto"/>
              <w:bottom w:val="single" w:sz="6" w:space="0" w:color="auto"/>
            </w:tcBorders>
            <w:vAlign w:val="center"/>
          </w:tcPr>
          <w:p w:rsidR="007615DF" w:rsidRPr="00321D70" w:rsidRDefault="003B6146" w:rsidP="004D12B7">
            <w:pPr>
              <w:spacing w:before="120" w:after="120" w:line="240" w:lineRule="auto"/>
              <w:jc w:val="center"/>
              <w:rPr>
                <w:rFonts w:ascii="Times New Roman" w:hAnsi="Times New Roman"/>
              </w:rPr>
            </w:pPr>
            <w:r w:rsidRPr="00321D70">
              <w:rPr>
                <w:rFonts w:ascii="Times New Roman" w:hAnsi="Times New Roman"/>
              </w:rPr>
              <w:t>Bounty per tractor.</w:t>
            </w:r>
          </w:p>
        </w:tc>
      </w:tr>
      <w:tr w:rsidR="007615DF" w:rsidRPr="00A354FF" w:rsidTr="00472FC0">
        <w:trPr>
          <w:trHeight w:val="20"/>
        </w:trPr>
        <w:tc>
          <w:tcPr>
            <w:tcW w:w="4004" w:type="pct"/>
            <w:tcBorders>
              <w:top w:val="single" w:sz="6" w:space="0" w:color="auto"/>
              <w:right w:val="single" w:sz="6" w:space="0" w:color="auto"/>
            </w:tcBorders>
          </w:tcPr>
          <w:p w:rsidR="007615DF" w:rsidRPr="00A354FF" w:rsidRDefault="007615DF" w:rsidP="00767B51">
            <w:pPr>
              <w:spacing w:after="0" w:line="240" w:lineRule="auto"/>
              <w:rPr>
                <w:rFonts w:ascii="Times New Roman" w:hAnsi="Times New Roman"/>
              </w:rPr>
            </w:pPr>
          </w:p>
        </w:tc>
        <w:tc>
          <w:tcPr>
            <w:tcW w:w="996" w:type="pct"/>
            <w:tcBorders>
              <w:top w:val="single" w:sz="6" w:space="0" w:color="auto"/>
              <w:left w:val="single" w:sz="6" w:space="0" w:color="auto"/>
            </w:tcBorders>
          </w:tcPr>
          <w:p w:rsidR="007615DF" w:rsidRPr="00A354FF" w:rsidRDefault="00EB5FD2" w:rsidP="00EB5FD2">
            <w:pPr>
              <w:spacing w:after="0" w:line="240" w:lineRule="auto"/>
              <w:jc w:val="center"/>
              <w:rPr>
                <w:rFonts w:ascii="Times New Roman" w:hAnsi="Times New Roman"/>
              </w:rPr>
            </w:pPr>
            <w:r>
              <w:rPr>
                <w:rFonts w:ascii="Times New Roman" w:hAnsi="Times New Roman" w:cs="Times New Roman"/>
                <w:b/>
              </w:rPr>
              <w:t>£</w:t>
            </w:r>
          </w:p>
        </w:tc>
      </w:tr>
      <w:tr w:rsidR="007615DF" w:rsidRPr="00A354FF" w:rsidTr="00472FC0">
        <w:trPr>
          <w:trHeight w:val="20"/>
        </w:trPr>
        <w:tc>
          <w:tcPr>
            <w:tcW w:w="4004" w:type="pct"/>
            <w:tcBorders>
              <w:right w:val="single" w:sz="6" w:space="0" w:color="auto"/>
            </w:tcBorders>
          </w:tcPr>
          <w:p w:rsidR="007615DF" w:rsidRPr="00A354FF" w:rsidRDefault="007615DF" w:rsidP="00EB5FD2">
            <w:pPr>
              <w:tabs>
                <w:tab w:val="right" w:leader="dot" w:pos="7290"/>
              </w:tabs>
              <w:spacing w:after="0" w:line="240" w:lineRule="auto"/>
              <w:rPr>
                <w:rFonts w:ascii="Times New Roman" w:hAnsi="Times New Roman"/>
              </w:rPr>
            </w:pPr>
            <w:r w:rsidRPr="00A354FF">
              <w:rPr>
                <w:rFonts w:ascii="Times New Roman" w:hAnsi="Times New Roman"/>
              </w:rPr>
              <w:t>Exceeding 10 but not exceeding 15</w:t>
            </w:r>
            <w:r w:rsidR="00EB5FD2">
              <w:rPr>
                <w:rFonts w:ascii="Times New Roman" w:hAnsi="Times New Roman"/>
              </w:rPr>
              <w:tab/>
            </w:r>
          </w:p>
        </w:tc>
        <w:tc>
          <w:tcPr>
            <w:tcW w:w="996" w:type="pct"/>
            <w:tcBorders>
              <w:left w:val="single" w:sz="6" w:space="0" w:color="auto"/>
            </w:tcBorders>
          </w:tcPr>
          <w:p w:rsidR="007615DF" w:rsidRPr="00A354FF" w:rsidRDefault="007615DF" w:rsidP="00EB5FD2">
            <w:pPr>
              <w:spacing w:after="0" w:line="240" w:lineRule="auto"/>
              <w:jc w:val="center"/>
              <w:rPr>
                <w:rFonts w:ascii="Times New Roman" w:hAnsi="Times New Roman"/>
              </w:rPr>
            </w:pPr>
            <w:r w:rsidRPr="00A354FF">
              <w:rPr>
                <w:rFonts w:ascii="Times New Roman" w:hAnsi="Times New Roman"/>
              </w:rPr>
              <w:t>80</w:t>
            </w:r>
          </w:p>
        </w:tc>
      </w:tr>
      <w:tr w:rsidR="007615DF" w:rsidRPr="00A354FF" w:rsidTr="00472FC0">
        <w:trPr>
          <w:trHeight w:val="20"/>
        </w:trPr>
        <w:tc>
          <w:tcPr>
            <w:tcW w:w="4004" w:type="pct"/>
            <w:tcBorders>
              <w:right w:val="single" w:sz="6" w:space="0" w:color="auto"/>
            </w:tcBorders>
          </w:tcPr>
          <w:p w:rsidR="007615DF" w:rsidRPr="00A354FF" w:rsidRDefault="007615DF" w:rsidP="00EB5FD2">
            <w:pPr>
              <w:tabs>
                <w:tab w:val="right" w:leader="dot" w:pos="7290"/>
              </w:tabs>
              <w:spacing w:after="0" w:line="240" w:lineRule="auto"/>
              <w:rPr>
                <w:rFonts w:ascii="Times New Roman" w:hAnsi="Times New Roman"/>
              </w:rPr>
            </w:pPr>
            <w:r w:rsidRPr="00A354FF">
              <w:rPr>
                <w:rFonts w:ascii="Times New Roman" w:hAnsi="Times New Roman"/>
              </w:rPr>
              <w:t>Exceeding 15 but not exceeding 20</w:t>
            </w:r>
            <w:r w:rsidR="00EB5FD2">
              <w:rPr>
                <w:rFonts w:ascii="Times New Roman" w:hAnsi="Times New Roman"/>
              </w:rPr>
              <w:tab/>
            </w:r>
          </w:p>
        </w:tc>
        <w:tc>
          <w:tcPr>
            <w:tcW w:w="996" w:type="pct"/>
            <w:tcBorders>
              <w:left w:val="single" w:sz="6" w:space="0" w:color="auto"/>
            </w:tcBorders>
          </w:tcPr>
          <w:p w:rsidR="007615DF" w:rsidRPr="00A354FF" w:rsidRDefault="007615DF" w:rsidP="00EB5FD2">
            <w:pPr>
              <w:spacing w:after="0" w:line="240" w:lineRule="auto"/>
              <w:jc w:val="center"/>
              <w:rPr>
                <w:rFonts w:ascii="Times New Roman" w:hAnsi="Times New Roman"/>
              </w:rPr>
            </w:pPr>
            <w:r w:rsidRPr="00A354FF">
              <w:rPr>
                <w:rFonts w:ascii="Times New Roman" w:hAnsi="Times New Roman"/>
              </w:rPr>
              <w:t>100</w:t>
            </w:r>
          </w:p>
        </w:tc>
      </w:tr>
      <w:tr w:rsidR="007615DF" w:rsidRPr="00A354FF" w:rsidTr="00472FC0">
        <w:trPr>
          <w:trHeight w:val="20"/>
        </w:trPr>
        <w:tc>
          <w:tcPr>
            <w:tcW w:w="4004" w:type="pct"/>
            <w:tcBorders>
              <w:right w:val="single" w:sz="6" w:space="0" w:color="auto"/>
            </w:tcBorders>
          </w:tcPr>
          <w:p w:rsidR="007615DF" w:rsidRPr="00A354FF" w:rsidRDefault="007615DF" w:rsidP="00EB5FD2">
            <w:pPr>
              <w:tabs>
                <w:tab w:val="right" w:leader="dot" w:pos="7290"/>
              </w:tabs>
              <w:spacing w:after="0" w:line="240" w:lineRule="auto"/>
              <w:rPr>
                <w:rFonts w:ascii="Times New Roman" w:hAnsi="Times New Roman"/>
              </w:rPr>
            </w:pPr>
            <w:r w:rsidRPr="00A354FF">
              <w:rPr>
                <w:rFonts w:ascii="Times New Roman" w:hAnsi="Times New Roman"/>
              </w:rPr>
              <w:t>Exceeding 20 but not exceeding 30</w:t>
            </w:r>
            <w:r w:rsidR="00EB5FD2">
              <w:rPr>
                <w:rFonts w:ascii="Times New Roman" w:hAnsi="Times New Roman"/>
              </w:rPr>
              <w:tab/>
            </w:r>
          </w:p>
        </w:tc>
        <w:tc>
          <w:tcPr>
            <w:tcW w:w="996" w:type="pct"/>
            <w:tcBorders>
              <w:left w:val="single" w:sz="6" w:space="0" w:color="auto"/>
            </w:tcBorders>
          </w:tcPr>
          <w:p w:rsidR="007615DF" w:rsidRPr="00A354FF" w:rsidRDefault="007615DF" w:rsidP="00EB5FD2">
            <w:pPr>
              <w:spacing w:after="0" w:line="240" w:lineRule="auto"/>
              <w:jc w:val="center"/>
              <w:rPr>
                <w:rFonts w:ascii="Times New Roman" w:hAnsi="Times New Roman"/>
              </w:rPr>
            </w:pPr>
            <w:r w:rsidRPr="00A354FF">
              <w:rPr>
                <w:rFonts w:ascii="Times New Roman" w:hAnsi="Times New Roman"/>
              </w:rPr>
              <w:t>140</w:t>
            </w:r>
          </w:p>
        </w:tc>
      </w:tr>
      <w:tr w:rsidR="007615DF" w:rsidRPr="00A354FF" w:rsidTr="00472FC0">
        <w:trPr>
          <w:trHeight w:val="20"/>
        </w:trPr>
        <w:tc>
          <w:tcPr>
            <w:tcW w:w="4004" w:type="pct"/>
            <w:tcBorders>
              <w:right w:val="single" w:sz="6" w:space="0" w:color="auto"/>
            </w:tcBorders>
          </w:tcPr>
          <w:p w:rsidR="007615DF" w:rsidRPr="00A354FF" w:rsidRDefault="007615DF" w:rsidP="00EB5FD2">
            <w:pPr>
              <w:tabs>
                <w:tab w:val="right" w:leader="dot" w:pos="7290"/>
              </w:tabs>
              <w:spacing w:after="0" w:line="240" w:lineRule="auto"/>
              <w:rPr>
                <w:rFonts w:ascii="Times New Roman" w:hAnsi="Times New Roman"/>
              </w:rPr>
            </w:pPr>
            <w:r w:rsidRPr="00A354FF">
              <w:rPr>
                <w:rFonts w:ascii="Times New Roman" w:hAnsi="Times New Roman"/>
              </w:rPr>
              <w:t>Exceeding 30 but not exceeding 40</w:t>
            </w:r>
            <w:r w:rsidR="00EB5FD2">
              <w:rPr>
                <w:rFonts w:ascii="Times New Roman" w:hAnsi="Times New Roman"/>
              </w:rPr>
              <w:tab/>
            </w:r>
          </w:p>
        </w:tc>
        <w:tc>
          <w:tcPr>
            <w:tcW w:w="996" w:type="pct"/>
            <w:tcBorders>
              <w:left w:val="single" w:sz="6" w:space="0" w:color="auto"/>
            </w:tcBorders>
          </w:tcPr>
          <w:p w:rsidR="007615DF" w:rsidRPr="00A354FF" w:rsidRDefault="007615DF" w:rsidP="00EB5FD2">
            <w:pPr>
              <w:spacing w:after="0" w:line="240" w:lineRule="auto"/>
              <w:jc w:val="center"/>
              <w:rPr>
                <w:rFonts w:ascii="Times New Roman" w:hAnsi="Times New Roman"/>
              </w:rPr>
            </w:pPr>
            <w:r w:rsidRPr="00A354FF">
              <w:rPr>
                <w:rFonts w:ascii="Times New Roman" w:hAnsi="Times New Roman"/>
              </w:rPr>
              <w:t>180</w:t>
            </w:r>
          </w:p>
        </w:tc>
      </w:tr>
      <w:tr w:rsidR="007615DF" w:rsidRPr="00A354FF" w:rsidTr="00472FC0">
        <w:trPr>
          <w:trHeight w:val="20"/>
        </w:trPr>
        <w:tc>
          <w:tcPr>
            <w:tcW w:w="4004" w:type="pct"/>
            <w:tcBorders>
              <w:bottom w:val="single" w:sz="6" w:space="0" w:color="auto"/>
              <w:right w:val="single" w:sz="6" w:space="0" w:color="auto"/>
            </w:tcBorders>
          </w:tcPr>
          <w:p w:rsidR="007615DF" w:rsidRPr="00A354FF" w:rsidRDefault="007615DF" w:rsidP="00EB5FD2">
            <w:pPr>
              <w:tabs>
                <w:tab w:val="right" w:leader="dot" w:pos="7290"/>
              </w:tabs>
              <w:spacing w:after="0" w:line="240" w:lineRule="auto"/>
              <w:rPr>
                <w:rFonts w:ascii="Times New Roman" w:hAnsi="Times New Roman"/>
              </w:rPr>
            </w:pPr>
            <w:r w:rsidRPr="00A354FF">
              <w:rPr>
                <w:rFonts w:ascii="Times New Roman" w:hAnsi="Times New Roman"/>
              </w:rPr>
              <w:t>Exceeding 40 but not exceeding 55</w:t>
            </w:r>
            <w:r w:rsidR="00EB5FD2">
              <w:rPr>
                <w:rFonts w:ascii="Times New Roman" w:hAnsi="Times New Roman"/>
              </w:rPr>
              <w:tab/>
            </w:r>
          </w:p>
        </w:tc>
        <w:tc>
          <w:tcPr>
            <w:tcW w:w="996" w:type="pct"/>
            <w:tcBorders>
              <w:left w:val="single" w:sz="6" w:space="0" w:color="auto"/>
              <w:bottom w:val="single" w:sz="6" w:space="0" w:color="auto"/>
            </w:tcBorders>
          </w:tcPr>
          <w:p w:rsidR="007615DF" w:rsidRPr="00A354FF" w:rsidRDefault="007615DF" w:rsidP="00EB5FD2">
            <w:pPr>
              <w:spacing w:after="0" w:line="240" w:lineRule="auto"/>
              <w:jc w:val="center"/>
              <w:rPr>
                <w:rFonts w:ascii="Times New Roman" w:hAnsi="Times New Roman"/>
              </w:rPr>
            </w:pPr>
            <w:r w:rsidRPr="00A354FF">
              <w:rPr>
                <w:rFonts w:ascii="Times New Roman" w:hAnsi="Times New Roman"/>
              </w:rPr>
              <w:t>240</w:t>
            </w:r>
          </w:p>
        </w:tc>
      </w:tr>
    </w:tbl>
    <w:p w:rsidR="007615DF" w:rsidRPr="00A354FF" w:rsidRDefault="007615DF" w:rsidP="00941249">
      <w:pPr>
        <w:tabs>
          <w:tab w:val="left" w:pos="1267"/>
        </w:tabs>
        <w:spacing w:after="60" w:line="240" w:lineRule="auto"/>
        <w:ind w:left="1296" w:hanging="720"/>
        <w:jc w:val="both"/>
        <w:rPr>
          <w:rFonts w:ascii="Times New Roman" w:hAnsi="Times New Roman"/>
        </w:rPr>
      </w:pPr>
      <w:r w:rsidRPr="00A354FF">
        <w:rPr>
          <w:rFonts w:ascii="Times New Roman" w:hAnsi="Times New Roman"/>
        </w:rPr>
        <w:t>(</w:t>
      </w:r>
      <w:r w:rsidR="003B6146" w:rsidRPr="00A354FF">
        <w:rPr>
          <w:rFonts w:ascii="Times New Roman" w:hAnsi="Times New Roman"/>
          <w:i/>
        </w:rPr>
        <w:t>b</w:t>
      </w:r>
      <w:r w:rsidRPr="00A354FF">
        <w:rPr>
          <w:rFonts w:ascii="Times New Roman" w:hAnsi="Times New Roman"/>
        </w:rPr>
        <w:t xml:space="preserve">) by omitting from sub-sections (2.) and (3.) the word </w:t>
      </w:r>
      <w:r w:rsidR="00B353C2">
        <w:rPr>
          <w:rFonts w:ascii="Times New Roman" w:hAnsi="Times New Roman"/>
        </w:rPr>
        <w:t>“</w:t>
      </w:r>
      <w:r w:rsidRPr="00A354FF">
        <w:rPr>
          <w:rFonts w:ascii="Times New Roman" w:hAnsi="Times New Roman"/>
        </w:rPr>
        <w:t>forty-four</w:t>
      </w:r>
      <w:r w:rsidR="00B353C2">
        <w:rPr>
          <w:rFonts w:ascii="Times New Roman" w:hAnsi="Times New Roman"/>
        </w:rPr>
        <w:t>”</w:t>
      </w:r>
      <w:r w:rsidRPr="00A354FF">
        <w:rPr>
          <w:rFonts w:ascii="Times New Roman" w:hAnsi="Times New Roman"/>
        </w:rPr>
        <w:t xml:space="preserve"> and inserting in its stead the word </w:t>
      </w:r>
      <w:r w:rsidR="00B353C2">
        <w:rPr>
          <w:rFonts w:ascii="Times New Roman" w:hAnsi="Times New Roman"/>
        </w:rPr>
        <w:t>“</w:t>
      </w:r>
      <w:r w:rsidRPr="00A354FF">
        <w:rPr>
          <w:rFonts w:ascii="Times New Roman" w:hAnsi="Times New Roman"/>
        </w:rPr>
        <w:t>fifty-two</w:t>
      </w:r>
      <w:r w:rsidR="00B353C2">
        <w:rPr>
          <w:rFonts w:ascii="Times New Roman" w:hAnsi="Times New Roman"/>
        </w:rPr>
        <w:t>”</w:t>
      </w:r>
      <w:r w:rsidRPr="00A354FF">
        <w:rPr>
          <w:rFonts w:ascii="Times New Roman" w:hAnsi="Times New Roman"/>
        </w:rPr>
        <w:t>.</w:t>
      </w:r>
    </w:p>
    <w:p w:rsidR="007615DF" w:rsidRPr="00A354FF" w:rsidRDefault="007615DF" w:rsidP="00941249">
      <w:pPr>
        <w:tabs>
          <w:tab w:val="left" w:pos="900"/>
        </w:tabs>
        <w:spacing w:after="0" w:line="240" w:lineRule="auto"/>
        <w:ind w:firstLine="432"/>
        <w:jc w:val="both"/>
        <w:rPr>
          <w:rFonts w:ascii="Times New Roman" w:hAnsi="Times New Roman"/>
        </w:rPr>
      </w:pPr>
      <w:r w:rsidRPr="00A354FF">
        <w:rPr>
          <w:rFonts w:ascii="Times New Roman" w:hAnsi="Times New Roman"/>
        </w:rPr>
        <w:t>(2.)</w:t>
      </w:r>
      <w:r w:rsidR="00941249">
        <w:rPr>
          <w:rFonts w:ascii="Times New Roman" w:hAnsi="Times New Roman"/>
        </w:rPr>
        <w:tab/>
      </w:r>
      <w:r w:rsidRPr="00A354FF">
        <w:rPr>
          <w:rFonts w:ascii="Times New Roman" w:hAnsi="Times New Roman"/>
        </w:rPr>
        <w:t>The amendments effected by this section apply in relation to bounty payable in respect of tractors which are produced after the commencement of this Act.</w:t>
      </w:r>
    </w:p>
    <w:p w:rsidR="007615DF" w:rsidRPr="00A354FF" w:rsidRDefault="007615DF" w:rsidP="00941249">
      <w:pPr>
        <w:tabs>
          <w:tab w:val="left" w:pos="900"/>
        </w:tabs>
        <w:spacing w:after="0" w:line="240" w:lineRule="auto"/>
        <w:ind w:firstLine="432"/>
        <w:jc w:val="both"/>
        <w:rPr>
          <w:rFonts w:ascii="Times New Roman" w:hAnsi="Times New Roman"/>
        </w:rPr>
      </w:pPr>
      <w:r w:rsidRPr="00A354FF">
        <w:rPr>
          <w:rFonts w:ascii="Times New Roman" w:hAnsi="Times New Roman"/>
        </w:rPr>
        <w:t>(3.)</w:t>
      </w:r>
      <w:r w:rsidR="00941249">
        <w:rPr>
          <w:rFonts w:ascii="Times New Roman" w:hAnsi="Times New Roman"/>
        </w:rPr>
        <w:tab/>
      </w:r>
      <w:r w:rsidRPr="00A354FF">
        <w:rPr>
          <w:rFonts w:ascii="Times New Roman" w:hAnsi="Times New Roman"/>
        </w:rPr>
        <w:t>Section seven of the Principal Act continues to apply, as if this Act had not been passed, in relation to bounty payable in respect of tractors which were produced before the commencement of this Act and after the twenty-fourth day of October, One thousand nine hundred and fifty.</w:t>
      </w:r>
    </w:p>
    <w:p w:rsidR="007615DF" w:rsidRPr="00F94628" w:rsidRDefault="003B6146" w:rsidP="00F94628">
      <w:pPr>
        <w:spacing w:before="120" w:after="60" w:line="240" w:lineRule="auto"/>
        <w:rPr>
          <w:rFonts w:ascii="Times New Roman" w:hAnsi="Times New Roman"/>
          <w:sz w:val="20"/>
        </w:rPr>
      </w:pPr>
      <w:r w:rsidRPr="00F94628">
        <w:rPr>
          <w:rFonts w:ascii="Times New Roman" w:hAnsi="Times New Roman"/>
          <w:b/>
          <w:sz w:val="20"/>
        </w:rPr>
        <w:t>Reduction of bounty where profits exceed five per centum per annum.</w:t>
      </w:r>
    </w:p>
    <w:p w:rsidR="00EC5978" w:rsidRDefault="003B6146" w:rsidP="00F94628">
      <w:pPr>
        <w:tabs>
          <w:tab w:val="left" w:pos="1267"/>
        </w:tabs>
        <w:spacing w:after="0" w:line="240" w:lineRule="auto"/>
        <w:ind w:firstLine="432"/>
        <w:jc w:val="both"/>
        <w:rPr>
          <w:rFonts w:ascii="Times New Roman" w:hAnsi="Times New Roman"/>
        </w:rPr>
      </w:pPr>
      <w:r w:rsidRPr="00A354FF">
        <w:rPr>
          <w:rFonts w:ascii="Times New Roman" w:hAnsi="Times New Roman"/>
          <w:b/>
        </w:rPr>
        <w:t>6.—</w:t>
      </w:r>
      <w:r w:rsidR="007615DF" w:rsidRPr="00A354FF">
        <w:rPr>
          <w:rFonts w:ascii="Times New Roman" w:hAnsi="Times New Roman"/>
        </w:rPr>
        <w:t>(1.)</w:t>
      </w:r>
      <w:r w:rsidR="00F94628">
        <w:rPr>
          <w:rFonts w:ascii="Times New Roman" w:hAnsi="Times New Roman"/>
        </w:rPr>
        <w:tab/>
      </w:r>
      <w:r w:rsidR="007615DF" w:rsidRPr="00A354FF">
        <w:rPr>
          <w:rFonts w:ascii="Times New Roman" w:hAnsi="Times New Roman"/>
        </w:rPr>
        <w:t xml:space="preserve">Section nine of the Principal Act is amended by omitting from sub-sections (1.), </w:t>
      </w:r>
    </w:p>
    <w:p w:rsidR="007615DF" w:rsidRPr="00A354FF" w:rsidRDefault="007615DF" w:rsidP="00F94628">
      <w:pPr>
        <w:tabs>
          <w:tab w:val="left" w:pos="1267"/>
        </w:tabs>
        <w:spacing w:after="0" w:line="240" w:lineRule="auto"/>
        <w:ind w:firstLine="432"/>
        <w:jc w:val="both"/>
        <w:rPr>
          <w:rFonts w:ascii="Times New Roman" w:hAnsi="Times New Roman"/>
        </w:rPr>
      </w:pPr>
      <w:r w:rsidRPr="00A354FF">
        <w:rPr>
          <w:rFonts w:ascii="Times New Roman" w:hAnsi="Times New Roman"/>
        </w:rPr>
        <w:t xml:space="preserve">(2.) and (3.) the words </w:t>
      </w:r>
      <w:r w:rsidR="00B353C2">
        <w:rPr>
          <w:rFonts w:ascii="Times New Roman" w:hAnsi="Times New Roman"/>
        </w:rPr>
        <w:t>“</w:t>
      </w:r>
      <w:r w:rsidRPr="00A354FF">
        <w:rPr>
          <w:rFonts w:ascii="Times New Roman" w:hAnsi="Times New Roman"/>
        </w:rPr>
        <w:t>ten per centum</w:t>
      </w:r>
      <w:r w:rsidR="00B353C2">
        <w:rPr>
          <w:rFonts w:ascii="Times New Roman" w:hAnsi="Times New Roman"/>
        </w:rPr>
        <w:t>”</w:t>
      </w:r>
      <w:r w:rsidRPr="00A354FF">
        <w:rPr>
          <w:rFonts w:ascii="Times New Roman" w:hAnsi="Times New Roman"/>
        </w:rPr>
        <w:t xml:space="preserve"> (wherever occurring) and inserting in their stead the words </w:t>
      </w:r>
      <w:r w:rsidR="00B353C2">
        <w:rPr>
          <w:rFonts w:ascii="Times New Roman" w:hAnsi="Times New Roman"/>
        </w:rPr>
        <w:t>“</w:t>
      </w:r>
      <w:r w:rsidRPr="00A354FF">
        <w:rPr>
          <w:rFonts w:ascii="Times New Roman" w:hAnsi="Times New Roman"/>
        </w:rPr>
        <w:t>five per centum</w:t>
      </w:r>
      <w:r w:rsidR="00B353C2">
        <w:rPr>
          <w:rFonts w:ascii="Times New Roman" w:hAnsi="Times New Roman"/>
        </w:rPr>
        <w:t>”</w:t>
      </w:r>
      <w:r w:rsidRPr="00A354FF">
        <w:rPr>
          <w:rFonts w:ascii="Times New Roman" w:hAnsi="Times New Roman"/>
        </w:rPr>
        <w:t>.</w:t>
      </w:r>
    </w:p>
    <w:p w:rsidR="007615DF" w:rsidRPr="00A354FF" w:rsidRDefault="007615DF" w:rsidP="00EC5978">
      <w:pPr>
        <w:tabs>
          <w:tab w:val="left" w:pos="900"/>
        </w:tabs>
        <w:spacing w:after="0" w:line="240" w:lineRule="auto"/>
        <w:ind w:firstLine="432"/>
        <w:jc w:val="both"/>
        <w:rPr>
          <w:rFonts w:ascii="Times New Roman" w:hAnsi="Times New Roman"/>
        </w:rPr>
      </w:pPr>
      <w:r w:rsidRPr="00A354FF">
        <w:rPr>
          <w:rFonts w:ascii="Times New Roman" w:hAnsi="Times New Roman"/>
        </w:rPr>
        <w:t>(2.)</w:t>
      </w:r>
      <w:r w:rsidR="00EC5978">
        <w:rPr>
          <w:rFonts w:ascii="Times New Roman" w:hAnsi="Times New Roman"/>
        </w:rPr>
        <w:tab/>
      </w:r>
      <w:r w:rsidRPr="00A354FF">
        <w:rPr>
          <w:rFonts w:ascii="Times New Roman" w:hAnsi="Times New Roman"/>
        </w:rPr>
        <w:t>The amendments effected by this section apply in relation to the net profit of a manufacturer from the manufacture and sale of tractors during—</w:t>
      </w:r>
    </w:p>
    <w:p w:rsidR="007615DF" w:rsidRPr="00A354FF" w:rsidRDefault="007615DF" w:rsidP="00B71386">
      <w:pPr>
        <w:tabs>
          <w:tab w:val="left" w:pos="1267"/>
        </w:tabs>
        <w:spacing w:after="60" w:line="240" w:lineRule="auto"/>
        <w:ind w:left="1296" w:hanging="720"/>
        <w:jc w:val="both"/>
        <w:rPr>
          <w:rFonts w:ascii="Times New Roman" w:hAnsi="Times New Roman"/>
        </w:rPr>
      </w:pPr>
      <w:r w:rsidRPr="00A354FF">
        <w:rPr>
          <w:rFonts w:ascii="Times New Roman" w:hAnsi="Times New Roman"/>
        </w:rPr>
        <w:t>(</w:t>
      </w:r>
      <w:r w:rsidR="003B6146" w:rsidRPr="00A354FF">
        <w:rPr>
          <w:rFonts w:ascii="Times New Roman" w:hAnsi="Times New Roman"/>
          <w:i/>
        </w:rPr>
        <w:t>a</w:t>
      </w:r>
      <w:r w:rsidRPr="00A354FF">
        <w:rPr>
          <w:rFonts w:ascii="Times New Roman" w:hAnsi="Times New Roman"/>
        </w:rPr>
        <w:t>) that part of the financial year ending on the thirtieth day of June, One thousand nine hundred and fifty-three, which consists of the period which commenced on the date of commencement of this Act and ends on the last day of that financial year; and</w:t>
      </w:r>
    </w:p>
    <w:p w:rsidR="007615DF" w:rsidRDefault="007615DF" w:rsidP="00B71386">
      <w:pPr>
        <w:tabs>
          <w:tab w:val="left" w:pos="1267"/>
        </w:tabs>
        <w:spacing w:after="60" w:line="240" w:lineRule="auto"/>
        <w:ind w:left="1296" w:hanging="720"/>
        <w:jc w:val="both"/>
        <w:rPr>
          <w:rFonts w:ascii="Times New Roman" w:hAnsi="Times New Roman"/>
        </w:rPr>
      </w:pPr>
      <w:r w:rsidRPr="00A354FF">
        <w:rPr>
          <w:rFonts w:ascii="Times New Roman" w:hAnsi="Times New Roman"/>
        </w:rPr>
        <w:t>(</w:t>
      </w:r>
      <w:r w:rsidR="003B6146" w:rsidRPr="00A354FF">
        <w:rPr>
          <w:rFonts w:ascii="Times New Roman" w:hAnsi="Times New Roman"/>
          <w:i/>
        </w:rPr>
        <w:t>b</w:t>
      </w:r>
      <w:r w:rsidRPr="00A354FF">
        <w:rPr>
          <w:rFonts w:ascii="Times New Roman" w:hAnsi="Times New Roman"/>
        </w:rPr>
        <w:t>) any financial year, or part of a financial year, after that financial year.</w:t>
      </w:r>
    </w:p>
    <w:p w:rsidR="001A567C" w:rsidRDefault="001A567C">
      <w:pPr>
        <w:rPr>
          <w:rFonts w:ascii="Times New Roman" w:hAnsi="Times New Roman"/>
        </w:rPr>
      </w:pPr>
      <w:bookmarkStart w:id="0" w:name="_GoBack"/>
      <w:bookmarkEnd w:id="0"/>
      <w:r>
        <w:rPr>
          <w:rFonts w:ascii="Times New Roman" w:hAnsi="Times New Roman"/>
        </w:rPr>
        <w:br w:type="page"/>
      </w:r>
    </w:p>
    <w:p w:rsidR="001A567C" w:rsidRPr="00A354FF" w:rsidRDefault="001A567C" w:rsidP="00A45992">
      <w:pPr>
        <w:tabs>
          <w:tab w:val="left" w:pos="900"/>
        </w:tabs>
        <w:spacing w:after="0" w:line="240" w:lineRule="auto"/>
        <w:ind w:firstLine="432"/>
        <w:jc w:val="both"/>
        <w:rPr>
          <w:rFonts w:ascii="Times New Roman" w:hAnsi="Times New Roman"/>
        </w:rPr>
      </w:pPr>
      <w:r w:rsidRPr="00A354FF">
        <w:rPr>
          <w:rFonts w:ascii="Times New Roman" w:hAnsi="Times New Roman"/>
        </w:rPr>
        <w:lastRenderedPageBreak/>
        <w:t>(3.)</w:t>
      </w:r>
      <w:r w:rsidR="00A45992">
        <w:rPr>
          <w:rFonts w:ascii="Times New Roman" w:hAnsi="Times New Roman"/>
        </w:rPr>
        <w:tab/>
      </w:r>
      <w:r w:rsidRPr="00A354FF">
        <w:rPr>
          <w:rFonts w:ascii="Times New Roman" w:hAnsi="Times New Roman"/>
        </w:rPr>
        <w:t>Section nine of the Principal Act continues to apply, as if this Act had not been passed, in relation to the net profit of a manufacturer from the manufacture and sale of tractors during—</w:t>
      </w:r>
    </w:p>
    <w:p w:rsidR="001A567C" w:rsidRPr="00A354FF" w:rsidRDefault="001A567C" w:rsidP="00A45992">
      <w:pPr>
        <w:tabs>
          <w:tab w:val="left" w:pos="1267"/>
        </w:tabs>
        <w:spacing w:after="60" w:line="240" w:lineRule="auto"/>
        <w:ind w:left="1296" w:hanging="720"/>
        <w:jc w:val="both"/>
        <w:rPr>
          <w:rFonts w:ascii="Times New Roman" w:hAnsi="Times New Roman"/>
        </w:rPr>
      </w:pPr>
      <w:r w:rsidRPr="00A354FF">
        <w:rPr>
          <w:rFonts w:ascii="Times New Roman" w:hAnsi="Times New Roman"/>
        </w:rPr>
        <w:t>(</w:t>
      </w:r>
      <w:r w:rsidRPr="00A354FF">
        <w:rPr>
          <w:rFonts w:ascii="Times New Roman" w:hAnsi="Times New Roman"/>
          <w:i/>
        </w:rPr>
        <w:t>a</w:t>
      </w:r>
      <w:r w:rsidRPr="00A354FF">
        <w:rPr>
          <w:rFonts w:ascii="Times New Roman" w:hAnsi="Times New Roman"/>
        </w:rPr>
        <w:t>) any financial year, or part of a financial year, before the financial year ending on the thirtieth day of June, One thousand nine hundred and fifty-three; and</w:t>
      </w:r>
    </w:p>
    <w:p w:rsidR="001A567C" w:rsidRDefault="001A567C" w:rsidP="00A45992">
      <w:pPr>
        <w:tabs>
          <w:tab w:val="left" w:pos="1267"/>
        </w:tabs>
        <w:spacing w:after="60" w:line="240" w:lineRule="auto"/>
        <w:ind w:left="1296" w:hanging="720"/>
        <w:jc w:val="both"/>
        <w:rPr>
          <w:rFonts w:ascii="Times New Roman" w:hAnsi="Times New Roman"/>
        </w:rPr>
      </w:pPr>
      <w:r w:rsidRPr="00A354FF">
        <w:rPr>
          <w:rFonts w:ascii="Times New Roman" w:hAnsi="Times New Roman"/>
        </w:rPr>
        <w:t>(</w:t>
      </w:r>
      <w:r w:rsidRPr="00A354FF">
        <w:rPr>
          <w:rFonts w:ascii="Times New Roman" w:hAnsi="Times New Roman"/>
          <w:i/>
        </w:rPr>
        <w:t>b</w:t>
      </w:r>
      <w:r w:rsidRPr="00A354FF">
        <w:rPr>
          <w:rFonts w:ascii="Times New Roman" w:hAnsi="Times New Roman"/>
        </w:rPr>
        <w:t>) that part of that last-mentioned financial year which consists of the period which commenced on the first day of that financial year and ended on the day immediately preceding the date of commencement of this Act.</w:t>
      </w:r>
    </w:p>
    <w:p w:rsidR="00FB76DE" w:rsidRPr="00A354FF" w:rsidRDefault="00FB76DE" w:rsidP="00FC2EBC">
      <w:pPr>
        <w:pBdr>
          <w:top w:val="single" w:sz="4" w:space="1" w:color="auto"/>
        </w:pBdr>
        <w:tabs>
          <w:tab w:val="left" w:pos="1267"/>
        </w:tabs>
        <w:spacing w:before="800" w:after="0" w:line="240" w:lineRule="auto"/>
        <w:ind w:left="3456" w:right="3456"/>
        <w:jc w:val="center"/>
        <w:rPr>
          <w:rFonts w:ascii="Times New Roman" w:hAnsi="Times New Roman"/>
        </w:rPr>
      </w:pPr>
    </w:p>
    <w:sectPr w:rsidR="00FB76DE" w:rsidRPr="00A354FF" w:rsidSect="00EB7660">
      <w:headerReference w:type="even" r:id="rId7"/>
      <w:headerReference w:type="default" r:id="rId8"/>
      <w:pgSz w:w="11909" w:h="16834" w:code="9"/>
      <w:pgMar w:top="1138"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BCA" w:rsidRDefault="00B30BCA" w:rsidP="00EB7660">
      <w:pPr>
        <w:spacing w:after="0" w:line="240" w:lineRule="auto"/>
      </w:pPr>
      <w:r>
        <w:separator/>
      </w:r>
    </w:p>
  </w:endnote>
  <w:endnote w:type="continuationSeparator" w:id="0">
    <w:p w:rsidR="00B30BCA" w:rsidRDefault="00B30BCA" w:rsidP="00EB7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BCA" w:rsidRDefault="00B30BCA" w:rsidP="00EB7660">
      <w:pPr>
        <w:spacing w:after="0" w:line="240" w:lineRule="auto"/>
      </w:pPr>
      <w:r>
        <w:separator/>
      </w:r>
    </w:p>
  </w:footnote>
  <w:footnote w:type="continuationSeparator" w:id="0">
    <w:p w:rsidR="00B30BCA" w:rsidRDefault="00B30BCA" w:rsidP="00EB7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660" w:rsidRPr="00EB7660" w:rsidRDefault="00EB7660" w:rsidP="00EB7660">
    <w:pPr>
      <w:tabs>
        <w:tab w:val="left" w:pos="3960"/>
        <w:tab w:val="left" w:pos="8460"/>
      </w:tabs>
      <w:spacing w:after="0" w:line="240" w:lineRule="auto"/>
      <w:rPr>
        <w:rFonts w:ascii="Times New Roman" w:hAnsi="Times New Roman"/>
        <w:sz w:val="20"/>
        <w:szCs w:val="20"/>
      </w:rPr>
    </w:pPr>
    <w:r w:rsidRPr="00EB7660">
      <w:rPr>
        <w:rFonts w:ascii="Times New Roman" w:hAnsi="Times New Roman"/>
        <w:sz w:val="20"/>
        <w:szCs w:val="20"/>
      </w:rPr>
      <w:t>No. 14.</w:t>
    </w:r>
    <w:r>
      <w:rPr>
        <w:rFonts w:ascii="Times New Roman" w:hAnsi="Times New Roman"/>
        <w:sz w:val="20"/>
        <w:szCs w:val="20"/>
      </w:rPr>
      <w:tab/>
    </w:r>
    <w:r w:rsidRPr="00EB7660">
      <w:rPr>
        <w:rFonts w:ascii="Times New Roman" w:hAnsi="Times New Roman"/>
        <w:i/>
        <w:sz w:val="20"/>
        <w:szCs w:val="20"/>
      </w:rPr>
      <w:t>Tractor Bounty.</w:t>
    </w:r>
    <w:r>
      <w:rPr>
        <w:rFonts w:ascii="Times New Roman" w:hAnsi="Times New Roman"/>
        <w:i/>
        <w:sz w:val="20"/>
        <w:szCs w:val="20"/>
      </w:rPr>
      <w:tab/>
    </w:r>
    <w:r w:rsidRPr="00EB7660">
      <w:rPr>
        <w:rFonts w:ascii="Times New Roman" w:hAnsi="Times New Roman"/>
        <w:sz w:val="20"/>
        <w:szCs w:val="20"/>
      </w:rPr>
      <w:t>1953.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660" w:rsidRPr="00EB7660" w:rsidRDefault="00EB7660" w:rsidP="00EB7660">
    <w:pPr>
      <w:tabs>
        <w:tab w:val="left" w:pos="3960"/>
        <w:tab w:val="left" w:pos="8460"/>
      </w:tabs>
      <w:spacing w:after="0" w:line="240" w:lineRule="auto"/>
      <w:rPr>
        <w:rFonts w:ascii="Times New Roman" w:hAnsi="Times New Roman"/>
        <w:sz w:val="20"/>
        <w:szCs w:val="20"/>
      </w:rPr>
    </w:pPr>
    <w:r w:rsidRPr="00EB7660">
      <w:rPr>
        <w:rFonts w:ascii="Times New Roman" w:hAnsi="Times New Roman"/>
        <w:sz w:val="20"/>
        <w:szCs w:val="20"/>
      </w:rPr>
      <w:t>1953.</w:t>
    </w:r>
    <w:r>
      <w:rPr>
        <w:rFonts w:ascii="Times New Roman" w:hAnsi="Times New Roman"/>
        <w:sz w:val="20"/>
        <w:szCs w:val="20"/>
      </w:rPr>
      <w:tab/>
    </w:r>
    <w:r w:rsidRPr="00EB7660">
      <w:rPr>
        <w:rFonts w:ascii="Times New Roman" w:hAnsi="Times New Roman"/>
        <w:i/>
        <w:sz w:val="20"/>
        <w:szCs w:val="20"/>
      </w:rPr>
      <w:t>Tractor Bounty.</w:t>
    </w:r>
    <w:r>
      <w:rPr>
        <w:rFonts w:ascii="Times New Roman" w:hAnsi="Times New Roman"/>
        <w:i/>
        <w:sz w:val="20"/>
        <w:szCs w:val="20"/>
      </w:rPr>
      <w:tab/>
    </w:r>
    <w:r w:rsidRPr="00EB7660">
      <w:rPr>
        <w:rFonts w:ascii="Times New Roman" w:hAnsi="Times New Roman"/>
        <w:sz w:val="20"/>
        <w:szCs w:val="20"/>
      </w:rPr>
      <w:t>No. 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7615DF"/>
    <w:rsid w:val="00030E99"/>
    <w:rsid w:val="00113EC4"/>
    <w:rsid w:val="00120B58"/>
    <w:rsid w:val="00197065"/>
    <w:rsid w:val="001A567C"/>
    <w:rsid w:val="001B70B8"/>
    <w:rsid w:val="002E1EB0"/>
    <w:rsid w:val="00321D70"/>
    <w:rsid w:val="003B6146"/>
    <w:rsid w:val="00472FC0"/>
    <w:rsid w:val="004D12B7"/>
    <w:rsid w:val="005E2CA6"/>
    <w:rsid w:val="007615DF"/>
    <w:rsid w:val="00765D47"/>
    <w:rsid w:val="00767B51"/>
    <w:rsid w:val="008010BB"/>
    <w:rsid w:val="00941249"/>
    <w:rsid w:val="00A354FF"/>
    <w:rsid w:val="00A45992"/>
    <w:rsid w:val="00B30BCA"/>
    <w:rsid w:val="00B345DB"/>
    <w:rsid w:val="00B353C2"/>
    <w:rsid w:val="00B50E66"/>
    <w:rsid w:val="00B71386"/>
    <w:rsid w:val="00CE22E6"/>
    <w:rsid w:val="00EB5FD2"/>
    <w:rsid w:val="00EB7660"/>
    <w:rsid w:val="00EC5978"/>
    <w:rsid w:val="00EE4064"/>
    <w:rsid w:val="00F61C71"/>
    <w:rsid w:val="00F82E1E"/>
    <w:rsid w:val="00F94628"/>
    <w:rsid w:val="00F96FE1"/>
    <w:rsid w:val="00FB76DE"/>
    <w:rsid w:val="00FC2EBC"/>
    <w:rsid w:val="00FE1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7615DF"/>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7615DF"/>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7615DF"/>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7615DF"/>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7615DF"/>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7615DF"/>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7615DF"/>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7615DF"/>
    <w:pPr>
      <w:spacing w:after="0" w:line="240" w:lineRule="auto"/>
    </w:pPr>
    <w:rPr>
      <w:rFonts w:ascii="Century Schoolbook" w:eastAsia="Century Schoolbook" w:hAnsi="Century Schoolbook" w:cs="Century Schoolbook"/>
      <w:sz w:val="20"/>
      <w:szCs w:val="20"/>
    </w:rPr>
  </w:style>
  <w:style w:type="paragraph" w:customStyle="1" w:styleId="Style340">
    <w:name w:val="Style340"/>
    <w:basedOn w:val="Normal"/>
    <w:rsid w:val="007615DF"/>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7615DF"/>
    <w:pPr>
      <w:spacing w:after="0" w:line="240" w:lineRule="auto"/>
    </w:pPr>
    <w:rPr>
      <w:rFonts w:ascii="Century Schoolbook" w:eastAsia="Century Schoolbook" w:hAnsi="Century Schoolbook" w:cs="Century Schoolbook"/>
      <w:sz w:val="20"/>
      <w:szCs w:val="20"/>
    </w:rPr>
  </w:style>
  <w:style w:type="paragraph" w:customStyle="1" w:styleId="Style43">
    <w:name w:val="Style43"/>
    <w:basedOn w:val="Normal"/>
    <w:rsid w:val="007615DF"/>
    <w:pPr>
      <w:spacing w:after="0" w:line="240" w:lineRule="auto"/>
    </w:pPr>
    <w:rPr>
      <w:rFonts w:ascii="Century Schoolbook" w:eastAsia="Century Schoolbook" w:hAnsi="Century Schoolbook" w:cs="Century Schoolbook"/>
      <w:sz w:val="20"/>
      <w:szCs w:val="20"/>
    </w:rPr>
  </w:style>
  <w:style w:type="paragraph" w:customStyle="1" w:styleId="Style336">
    <w:name w:val="Style336"/>
    <w:basedOn w:val="Normal"/>
    <w:rsid w:val="007615DF"/>
    <w:pPr>
      <w:spacing w:after="0" w:line="240" w:lineRule="auto"/>
    </w:pPr>
    <w:rPr>
      <w:rFonts w:ascii="Century Schoolbook" w:eastAsia="Century Schoolbook" w:hAnsi="Century Schoolbook" w:cs="Century Schoolbook"/>
      <w:sz w:val="20"/>
      <w:szCs w:val="20"/>
    </w:rPr>
  </w:style>
  <w:style w:type="paragraph" w:customStyle="1" w:styleId="Style68">
    <w:name w:val="Style68"/>
    <w:basedOn w:val="Normal"/>
    <w:rsid w:val="007615DF"/>
    <w:pPr>
      <w:spacing w:after="0" w:line="240" w:lineRule="auto"/>
    </w:pPr>
    <w:rPr>
      <w:rFonts w:ascii="Century Schoolbook" w:eastAsia="Century Schoolbook" w:hAnsi="Century Schoolbook" w:cs="Century Schoolbook"/>
      <w:sz w:val="20"/>
      <w:szCs w:val="20"/>
    </w:rPr>
  </w:style>
  <w:style w:type="paragraph" w:customStyle="1" w:styleId="Style1311">
    <w:name w:val="Style1311"/>
    <w:basedOn w:val="Normal"/>
    <w:rsid w:val="007615DF"/>
    <w:pPr>
      <w:spacing w:after="0" w:line="240" w:lineRule="auto"/>
    </w:pPr>
    <w:rPr>
      <w:rFonts w:ascii="Century Schoolbook" w:eastAsia="Century Schoolbook" w:hAnsi="Century Schoolbook" w:cs="Century Schoolbook"/>
      <w:sz w:val="20"/>
      <w:szCs w:val="20"/>
    </w:rPr>
  </w:style>
  <w:style w:type="paragraph" w:customStyle="1" w:styleId="Style284">
    <w:name w:val="Style284"/>
    <w:basedOn w:val="Normal"/>
    <w:rsid w:val="007615DF"/>
    <w:pPr>
      <w:spacing w:after="0" w:line="240" w:lineRule="auto"/>
    </w:pPr>
    <w:rPr>
      <w:rFonts w:ascii="Century Schoolbook" w:eastAsia="Century Schoolbook" w:hAnsi="Century Schoolbook" w:cs="Century Schoolbook"/>
      <w:sz w:val="20"/>
      <w:szCs w:val="20"/>
    </w:rPr>
  </w:style>
  <w:style w:type="paragraph" w:customStyle="1" w:styleId="Style1321">
    <w:name w:val="Style1321"/>
    <w:basedOn w:val="Normal"/>
    <w:rsid w:val="007615DF"/>
    <w:pPr>
      <w:spacing w:after="0" w:line="240" w:lineRule="auto"/>
    </w:pPr>
    <w:rPr>
      <w:rFonts w:ascii="Century Schoolbook" w:eastAsia="Century Schoolbook" w:hAnsi="Century Schoolbook" w:cs="Century Schoolbook"/>
      <w:sz w:val="20"/>
      <w:szCs w:val="20"/>
    </w:rPr>
  </w:style>
  <w:style w:type="paragraph" w:customStyle="1" w:styleId="Style248">
    <w:name w:val="Style248"/>
    <w:basedOn w:val="Normal"/>
    <w:rsid w:val="007615DF"/>
    <w:pPr>
      <w:spacing w:after="0" w:line="240" w:lineRule="auto"/>
    </w:pPr>
    <w:rPr>
      <w:rFonts w:ascii="Century Schoolbook" w:eastAsia="Century Schoolbook" w:hAnsi="Century Schoolbook" w:cs="Century Schoolbook"/>
      <w:sz w:val="20"/>
      <w:szCs w:val="20"/>
    </w:rPr>
  </w:style>
  <w:style w:type="character" w:customStyle="1" w:styleId="CharStyle4">
    <w:name w:val="CharStyle4"/>
    <w:basedOn w:val="DefaultParagraphFont"/>
    <w:rsid w:val="007615DF"/>
    <w:rPr>
      <w:rFonts w:ascii="Century Schoolbook" w:eastAsia="Century Schoolbook" w:hAnsi="Century Schoolbook" w:cs="Century Schoolbook"/>
      <w:b/>
      <w:bCs/>
      <w:i w:val="0"/>
      <w:iCs w:val="0"/>
      <w:smallCaps w:val="0"/>
      <w:sz w:val="18"/>
      <w:szCs w:val="18"/>
    </w:rPr>
  </w:style>
  <w:style w:type="character" w:customStyle="1" w:styleId="CharStyle13">
    <w:name w:val="CharStyle13"/>
    <w:basedOn w:val="DefaultParagraphFont"/>
    <w:rsid w:val="007615DF"/>
    <w:rPr>
      <w:rFonts w:ascii="Century Schoolbook" w:eastAsia="Century Schoolbook" w:hAnsi="Century Schoolbook" w:cs="Century Schoolbook"/>
      <w:b w:val="0"/>
      <w:bCs w:val="0"/>
      <w:i w:val="0"/>
      <w:iCs w:val="0"/>
      <w:smallCaps w:val="0"/>
      <w:sz w:val="18"/>
      <w:szCs w:val="18"/>
    </w:rPr>
  </w:style>
  <w:style w:type="character" w:customStyle="1" w:styleId="CharStyle31">
    <w:name w:val="CharStyle31"/>
    <w:basedOn w:val="DefaultParagraphFont"/>
    <w:rsid w:val="007615DF"/>
    <w:rPr>
      <w:rFonts w:ascii="Century Schoolbook" w:eastAsia="Century Schoolbook" w:hAnsi="Century Schoolbook" w:cs="Century Schoolbook"/>
      <w:b w:val="0"/>
      <w:bCs w:val="0"/>
      <w:i/>
      <w:iCs/>
      <w:smallCaps w:val="0"/>
      <w:sz w:val="18"/>
      <w:szCs w:val="18"/>
    </w:rPr>
  </w:style>
  <w:style w:type="character" w:customStyle="1" w:styleId="CharStyle35">
    <w:name w:val="CharStyle35"/>
    <w:basedOn w:val="DefaultParagraphFont"/>
    <w:rsid w:val="007615DF"/>
    <w:rPr>
      <w:rFonts w:ascii="Century Schoolbook" w:eastAsia="Century Schoolbook" w:hAnsi="Century Schoolbook" w:cs="Century Schoolbook"/>
      <w:b/>
      <w:bCs/>
      <w:i w:val="0"/>
      <w:iCs w:val="0"/>
      <w:smallCaps w:val="0"/>
      <w:sz w:val="10"/>
      <w:szCs w:val="10"/>
    </w:rPr>
  </w:style>
  <w:style w:type="character" w:customStyle="1" w:styleId="CharStyle72">
    <w:name w:val="CharStyle72"/>
    <w:basedOn w:val="DefaultParagraphFont"/>
    <w:rsid w:val="007615DF"/>
    <w:rPr>
      <w:rFonts w:ascii="Century Schoolbook" w:eastAsia="Century Schoolbook" w:hAnsi="Century Schoolbook" w:cs="Century Schoolbook"/>
      <w:b/>
      <w:bCs/>
      <w:i w:val="0"/>
      <w:iCs w:val="0"/>
      <w:smallCaps w:val="0"/>
      <w:sz w:val="18"/>
      <w:szCs w:val="18"/>
    </w:rPr>
  </w:style>
  <w:style w:type="character" w:customStyle="1" w:styleId="CharStyle173">
    <w:name w:val="CharStyle173"/>
    <w:basedOn w:val="DefaultParagraphFont"/>
    <w:rsid w:val="007615DF"/>
    <w:rPr>
      <w:rFonts w:ascii="Century Schoolbook" w:eastAsia="Century Schoolbook" w:hAnsi="Century Schoolbook" w:cs="Century Schoolbook"/>
      <w:b/>
      <w:bCs/>
      <w:i w:val="0"/>
      <w:iCs w:val="0"/>
      <w:smallCaps w:val="0"/>
      <w:sz w:val="12"/>
      <w:szCs w:val="12"/>
    </w:rPr>
  </w:style>
  <w:style w:type="character" w:customStyle="1" w:styleId="CharStyle247">
    <w:name w:val="CharStyle247"/>
    <w:basedOn w:val="DefaultParagraphFont"/>
    <w:rsid w:val="007615DF"/>
    <w:rPr>
      <w:rFonts w:ascii="Century Schoolbook" w:eastAsia="Century Schoolbook" w:hAnsi="Century Schoolbook" w:cs="Century Schoolbook"/>
      <w:b w:val="0"/>
      <w:bCs w:val="0"/>
      <w:i w:val="0"/>
      <w:iCs w:val="0"/>
      <w:smallCaps w:val="0"/>
      <w:sz w:val="50"/>
      <w:szCs w:val="50"/>
    </w:rPr>
  </w:style>
  <w:style w:type="character" w:customStyle="1" w:styleId="CharStyle254">
    <w:name w:val="CharStyle254"/>
    <w:basedOn w:val="DefaultParagraphFont"/>
    <w:rsid w:val="007615DF"/>
    <w:rPr>
      <w:rFonts w:ascii="Century Schoolbook" w:eastAsia="Century Schoolbook" w:hAnsi="Century Schoolbook" w:cs="Century Schoolbook"/>
      <w:b/>
      <w:bCs/>
      <w:i w:val="0"/>
      <w:iCs w:val="0"/>
      <w:smallCaps w:val="0"/>
      <w:sz w:val="10"/>
      <w:szCs w:val="10"/>
    </w:rPr>
  </w:style>
  <w:style w:type="character" w:customStyle="1" w:styleId="CharStyle297">
    <w:name w:val="CharStyle297"/>
    <w:basedOn w:val="DefaultParagraphFont"/>
    <w:rsid w:val="007615DF"/>
    <w:rPr>
      <w:rFonts w:ascii="Century Schoolbook" w:eastAsia="Century Schoolbook" w:hAnsi="Century Schoolbook" w:cs="Century Schoolbook"/>
      <w:b w:val="0"/>
      <w:bCs w:val="0"/>
      <w:i w:val="0"/>
      <w:iCs w:val="0"/>
      <w:smallCaps w:val="0"/>
      <w:sz w:val="26"/>
      <w:szCs w:val="26"/>
    </w:rPr>
  </w:style>
  <w:style w:type="character" w:customStyle="1" w:styleId="CharStyle299">
    <w:name w:val="CharStyle299"/>
    <w:basedOn w:val="DefaultParagraphFont"/>
    <w:rsid w:val="007615DF"/>
    <w:rPr>
      <w:rFonts w:ascii="Century Schoolbook" w:eastAsia="Century Schoolbook" w:hAnsi="Century Schoolbook" w:cs="Century Schoolbook"/>
      <w:b/>
      <w:bCs/>
      <w:i w:val="0"/>
      <w:iCs w:val="0"/>
      <w:smallCaps w:val="0"/>
      <w:sz w:val="22"/>
      <w:szCs w:val="22"/>
    </w:rPr>
  </w:style>
  <w:style w:type="character" w:customStyle="1" w:styleId="CharStyle342">
    <w:name w:val="CharStyle342"/>
    <w:basedOn w:val="DefaultParagraphFont"/>
    <w:rsid w:val="007615DF"/>
    <w:rPr>
      <w:rFonts w:ascii="Century Schoolbook" w:eastAsia="Century Schoolbook" w:hAnsi="Century Schoolbook" w:cs="Century Schoolbook"/>
      <w:b/>
      <w:bCs/>
      <w:i/>
      <w:iCs/>
      <w:smallCaps w:val="0"/>
      <w:sz w:val="22"/>
      <w:szCs w:val="22"/>
    </w:rPr>
  </w:style>
  <w:style w:type="character" w:customStyle="1" w:styleId="CharStyle432">
    <w:name w:val="CharStyle432"/>
    <w:basedOn w:val="DefaultParagraphFont"/>
    <w:rsid w:val="007615DF"/>
    <w:rPr>
      <w:rFonts w:ascii="Century Schoolbook" w:eastAsia="Century Schoolbook" w:hAnsi="Century Schoolbook" w:cs="Century Schoolbook"/>
      <w:b w:val="0"/>
      <w:bCs w:val="0"/>
      <w:i w:val="0"/>
      <w:iCs w:val="0"/>
      <w:smallCaps w:val="0"/>
      <w:spacing w:val="-10"/>
      <w:sz w:val="22"/>
      <w:szCs w:val="22"/>
    </w:rPr>
  </w:style>
  <w:style w:type="paragraph" w:styleId="Header">
    <w:name w:val="header"/>
    <w:basedOn w:val="Normal"/>
    <w:link w:val="HeaderChar"/>
    <w:uiPriority w:val="99"/>
    <w:unhideWhenUsed/>
    <w:rsid w:val="00EB7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660"/>
  </w:style>
  <w:style w:type="paragraph" w:styleId="Footer">
    <w:name w:val="footer"/>
    <w:basedOn w:val="Normal"/>
    <w:link w:val="FooterChar"/>
    <w:uiPriority w:val="99"/>
    <w:semiHidden/>
    <w:unhideWhenUsed/>
    <w:rsid w:val="00EB76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76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34</cp:revision>
  <dcterms:created xsi:type="dcterms:W3CDTF">2017-04-20T11:50:00Z</dcterms:created>
  <dcterms:modified xsi:type="dcterms:W3CDTF">2018-05-12T20:41:00Z</dcterms:modified>
</cp:coreProperties>
</file>