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2A" w:rsidRPr="009B6F98" w:rsidRDefault="003C41CC" w:rsidP="009B6F98">
      <w:pPr>
        <w:spacing w:before="120" w:after="120"/>
        <w:jc w:val="center"/>
        <w:rPr>
          <w:sz w:val="36"/>
        </w:rPr>
      </w:pPr>
      <w:r>
        <w:rPr>
          <w:sz w:val="36"/>
        </w:rPr>
        <w:t>WOOL (CONTRIBUTORY CHARGE) (No</w:t>
      </w:r>
      <w:r w:rsidR="00672D2A" w:rsidRPr="009B6F98">
        <w:rPr>
          <w:sz w:val="36"/>
        </w:rPr>
        <w:t>. 2).</w:t>
      </w:r>
    </w:p>
    <w:p w:rsidR="009E1A57" w:rsidRPr="005F5242" w:rsidRDefault="009E1A57" w:rsidP="00862763">
      <w:pPr>
        <w:pBdr>
          <w:top w:val="single" w:sz="4" w:space="1" w:color="auto"/>
        </w:pBdr>
        <w:spacing w:before="240"/>
        <w:ind w:left="4032" w:right="4032"/>
        <w:jc w:val="center"/>
        <w:rPr>
          <w:sz w:val="4"/>
        </w:rPr>
      </w:pPr>
    </w:p>
    <w:p w:rsidR="00BB0DB2" w:rsidRPr="009B6F98" w:rsidRDefault="00BB0DB2" w:rsidP="009B6F98">
      <w:pPr>
        <w:spacing w:before="120" w:after="120"/>
        <w:jc w:val="center"/>
        <w:rPr>
          <w:b/>
          <w:sz w:val="28"/>
        </w:rPr>
      </w:pPr>
      <w:r w:rsidRPr="009B6F98">
        <w:rPr>
          <w:b/>
          <w:sz w:val="28"/>
        </w:rPr>
        <w:t>No. 8 of 1950.</w:t>
      </w:r>
    </w:p>
    <w:p w:rsidR="00672D2A" w:rsidRPr="009B6F98" w:rsidRDefault="00672D2A" w:rsidP="009B6F98">
      <w:pPr>
        <w:spacing w:before="120" w:after="120"/>
        <w:ind w:left="432" w:hanging="432"/>
        <w:jc w:val="both"/>
        <w:rPr>
          <w:sz w:val="26"/>
        </w:rPr>
      </w:pPr>
      <w:r w:rsidRPr="009B6F98">
        <w:rPr>
          <w:sz w:val="26"/>
        </w:rPr>
        <w:t>An Act to impose a Contributory Charge upon certain Wool produced in Australia and exported from Australia.</w:t>
      </w:r>
    </w:p>
    <w:p w:rsidR="00BB0DB2" w:rsidRPr="009B6F98" w:rsidRDefault="00BB0DB2" w:rsidP="009B6F98">
      <w:pPr>
        <w:spacing w:before="120" w:after="120"/>
        <w:jc w:val="right"/>
        <w:rPr>
          <w:sz w:val="26"/>
        </w:rPr>
      </w:pPr>
      <w:r w:rsidRPr="009B6F98">
        <w:rPr>
          <w:sz w:val="26"/>
        </w:rPr>
        <w:t>[Assented to 1st July, 1950.]</w:t>
      </w:r>
    </w:p>
    <w:p w:rsidR="00672D2A" w:rsidRPr="003C41CC" w:rsidRDefault="00BB0DB2" w:rsidP="00765A62">
      <w:pPr>
        <w:jc w:val="both"/>
        <w:rPr>
          <w:sz w:val="22"/>
          <w:szCs w:val="22"/>
        </w:rPr>
      </w:pPr>
      <w:r w:rsidRPr="003C41CC">
        <w:rPr>
          <w:sz w:val="22"/>
          <w:szCs w:val="22"/>
        </w:rPr>
        <w:t>B</w:t>
      </w:r>
      <w:r w:rsidR="00672D2A" w:rsidRPr="003C41CC">
        <w:rPr>
          <w:sz w:val="22"/>
          <w:szCs w:val="22"/>
        </w:rPr>
        <w:t>E it enacted by the King</w:t>
      </w:r>
      <w:r w:rsidR="00616916" w:rsidRPr="003C41CC">
        <w:rPr>
          <w:sz w:val="22"/>
          <w:szCs w:val="22"/>
        </w:rPr>
        <w:t>’</w:t>
      </w:r>
      <w:r w:rsidR="00672D2A" w:rsidRPr="003C41CC">
        <w:rPr>
          <w:sz w:val="22"/>
          <w:szCs w:val="22"/>
        </w:rPr>
        <w:t>s Most Excellent Majesty, the Senate, and the House of Representatives of the Commonwealth of Australia, as follows</w:t>
      </w:r>
      <w:r w:rsidR="00914233" w:rsidRPr="003C41CC">
        <w:rPr>
          <w:sz w:val="22"/>
          <w:szCs w:val="22"/>
        </w:rPr>
        <w:t>:</w:t>
      </w:r>
      <w:r w:rsidR="00672D2A" w:rsidRPr="003C41CC">
        <w:rPr>
          <w:sz w:val="22"/>
          <w:szCs w:val="22"/>
        </w:rPr>
        <w:t>—</w:t>
      </w:r>
    </w:p>
    <w:p w:rsidR="00672D2A" w:rsidRPr="009E573D" w:rsidRDefault="00672D2A" w:rsidP="009E573D">
      <w:pPr>
        <w:widowControl/>
        <w:spacing w:before="120" w:after="60"/>
        <w:rPr>
          <w:b/>
          <w:sz w:val="20"/>
        </w:rPr>
      </w:pPr>
      <w:r w:rsidRPr="009E573D">
        <w:rPr>
          <w:b/>
          <w:sz w:val="20"/>
        </w:rPr>
        <w:t>Short title.</w:t>
      </w:r>
    </w:p>
    <w:p w:rsidR="00672D2A" w:rsidRPr="00BA428C" w:rsidRDefault="00C30DE4" w:rsidP="00B4330B">
      <w:pPr>
        <w:ind w:firstLine="432"/>
        <w:jc w:val="both"/>
        <w:rPr>
          <w:sz w:val="22"/>
        </w:rPr>
      </w:pPr>
      <w:r w:rsidRPr="00BA428C">
        <w:rPr>
          <w:b/>
          <w:sz w:val="22"/>
        </w:rPr>
        <w:t>1.</w:t>
      </w:r>
      <w:r w:rsidRPr="00BA428C">
        <w:rPr>
          <w:sz w:val="22"/>
        </w:rPr>
        <w:tab/>
      </w:r>
      <w:r w:rsidR="00672D2A" w:rsidRPr="00BA428C">
        <w:rPr>
          <w:sz w:val="22"/>
        </w:rPr>
        <w:t xml:space="preserve">This Act may be cited as the </w:t>
      </w:r>
      <w:r w:rsidR="00672D2A" w:rsidRPr="00BA428C">
        <w:rPr>
          <w:i/>
          <w:sz w:val="22"/>
        </w:rPr>
        <w:t xml:space="preserve">Wool </w:t>
      </w:r>
      <w:r w:rsidR="00672D2A" w:rsidRPr="00BC5164">
        <w:rPr>
          <w:sz w:val="22"/>
        </w:rPr>
        <w:t>(</w:t>
      </w:r>
      <w:r w:rsidR="00672D2A" w:rsidRPr="00BA428C">
        <w:rPr>
          <w:i/>
          <w:sz w:val="22"/>
        </w:rPr>
        <w:t>Contributory Charge</w:t>
      </w:r>
      <w:r w:rsidR="00672D2A" w:rsidRPr="00BC5164">
        <w:rPr>
          <w:sz w:val="22"/>
        </w:rPr>
        <w:t>)</w:t>
      </w:r>
      <w:r w:rsidR="00672D2A" w:rsidRPr="00BA428C">
        <w:rPr>
          <w:i/>
          <w:sz w:val="22"/>
        </w:rPr>
        <w:t xml:space="preserve"> Act </w:t>
      </w:r>
      <w:r w:rsidR="00672D2A" w:rsidRPr="00BC5164">
        <w:rPr>
          <w:sz w:val="22"/>
        </w:rPr>
        <w:t>(</w:t>
      </w:r>
      <w:r w:rsidR="00672D2A" w:rsidRPr="00BA428C">
        <w:rPr>
          <w:i/>
          <w:sz w:val="22"/>
        </w:rPr>
        <w:t xml:space="preserve">No. </w:t>
      </w:r>
      <w:r w:rsidR="00672D2A" w:rsidRPr="00BA428C">
        <w:rPr>
          <w:sz w:val="22"/>
        </w:rPr>
        <w:t>2) 1950.</w:t>
      </w:r>
    </w:p>
    <w:p w:rsidR="00672D2A" w:rsidRPr="009E573D" w:rsidRDefault="00672D2A" w:rsidP="009E573D">
      <w:pPr>
        <w:widowControl/>
        <w:spacing w:before="120" w:after="60"/>
        <w:rPr>
          <w:b/>
          <w:sz w:val="20"/>
        </w:rPr>
      </w:pPr>
      <w:r w:rsidRPr="009E573D">
        <w:rPr>
          <w:b/>
          <w:sz w:val="20"/>
        </w:rPr>
        <w:t>Commencement.</w:t>
      </w:r>
    </w:p>
    <w:p w:rsidR="00672D2A" w:rsidRPr="00BA428C" w:rsidRDefault="00672D2A" w:rsidP="00F73EC1">
      <w:pPr>
        <w:tabs>
          <w:tab w:val="left" w:pos="1323"/>
        </w:tabs>
        <w:ind w:firstLine="432"/>
        <w:jc w:val="both"/>
        <w:rPr>
          <w:sz w:val="22"/>
        </w:rPr>
      </w:pPr>
      <w:r w:rsidRPr="00BA428C">
        <w:rPr>
          <w:b/>
          <w:smallCaps/>
          <w:sz w:val="22"/>
        </w:rPr>
        <w:t>2.</w:t>
      </w:r>
      <w:r w:rsidRPr="00BA428C">
        <w:rPr>
          <w:sz w:val="22"/>
        </w:rPr>
        <w:t>—</w:t>
      </w:r>
      <w:r w:rsidR="00C30DE4" w:rsidRPr="00BA428C">
        <w:rPr>
          <w:sz w:val="22"/>
        </w:rPr>
        <w:t>(1.)</w:t>
      </w:r>
      <w:r w:rsidR="00C30DE4" w:rsidRPr="00BA428C">
        <w:rPr>
          <w:sz w:val="22"/>
        </w:rPr>
        <w:tab/>
      </w:r>
      <w:r w:rsidRPr="00BA428C">
        <w:rPr>
          <w:sz w:val="22"/>
        </w:rPr>
        <w:t>Subject to this section, this Act shall be deemed to have come into operation on the first day of July, One thousand nine hundred and forty-six.</w:t>
      </w:r>
    </w:p>
    <w:p w:rsidR="00672D2A" w:rsidRPr="00BA428C" w:rsidRDefault="00C30DE4" w:rsidP="00825123">
      <w:pPr>
        <w:tabs>
          <w:tab w:val="left" w:pos="936"/>
        </w:tabs>
        <w:spacing w:before="60"/>
        <w:ind w:firstLine="432"/>
        <w:jc w:val="both"/>
        <w:rPr>
          <w:sz w:val="22"/>
        </w:rPr>
      </w:pPr>
      <w:r w:rsidRPr="00BA428C">
        <w:rPr>
          <w:sz w:val="22"/>
        </w:rPr>
        <w:t>(</w:t>
      </w:r>
      <w:r w:rsidRPr="009F5E22">
        <w:rPr>
          <w:sz w:val="22"/>
        </w:rPr>
        <w:t>2</w:t>
      </w:r>
      <w:r w:rsidRPr="00BA428C">
        <w:rPr>
          <w:sz w:val="22"/>
        </w:rPr>
        <w:t>.)</w:t>
      </w:r>
      <w:r w:rsidRPr="00BA428C">
        <w:rPr>
          <w:sz w:val="22"/>
        </w:rPr>
        <w:tab/>
      </w:r>
      <w:r w:rsidR="00672D2A" w:rsidRPr="00BA428C">
        <w:rPr>
          <w:sz w:val="22"/>
        </w:rPr>
        <w:t>Section seven of this Act shall come into operation on a date to be fixed by Proclamation.</w:t>
      </w:r>
    </w:p>
    <w:p w:rsidR="00672D2A" w:rsidRPr="009E573D" w:rsidRDefault="00672D2A" w:rsidP="009E573D">
      <w:pPr>
        <w:widowControl/>
        <w:spacing w:before="120" w:after="60"/>
        <w:rPr>
          <w:b/>
          <w:sz w:val="20"/>
        </w:rPr>
      </w:pPr>
      <w:r w:rsidRPr="009E573D">
        <w:rPr>
          <w:b/>
          <w:sz w:val="20"/>
        </w:rPr>
        <w:t>Act to be read with Assessment Act.</w:t>
      </w:r>
    </w:p>
    <w:p w:rsidR="00672D2A" w:rsidRPr="00BA428C" w:rsidRDefault="00C30DE4" w:rsidP="00B4330B">
      <w:pPr>
        <w:ind w:firstLine="432"/>
        <w:jc w:val="both"/>
        <w:rPr>
          <w:sz w:val="22"/>
        </w:rPr>
      </w:pPr>
      <w:r w:rsidRPr="009E573D">
        <w:rPr>
          <w:b/>
          <w:sz w:val="22"/>
        </w:rPr>
        <w:t>3.</w:t>
      </w:r>
      <w:r>
        <w:rPr>
          <w:sz w:val="22"/>
        </w:rPr>
        <w:tab/>
      </w:r>
      <w:r w:rsidR="00672D2A" w:rsidRPr="00BA428C">
        <w:rPr>
          <w:sz w:val="22"/>
        </w:rPr>
        <w:t xml:space="preserve">The </w:t>
      </w:r>
      <w:r w:rsidR="00672D2A" w:rsidRPr="00BA428C">
        <w:rPr>
          <w:i/>
          <w:sz w:val="22"/>
        </w:rPr>
        <w:t xml:space="preserve">Wool </w:t>
      </w:r>
      <w:r w:rsidR="00672D2A" w:rsidRPr="00FA5505">
        <w:rPr>
          <w:sz w:val="22"/>
        </w:rPr>
        <w:t>(</w:t>
      </w:r>
      <w:r w:rsidR="00672D2A" w:rsidRPr="00BA428C">
        <w:rPr>
          <w:i/>
          <w:sz w:val="22"/>
        </w:rPr>
        <w:t>Contributory Charge</w:t>
      </w:r>
      <w:r w:rsidR="00672D2A" w:rsidRPr="00FA5505">
        <w:rPr>
          <w:sz w:val="22"/>
        </w:rPr>
        <w:t>)</w:t>
      </w:r>
      <w:r w:rsidR="00672D2A" w:rsidRPr="00BA428C">
        <w:rPr>
          <w:i/>
          <w:sz w:val="22"/>
        </w:rPr>
        <w:t xml:space="preserve"> Assessment Act </w:t>
      </w:r>
      <w:r w:rsidR="00672D2A" w:rsidRPr="00BA428C">
        <w:rPr>
          <w:sz w:val="22"/>
        </w:rPr>
        <w:t>1945</w:t>
      </w:r>
      <w:r w:rsidR="00044965">
        <w:rPr>
          <w:sz w:val="22"/>
        </w:rPr>
        <w:t>–</w:t>
      </w:r>
      <w:r w:rsidR="00672D2A" w:rsidRPr="00BA428C">
        <w:rPr>
          <w:sz w:val="22"/>
        </w:rPr>
        <w:t>1950 shall be read as one with this Act.</w:t>
      </w:r>
    </w:p>
    <w:p w:rsidR="00672D2A" w:rsidRPr="009E573D" w:rsidRDefault="00672D2A" w:rsidP="009E573D">
      <w:pPr>
        <w:widowControl/>
        <w:spacing w:before="120" w:after="60"/>
        <w:rPr>
          <w:b/>
          <w:sz w:val="20"/>
        </w:rPr>
      </w:pPr>
      <w:r w:rsidRPr="009E573D">
        <w:rPr>
          <w:b/>
          <w:sz w:val="20"/>
        </w:rPr>
        <w:t>Imposition of charge.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9E573D">
        <w:rPr>
          <w:b/>
          <w:smallCaps/>
          <w:sz w:val="22"/>
        </w:rPr>
        <w:t>4.</w:t>
      </w:r>
      <w:r w:rsidRPr="002A40D1">
        <w:rPr>
          <w:smallCaps/>
          <w:sz w:val="22"/>
        </w:rPr>
        <w:tab/>
      </w:r>
      <w:r w:rsidR="00672D2A" w:rsidRPr="002A40D1">
        <w:rPr>
          <w:sz w:val="22"/>
        </w:rPr>
        <w:t xml:space="preserve">Subject to the provisions of the </w:t>
      </w:r>
      <w:r w:rsidR="00672D2A" w:rsidRPr="002A40D1">
        <w:rPr>
          <w:i/>
          <w:sz w:val="22"/>
        </w:rPr>
        <w:t xml:space="preserve">Wool </w:t>
      </w:r>
      <w:r w:rsidR="00672D2A" w:rsidRPr="002A40D1">
        <w:rPr>
          <w:sz w:val="22"/>
        </w:rPr>
        <w:t>(</w:t>
      </w:r>
      <w:r w:rsidR="00672D2A" w:rsidRPr="002A40D1">
        <w:rPr>
          <w:i/>
          <w:sz w:val="22"/>
        </w:rPr>
        <w:t>Contributory Charge</w:t>
      </w:r>
      <w:r w:rsidR="00672D2A" w:rsidRPr="002A40D1">
        <w:rPr>
          <w:sz w:val="22"/>
        </w:rPr>
        <w:t xml:space="preserve">) </w:t>
      </w:r>
      <w:r w:rsidR="00672D2A" w:rsidRPr="002A40D1">
        <w:rPr>
          <w:i/>
          <w:sz w:val="22"/>
        </w:rPr>
        <w:t xml:space="preserve">Assessment Act </w:t>
      </w:r>
      <w:r w:rsidR="00672D2A" w:rsidRPr="002A40D1">
        <w:rPr>
          <w:sz w:val="22"/>
        </w:rPr>
        <w:t>1945</w:t>
      </w:r>
      <w:r w:rsidR="00044965">
        <w:rPr>
          <w:sz w:val="22"/>
        </w:rPr>
        <w:t>–</w:t>
      </w:r>
      <w:r w:rsidR="00672D2A" w:rsidRPr="002A40D1">
        <w:rPr>
          <w:sz w:val="22"/>
        </w:rPr>
        <w:t xml:space="preserve">1950 for preventing charge from being payable on any wool both under this Act and under the </w:t>
      </w:r>
      <w:r w:rsidR="00672D2A" w:rsidRPr="002A40D1">
        <w:rPr>
          <w:i/>
          <w:sz w:val="22"/>
        </w:rPr>
        <w:t xml:space="preserve">Wool </w:t>
      </w:r>
      <w:r w:rsidR="00672D2A" w:rsidRPr="002A40D1">
        <w:rPr>
          <w:sz w:val="22"/>
        </w:rPr>
        <w:t>(</w:t>
      </w:r>
      <w:r w:rsidR="00672D2A" w:rsidRPr="002A40D1">
        <w:rPr>
          <w:i/>
          <w:sz w:val="22"/>
        </w:rPr>
        <w:t>Contributory Charge</w:t>
      </w:r>
      <w:r w:rsidR="00672D2A" w:rsidRPr="002A40D1">
        <w:rPr>
          <w:sz w:val="22"/>
        </w:rPr>
        <w:t>)</w:t>
      </w:r>
      <w:r w:rsidR="00672D2A" w:rsidRPr="002A40D1">
        <w:rPr>
          <w:i/>
          <w:sz w:val="22"/>
        </w:rPr>
        <w:t xml:space="preserve"> Act </w:t>
      </w:r>
      <w:r w:rsidR="00672D2A" w:rsidRPr="002A40D1">
        <w:rPr>
          <w:sz w:val="22"/>
        </w:rPr>
        <w:t>(</w:t>
      </w:r>
      <w:r w:rsidR="00672D2A" w:rsidRPr="002A40D1">
        <w:rPr>
          <w:i/>
          <w:sz w:val="22"/>
        </w:rPr>
        <w:t xml:space="preserve">No. </w:t>
      </w:r>
      <w:r w:rsidR="00672D2A" w:rsidRPr="002A40D1">
        <w:rPr>
          <w:sz w:val="22"/>
        </w:rPr>
        <w:t>1) 1950, a contributory charge is imposed on all wool produced in Australia and, on or after the date of commencement of this section, exported from Australia.</w:t>
      </w:r>
    </w:p>
    <w:p w:rsidR="00672D2A" w:rsidRPr="009E573D" w:rsidRDefault="00672D2A" w:rsidP="009E573D">
      <w:pPr>
        <w:widowControl/>
        <w:spacing w:before="120" w:after="60"/>
        <w:rPr>
          <w:b/>
          <w:sz w:val="20"/>
        </w:rPr>
      </w:pPr>
      <w:r w:rsidRPr="009E573D">
        <w:rPr>
          <w:b/>
          <w:sz w:val="20"/>
        </w:rPr>
        <w:t>Previous rates adopted.</w:t>
      </w:r>
    </w:p>
    <w:p w:rsidR="009E573D" w:rsidRDefault="00C30DE4" w:rsidP="00B4330B">
      <w:pPr>
        <w:ind w:firstLine="432"/>
        <w:jc w:val="both"/>
        <w:rPr>
          <w:sz w:val="22"/>
        </w:rPr>
      </w:pPr>
      <w:r w:rsidRPr="009E573D">
        <w:rPr>
          <w:b/>
          <w:smallCaps/>
          <w:sz w:val="22"/>
        </w:rPr>
        <w:t>5.</w:t>
      </w:r>
      <w:r w:rsidRPr="002A40D1">
        <w:rPr>
          <w:smallCaps/>
          <w:sz w:val="22"/>
        </w:rPr>
        <w:tab/>
      </w:r>
      <w:r w:rsidR="00672D2A" w:rsidRPr="002A40D1">
        <w:rPr>
          <w:sz w:val="22"/>
        </w:rPr>
        <w:t>The rate of the charge shall be—</w:t>
      </w:r>
    </w:p>
    <w:p w:rsidR="00672D2A" w:rsidRPr="002A40D1" w:rsidRDefault="00672D2A" w:rsidP="00226CD5">
      <w:pPr>
        <w:spacing w:before="60" w:after="60"/>
        <w:ind w:left="1008" w:hanging="432"/>
        <w:jc w:val="both"/>
        <w:rPr>
          <w:sz w:val="22"/>
        </w:rPr>
      </w:pPr>
      <w:r w:rsidRPr="002A40D1">
        <w:rPr>
          <w:sz w:val="22"/>
        </w:rPr>
        <w:t>(</w:t>
      </w:r>
      <w:r w:rsidRPr="002A40D1">
        <w:rPr>
          <w:i/>
          <w:sz w:val="22"/>
        </w:rPr>
        <w:t>a</w:t>
      </w:r>
      <w:r w:rsidRPr="002A40D1">
        <w:rPr>
          <w:sz w:val="22"/>
        </w:rPr>
        <w:t>) on and after the first day of July, One thousand nine hundred and forty-six, up to and including the thirty-first day of July, One thousand nine hundred and forty-seven—five per centum of the sale value of the wool</w:t>
      </w:r>
      <w:r w:rsidR="00914233">
        <w:rPr>
          <w:sz w:val="22"/>
        </w:rPr>
        <w:t>;</w:t>
      </w:r>
    </w:p>
    <w:p w:rsidR="00672D2A" w:rsidRPr="002A40D1" w:rsidRDefault="00672D2A" w:rsidP="00226CD5">
      <w:pPr>
        <w:spacing w:before="60" w:after="60"/>
        <w:ind w:left="1008" w:hanging="432"/>
        <w:jc w:val="both"/>
        <w:rPr>
          <w:sz w:val="22"/>
        </w:rPr>
      </w:pPr>
      <w:r w:rsidRPr="002A40D1">
        <w:rPr>
          <w:sz w:val="22"/>
        </w:rPr>
        <w:t>(</w:t>
      </w:r>
      <w:r w:rsidRPr="002A40D1">
        <w:rPr>
          <w:i/>
          <w:sz w:val="22"/>
        </w:rPr>
        <w:t>b</w:t>
      </w:r>
      <w:r w:rsidRPr="002A40D1">
        <w:rPr>
          <w:sz w:val="22"/>
        </w:rPr>
        <w:t>) on and after the first day of August, One thousand nine hundred and forty-seven, up to and including the thirtieth day of June, One thousand nine hundred and forty-eight—three-quarters of one per centum of the sale value of the wool</w:t>
      </w:r>
      <w:r w:rsidR="00914233">
        <w:rPr>
          <w:sz w:val="22"/>
        </w:rPr>
        <w:t>;</w:t>
      </w:r>
      <w:r w:rsidRPr="002A40D1">
        <w:rPr>
          <w:sz w:val="22"/>
        </w:rPr>
        <w:t xml:space="preserve"> and</w:t>
      </w:r>
    </w:p>
    <w:p w:rsidR="00672D2A" w:rsidRPr="002A40D1" w:rsidRDefault="00672D2A" w:rsidP="009E573D">
      <w:pPr>
        <w:ind w:left="1008" w:hanging="432"/>
        <w:jc w:val="both"/>
        <w:rPr>
          <w:sz w:val="22"/>
        </w:rPr>
      </w:pPr>
      <w:r w:rsidRPr="002A40D1">
        <w:rPr>
          <w:sz w:val="22"/>
        </w:rPr>
        <w:t>(</w:t>
      </w:r>
      <w:r w:rsidRPr="00672D2A">
        <w:rPr>
          <w:i/>
          <w:sz w:val="22"/>
        </w:rPr>
        <w:t>c</w:t>
      </w:r>
      <w:r w:rsidRPr="002A40D1">
        <w:rPr>
          <w:sz w:val="22"/>
        </w:rPr>
        <w:t>) subject to section seven of this Act, on and after the first day of July, One thousand nine hundred and forty-eight, up to and including the day immediately before the commencement of regulations prescribing a percentage under the next succeeding section—one-half of one per centum of the sale value of the wool.</w:t>
      </w:r>
    </w:p>
    <w:p w:rsidR="00672D2A" w:rsidRPr="002A40D1" w:rsidRDefault="00672D2A" w:rsidP="00765A62">
      <w:pPr>
        <w:jc w:val="both"/>
        <w:rPr>
          <w:sz w:val="22"/>
        </w:rPr>
      </w:pPr>
      <w:r w:rsidRPr="002A40D1">
        <w:rPr>
          <w:sz w:val="22"/>
        </w:rPr>
        <w:br w:type="page"/>
      </w:r>
    </w:p>
    <w:p w:rsidR="00672D2A" w:rsidRPr="00066F94" w:rsidRDefault="00672D2A" w:rsidP="00613B73">
      <w:pPr>
        <w:widowControl/>
        <w:spacing w:after="60"/>
        <w:rPr>
          <w:b/>
          <w:sz w:val="20"/>
        </w:rPr>
      </w:pPr>
      <w:r w:rsidRPr="00066F94">
        <w:rPr>
          <w:b/>
          <w:sz w:val="20"/>
        </w:rPr>
        <w:lastRenderedPageBreak/>
        <w:t>Rate of charge.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066F94">
        <w:rPr>
          <w:b/>
          <w:smallCaps/>
          <w:sz w:val="22"/>
        </w:rPr>
        <w:t>6.</w:t>
      </w:r>
      <w:r w:rsidRPr="002A40D1">
        <w:rPr>
          <w:smallCaps/>
          <w:sz w:val="22"/>
        </w:rPr>
        <w:tab/>
      </w:r>
      <w:r w:rsidR="00672D2A" w:rsidRPr="002A40D1">
        <w:rPr>
          <w:sz w:val="22"/>
        </w:rPr>
        <w:t xml:space="preserve">Subject to </w:t>
      </w:r>
      <w:r w:rsidR="00672D2A" w:rsidRPr="00066F94">
        <w:rPr>
          <w:sz w:val="22"/>
        </w:rPr>
        <w:t xml:space="preserve">this </w:t>
      </w:r>
      <w:r w:rsidR="00672D2A" w:rsidRPr="002A40D1">
        <w:rPr>
          <w:sz w:val="22"/>
        </w:rPr>
        <w:t>Act the rate of the charge, shall b</w:t>
      </w:r>
      <w:r w:rsidR="00066F94">
        <w:rPr>
          <w:sz w:val="22"/>
        </w:rPr>
        <w:t>e</w:t>
      </w:r>
      <w:r w:rsidR="00672D2A" w:rsidRPr="002A40D1">
        <w:rPr>
          <w:sz w:val="22"/>
        </w:rPr>
        <w:t xml:space="preserve"> such percentage as is prescribed from </w:t>
      </w:r>
      <w:r w:rsidR="00672D2A" w:rsidRPr="00066F94">
        <w:rPr>
          <w:sz w:val="22"/>
        </w:rPr>
        <w:t xml:space="preserve">time </w:t>
      </w:r>
      <w:r w:rsidR="00672D2A" w:rsidRPr="002A40D1">
        <w:rPr>
          <w:sz w:val="22"/>
        </w:rPr>
        <w:t xml:space="preserve">to time of the sale value of the wool, being a percentage not exceeding the percentage which, in the opinion of the Governor-General, after taking into consideration any advice </w:t>
      </w:r>
      <w:r w:rsidR="00672D2A" w:rsidRPr="00066F94">
        <w:rPr>
          <w:sz w:val="22"/>
        </w:rPr>
        <w:t xml:space="preserve">tendered </w:t>
      </w:r>
      <w:r w:rsidR="00672D2A" w:rsidRPr="002A40D1">
        <w:rPr>
          <w:sz w:val="22"/>
        </w:rPr>
        <w:t xml:space="preserve">to the Minister by the Australian Wool Realization Commission, </w:t>
      </w:r>
      <w:r w:rsidR="00672D2A" w:rsidRPr="00066F94">
        <w:rPr>
          <w:sz w:val="22"/>
        </w:rPr>
        <w:t xml:space="preserve">is necessary </w:t>
      </w:r>
      <w:r w:rsidR="00672D2A" w:rsidRPr="002A40D1">
        <w:rPr>
          <w:sz w:val="22"/>
        </w:rPr>
        <w:t xml:space="preserve">in order to produce, together with </w:t>
      </w:r>
      <w:r w:rsidR="00672D2A" w:rsidRPr="00066F94">
        <w:rPr>
          <w:sz w:val="22"/>
        </w:rPr>
        <w:t xml:space="preserve">the </w:t>
      </w:r>
      <w:r w:rsidR="00672D2A" w:rsidRPr="002A40D1">
        <w:rPr>
          <w:sz w:val="22"/>
        </w:rPr>
        <w:t xml:space="preserve">amount likely to be produced under the </w:t>
      </w:r>
      <w:r w:rsidR="00672D2A" w:rsidRPr="00BE6658">
        <w:rPr>
          <w:i/>
          <w:sz w:val="22"/>
        </w:rPr>
        <w:t xml:space="preserve">Wool </w:t>
      </w:r>
      <w:r w:rsidR="00672D2A" w:rsidRPr="00FA5505">
        <w:rPr>
          <w:sz w:val="22"/>
        </w:rPr>
        <w:t>(</w:t>
      </w:r>
      <w:r w:rsidR="00672D2A" w:rsidRPr="00BE6658">
        <w:rPr>
          <w:i/>
          <w:sz w:val="22"/>
        </w:rPr>
        <w:t>Contributory Charge</w:t>
      </w:r>
      <w:r w:rsidR="00672D2A" w:rsidRPr="00FA5505">
        <w:rPr>
          <w:sz w:val="22"/>
        </w:rPr>
        <w:t>)</w:t>
      </w:r>
      <w:r w:rsidR="00672D2A" w:rsidRPr="00BE6658">
        <w:rPr>
          <w:i/>
          <w:sz w:val="22"/>
        </w:rPr>
        <w:t xml:space="preserve"> Act </w:t>
      </w:r>
      <w:r w:rsidR="00672D2A" w:rsidRPr="00FA5505">
        <w:rPr>
          <w:sz w:val="22"/>
        </w:rPr>
        <w:t>(</w:t>
      </w:r>
      <w:r w:rsidR="00672D2A" w:rsidRPr="00BE6658">
        <w:rPr>
          <w:i/>
          <w:sz w:val="22"/>
        </w:rPr>
        <w:t>No.</w:t>
      </w:r>
      <w:r w:rsidR="00672D2A" w:rsidRPr="002A40D1">
        <w:rPr>
          <w:sz w:val="22"/>
        </w:rPr>
        <w:t xml:space="preserve"> 1) 1950 if the same percentage </w:t>
      </w:r>
      <w:r w:rsidR="00672D2A" w:rsidRPr="00066F94">
        <w:rPr>
          <w:sz w:val="22"/>
        </w:rPr>
        <w:t xml:space="preserve">is </w:t>
      </w:r>
      <w:r w:rsidR="00672D2A" w:rsidRPr="002A40D1">
        <w:rPr>
          <w:sz w:val="22"/>
        </w:rPr>
        <w:t>prescribed under section six of that Act, an amount equal to the sum of the following amounts</w:t>
      </w:r>
      <w:r w:rsidR="00914233">
        <w:rPr>
          <w:sz w:val="22"/>
        </w:rPr>
        <w:t>:</w:t>
      </w:r>
      <w:r w:rsidR="00672D2A" w:rsidRPr="002A40D1">
        <w:rPr>
          <w:sz w:val="22"/>
        </w:rPr>
        <w:t>—</w:t>
      </w:r>
    </w:p>
    <w:p w:rsidR="00672D2A" w:rsidRPr="002A40D1" w:rsidRDefault="00672D2A" w:rsidP="00655A30">
      <w:pPr>
        <w:spacing w:before="60"/>
        <w:ind w:left="1008" w:hanging="432"/>
        <w:jc w:val="both"/>
        <w:rPr>
          <w:sz w:val="22"/>
        </w:rPr>
      </w:pPr>
      <w:r w:rsidRPr="002A40D1">
        <w:rPr>
          <w:sz w:val="22"/>
        </w:rPr>
        <w:t>(</w:t>
      </w:r>
      <w:r w:rsidRPr="00066F94">
        <w:rPr>
          <w:i/>
          <w:sz w:val="22"/>
        </w:rPr>
        <w:t>a</w:t>
      </w:r>
      <w:r w:rsidRPr="002A40D1">
        <w:rPr>
          <w:sz w:val="22"/>
        </w:rPr>
        <w:t>) the amounts required to meet the share of the industry in the operating expenses o</w:t>
      </w:r>
      <w:r w:rsidR="00FA5505">
        <w:rPr>
          <w:sz w:val="22"/>
        </w:rPr>
        <w:t>f the Joint Organization as pro</w:t>
      </w:r>
      <w:r w:rsidRPr="002A40D1">
        <w:rPr>
          <w:sz w:val="22"/>
        </w:rPr>
        <w:t xml:space="preserve">vided in paragraph three of Part III. of the Disposals Plan, being the plan a copy of which is set forth in the Schedule to the </w:t>
      </w:r>
      <w:r w:rsidRPr="00100B02">
        <w:rPr>
          <w:i/>
          <w:sz w:val="22"/>
        </w:rPr>
        <w:t>Wool Realization Act</w:t>
      </w:r>
      <w:r w:rsidRPr="002A40D1">
        <w:rPr>
          <w:sz w:val="22"/>
        </w:rPr>
        <w:t xml:space="preserve"> 1945</w:t>
      </w:r>
      <w:r w:rsidR="00914233">
        <w:rPr>
          <w:sz w:val="22"/>
        </w:rPr>
        <w:t>;</w:t>
      </w:r>
    </w:p>
    <w:p w:rsidR="00672D2A" w:rsidRPr="002A40D1" w:rsidRDefault="00672D2A" w:rsidP="00655A30">
      <w:pPr>
        <w:spacing w:before="60"/>
        <w:ind w:left="1008" w:hanging="432"/>
        <w:jc w:val="both"/>
        <w:rPr>
          <w:sz w:val="22"/>
        </w:rPr>
      </w:pPr>
      <w:r w:rsidRPr="00066F94">
        <w:rPr>
          <w:sz w:val="22"/>
        </w:rPr>
        <w:t>(</w:t>
      </w:r>
      <w:r w:rsidR="00066F94" w:rsidRPr="00066F94">
        <w:rPr>
          <w:i/>
          <w:sz w:val="22"/>
        </w:rPr>
        <w:t>b</w:t>
      </w:r>
      <w:r w:rsidRPr="00066F94">
        <w:rPr>
          <w:sz w:val="22"/>
        </w:rPr>
        <w:t xml:space="preserve">) </w:t>
      </w:r>
      <w:r w:rsidRPr="002A40D1">
        <w:rPr>
          <w:sz w:val="22"/>
        </w:rPr>
        <w:t xml:space="preserve">the amounts required for </w:t>
      </w:r>
      <w:r w:rsidRPr="00066F94">
        <w:rPr>
          <w:sz w:val="22"/>
        </w:rPr>
        <w:t xml:space="preserve">payment </w:t>
      </w:r>
      <w:r w:rsidRPr="002A40D1">
        <w:rPr>
          <w:sz w:val="22"/>
        </w:rPr>
        <w:t xml:space="preserve">of interest, at such rate as the Treasurer determines, upon the amount from time to time </w:t>
      </w:r>
      <w:r w:rsidRPr="00066F94">
        <w:rPr>
          <w:sz w:val="22"/>
        </w:rPr>
        <w:t xml:space="preserve">expended by the </w:t>
      </w:r>
      <w:r w:rsidRPr="002A40D1">
        <w:rPr>
          <w:sz w:val="22"/>
        </w:rPr>
        <w:t xml:space="preserve">Commonwealth in purchases of wool in pursuance of the Disposals Plan and </w:t>
      </w:r>
      <w:proofErr w:type="spellStart"/>
      <w:r w:rsidRPr="002A40D1">
        <w:rPr>
          <w:sz w:val="22"/>
        </w:rPr>
        <w:t>unrecouped</w:t>
      </w:r>
      <w:proofErr w:type="spellEnd"/>
      <w:r w:rsidR="00914233">
        <w:rPr>
          <w:sz w:val="22"/>
        </w:rPr>
        <w:t>;</w:t>
      </w:r>
      <w:r w:rsidRPr="002A40D1">
        <w:rPr>
          <w:sz w:val="22"/>
        </w:rPr>
        <w:t xml:space="preserve"> and</w:t>
      </w:r>
    </w:p>
    <w:p w:rsidR="00672D2A" w:rsidRPr="002A40D1" w:rsidRDefault="00672D2A" w:rsidP="00655A30">
      <w:pPr>
        <w:spacing w:before="60"/>
        <w:ind w:left="1008" w:hanging="432"/>
        <w:jc w:val="both"/>
        <w:rPr>
          <w:sz w:val="22"/>
        </w:rPr>
      </w:pPr>
      <w:r w:rsidRPr="002A40D1">
        <w:rPr>
          <w:sz w:val="22"/>
        </w:rPr>
        <w:t>(</w:t>
      </w:r>
      <w:r w:rsidRPr="002A40D1">
        <w:rPr>
          <w:i/>
          <w:sz w:val="22"/>
        </w:rPr>
        <w:t>c</w:t>
      </w:r>
      <w:r w:rsidRPr="002A40D1">
        <w:rPr>
          <w:sz w:val="22"/>
        </w:rPr>
        <w:t xml:space="preserve">) the amounts required for payment into the Wool Use Pro-motion Fund in pursuance of section sixteen of the Wool Use Promotion Act 1945, as affected by the </w:t>
      </w:r>
      <w:r w:rsidRPr="00100B02">
        <w:rPr>
          <w:i/>
          <w:sz w:val="22"/>
        </w:rPr>
        <w:t>Wool (Contributory Charge) Assessment Act</w:t>
      </w:r>
      <w:r w:rsidRPr="002A40D1">
        <w:rPr>
          <w:sz w:val="22"/>
        </w:rPr>
        <w:t xml:space="preserve"> 1945</w:t>
      </w:r>
      <w:r w:rsidR="00044965">
        <w:rPr>
          <w:sz w:val="22"/>
        </w:rPr>
        <w:t>–</w:t>
      </w:r>
      <w:r w:rsidRPr="002A40D1">
        <w:rPr>
          <w:sz w:val="22"/>
        </w:rPr>
        <w:t>1950.</w:t>
      </w:r>
    </w:p>
    <w:p w:rsidR="00672D2A" w:rsidRPr="00100B02" w:rsidRDefault="00672D2A" w:rsidP="00100B02">
      <w:pPr>
        <w:widowControl/>
        <w:spacing w:before="120" w:after="60"/>
        <w:rPr>
          <w:b/>
          <w:sz w:val="20"/>
        </w:rPr>
      </w:pPr>
      <w:r w:rsidRPr="00100B02">
        <w:rPr>
          <w:b/>
          <w:sz w:val="20"/>
        </w:rPr>
        <w:t>Increased rate of charge.</w:t>
      </w:r>
    </w:p>
    <w:p w:rsidR="00100B02" w:rsidRDefault="00672D2A" w:rsidP="008801DD">
      <w:pPr>
        <w:tabs>
          <w:tab w:val="left" w:pos="1260"/>
        </w:tabs>
        <w:ind w:firstLine="432"/>
        <w:jc w:val="both"/>
        <w:rPr>
          <w:sz w:val="22"/>
        </w:rPr>
      </w:pPr>
      <w:r w:rsidRPr="00066F94">
        <w:rPr>
          <w:b/>
          <w:sz w:val="22"/>
        </w:rPr>
        <w:t>7</w:t>
      </w:r>
      <w:r w:rsidRPr="00066F94">
        <w:rPr>
          <w:sz w:val="22"/>
        </w:rPr>
        <w:t>.—</w:t>
      </w:r>
      <w:r w:rsidR="00C30DE4" w:rsidRPr="00066F94">
        <w:rPr>
          <w:sz w:val="22"/>
        </w:rPr>
        <w:t>(1.)</w:t>
      </w:r>
      <w:r w:rsidR="00C30DE4" w:rsidRPr="00066F94">
        <w:rPr>
          <w:sz w:val="22"/>
        </w:rPr>
        <w:tab/>
      </w:r>
      <w:r w:rsidRPr="002A40D1">
        <w:rPr>
          <w:sz w:val="22"/>
        </w:rPr>
        <w:t>Subject to the ne</w:t>
      </w:r>
      <w:r w:rsidR="00FA5505">
        <w:rPr>
          <w:sz w:val="22"/>
        </w:rPr>
        <w:t>x</w:t>
      </w:r>
      <w:r w:rsidRPr="002A40D1">
        <w:rPr>
          <w:sz w:val="22"/>
        </w:rPr>
        <w:t xml:space="preserve">t succeeding section, the regulations may from time to time prescribe a percentage, distinct from the percentage (if any) prescribed for the purposes of the last preceding section, being a percentage-not exceeding the percentage which, </w:t>
      </w:r>
      <w:r w:rsidRPr="00100B02">
        <w:rPr>
          <w:sz w:val="22"/>
        </w:rPr>
        <w:t xml:space="preserve">in </w:t>
      </w:r>
      <w:r w:rsidRPr="002A40D1">
        <w:rPr>
          <w:sz w:val="22"/>
        </w:rPr>
        <w:t xml:space="preserve">the opinion of the Governor-General, after </w:t>
      </w:r>
      <w:r w:rsidRPr="00100B02">
        <w:rPr>
          <w:sz w:val="22"/>
        </w:rPr>
        <w:t xml:space="preserve">taking </w:t>
      </w:r>
      <w:r w:rsidRPr="002A40D1">
        <w:rPr>
          <w:sz w:val="22"/>
        </w:rPr>
        <w:t xml:space="preserve">into consideration any views on the matter </w:t>
      </w:r>
      <w:r w:rsidRPr="00100B02">
        <w:rPr>
          <w:sz w:val="22"/>
        </w:rPr>
        <w:t xml:space="preserve">which </w:t>
      </w:r>
      <w:r w:rsidRPr="002A40D1">
        <w:rPr>
          <w:sz w:val="22"/>
        </w:rPr>
        <w:t xml:space="preserve">have been expressed to the </w:t>
      </w:r>
      <w:r w:rsidRPr="00100B02">
        <w:rPr>
          <w:sz w:val="22"/>
        </w:rPr>
        <w:t>Minister</w:t>
      </w:r>
      <w:r w:rsidR="00616916">
        <w:rPr>
          <w:sz w:val="22"/>
        </w:rPr>
        <w:t>”</w:t>
      </w:r>
      <w:r w:rsidRPr="00100B02">
        <w:rPr>
          <w:sz w:val="22"/>
        </w:rPr>
        <w:t xml:space="preserve"> </w:t>
      </w:r>
      <w:r w:rsidRPr="002A40D1">
        <w:rPr>
          <w:sz w:val="22"/>
        </w:rPr>
        <w:t>of State for Commerce and Agriculture by the Australian Wool Realization Commission, the Australian Woolgrowers</w:t>
      </w:r>
      <w:r w:rsidR="00616916">
        <w:rPr>
          <w:sz w:val="22"/>
        </w:rPr>
        <w:t>’</w:t>
      </w:r>
      <w:r w:rsidRPr="002A40D1">
        <w:rPr>
          <w:sz w:val="22"/>
        </w:rPr>
        <w:t xml:space="preserve"> Council, the Australian Wool and Meat Producers</w:t>
      </w:r>
      <w:r w:rsidR="00616916">
        <w:rPr>
          <w:sz w:val="22"/>
        </w:rPr>
        <w:t>’</w:t>
      </w:r>
      <w:r w:rsidRPr="002A40D1">
        <w:rPr>
          <w:sz w:val="22"/>
        </w:rPr>
        <w:t xml:space="preserve"> Federation and the Australian Primary Producers</w:t>
      </w:r>
      <w:r w:rsidR="00616916">
        <w:rPr>
          <w:sz w:val="22"/>
        </w:rPr>
        <w:t>’</w:t>
      </w:r>
      <w:r w:rsidRPr="002A40D1">
        <w:rPr>
          <w:sz w:val="22"/>
        </w:rPr>
        <w:t xml:space="preserve"> Union, is necessary in order to produce, together with the </w:t>
      </w:r>
      <w:r w:rsidRPr="00100B02">
        <w:rPr>
          <w:sz w:val="22"/>
        </w:rPr>
        <w:t xml:space="preserve">amount </w:t>
      </w:r>
      <w:r w:rsidRPr="002A40D1">
        <w:rPr>
          <w:sz w:val="22"/>
        </w:rPr>
        <w:t xml:space="preserve">likely to be produced under the </w:t>
      </w:r>
      <w:r w:rsidRPr="00BE6658">
        <w:rPr>
          <w:i/>
          <w:sz w:val="22"/>
        </w:rPr>
        <w:t xml:space="preserve">Wool </w:t>
      </w:r>
      <w:r w:rsidRPr="00FA5505">
        <w:rPr>
          <w:sz w:val="22"/>
        </w:rPr>
        <w:t>(</w:t>
      </w:r>
      <w:r w:rsidRPr="00BE6658">
        <w:rPr>
          <w:i/>
          <w:sz w:val="22"/>
        </w:rPr>
        <w:t>Contributory Charge</w:t>
      </w:r>
      <w:r w:rsidRPr="00FA5505">
        <w:rPr>
          <w:sz w:val="22"/>
        </w:rPr>
        <w:t>)</w:t>
      </w:r>
      <w:r w:rsidRPr="00BE6658">
        <w:rPr>
          <w:i/>
          <w:sz w:val="22"/>
        </w:rPr>
        <w:t xml:space="preserve"> Act </w:t>
      </w:r>
      <w:r w:rsidRPr="00FA5505">
        <w:rPr>
          <w:sz w:val="22"/>
        </w:rPr>
        <w:t>(</w:t>
      </w:r>
      <w:r w:rsidRPr="00BE6658">
        <w:rPr>
          <w:i/>
          <w:sz w:val="22"/>
        </w:rPr>
        <w:t>No.</w:t>
      </w:r>
      <w:r w:rsidRPr="002A40D1">
        <w:rPr>
          <w:sz w:val="22"/>
        </w:rPr>
        <w:t xml:space="preserve"> 1) 1950 if the same percentage is prescribed </w:t>
      </w:r>
      <w:r w:rsidRPr="00100B02">
        <w:rPr>
          <w:sz w:val="22"/>
        </w:rPr>
        <w:t xml:space="preserve">under </w:t>
      </w:r>
      <w:r w:rsidRPr="002A40D1">
        <w:rPr>
          <w:sz w:val="22"/>
        </w:rPr>
        <w:t>section seven of that Act, an amount equal to the sum of the amounts required, or likely to be required, to b</w:t>
      </w:r>
      <w:r w:rsidR="00DC74C0">
        <w:rPr>
          <w:sz w:val="22"/>
        </w:rPr>
        <w:t>e</w:t>
      </w:r>
      <w:r w:rsidRPr="002A40D1">
        <w:rPr>
          <w:sz w:val="22"/>
        </w:rPr>
        <w:t xml:space="preserve"> contributed by the wool industry to the cost of establishing a scheme of reserve prices for wool after the Disposals Plan ceases to operate and to the cost of operating that scheme.</w:t>
      </w:r>
    </w:p>
    <w:p w:rsidR="00672D2A" w:rsidRDefault="00C30DE4" w:rsidP="008801DD">
      <w:pPr>
        <w:tabs>
          <w:tab w:val="left" w:pos="909"/>
        </w:tabs>
        <w:spacing w:before="60"/>
        <w:ind w:firstLine="432"/>
        <w:jc w:val="both"/>
        <w:rPr>
          <w:sz w:val="22"/>
        </w:rPr>
      </w:pPr>
      <w:r w:rsidRPr="002A40D1">
        <w:rPr>
          <w:sz w:val="22"/>
        </w:rPr>
        <w:t>(</w:t>
      </w:r>
      <w:r w:rsidRPr="009F5E22">
        <w:rPr>
          <w:sz w:val="22"/>
        </w:rPr>
        <w:t>2</w:t>
      </w:r>
      <w:r w:rsidRPr="002A40D1">
        <w:rPr>
          <w:sz w:val="22"/>
        </w:rPr>
        <w:t>.)</w:t>
      </w:r>
      <w:r w:rsidRPr="002A40D1">
        <w:rPr>
          <w:sz w:val="22"/>
        </w:rPr>
        <w:tab/>
      </w:r>
      <w:r w:rsidR="00672D2A" w:rsidRPr="002A40D1">
        <w:rPr>
          <w:sz w:val="22"/>
        </w:rPr>
        <w:t>Where regulations are in operation proscribing a percentage under this section, the rate of the charge shall be a percentage of the sale value of the wool equal to the percentage so prescribed or, where a percentage is also prescribed under the last preceding section, equal to the sum of the percentages proscribed under this section and the last preceding section.</w:t>
      </w:r>
    </w:p>
    <w:p w:rsidR="00672D2A" w:rsidRPr="00646BA7" w:rsidRDefault="00672D2A" w:rsidP="00765A62">
      <w:pPr>
        <w:jc w:val="both"/>
        <w:rPr>
          <w:sz w:val="22"/>
        </w:rPr>
      </w:pPr>
      <w:bookmarkStart w:id="0" w:name="_GoBack"/>
      <w:bookmarkEnd w:id="0"/>
      <w:r w:rsidRPr="00646BA7">
        <w:rPr>
          <w:sz w:val="22"/>
        </w:rPr>
        <w:br w:type="page"/>
      </w:r>
    </w:p>
    <w:p w:rsidR="00672D2A" w:rsidRPr="00DC74C0" w:rsidRDefault="00672D2A" w:rsidP="001404E9">
      <w:pPr>
        <w:widowControl/>
        <w:spacing w:after="60"/>
        <w:rPr>
          <w:b/>
          <w:sz w:val="20"/>
        </w:rPr>
      </w:pPr>
      <w:r w:rsidRPr="00DC74C0">
        <w:rPr>
          <w:b/>
          <w:sz w:val="20"/>
        </w:rPr>
        <w:lastRenderedPageBreak/>
        <w:t>Maximum rate.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DC74C0">
        <w:rPr>
          <w:b/>
          <w:sz w:val="22"/>
        </w:rPr>
        <w:t>8.</w:t>
      </w:r>
      <w:r>
        <w:rPr>
          <w:sz w:val="22"/>
        </w:rPr>
        <w:tab/>
      </w:r>
      <w:r w:rsidR="00672D2A" w:rsidRPr="002A40D1">
        <w:rPr>
          <w:sz w:val="22"/>
        </w:rPr>
        <w:t>The rate of the charge shall not at any time exceed ten per</w:t>
      </w:r>
      <w:r w:rsidR="00DC74C0">
        <w:rPr>
          <w:sz w:val="22"/>
        </w:rPr>
        <w:t xml:space="preserve"> </w:t>
      </w:r>
      <w:r w:rsidR="00672D2A" w:rsidRPr="002A40D1">
        <w:rPr>
          <w:sz w:val="22"/>
        </w:rPr>
        <w:t>c</w:t>
      </w:r>
      <w:r w:rsidR="00DC74C0">
        <w:rPr>
          <w:sz w:val="22"/>
        </w:rPr>
        <w:t>e</w:t>
      </w:r>
      <w:r w:rsidR="00672D2A" w:rsidRPr="002A40D1">
        <w:rPr>
          <w:sz w:val="22"/>
        </w:rPr>
        <w:t>ntum of the sale value of the wool.</w:t>
      </w:r>
    </w:p>
    <w:p w:rsidR="00672D2A" w:rsidRPr="00DC74C0" w:rsidRDefault="00672D2A" w:rsidP="00DC74C0">
      <w:pPr>
        <w:widowControl/>
        <w:spacing w:before="120" w:after="60"/>
        <w:rPr>
          <w:b/>
          <w:sz w:val="20"/>
        </w:rPr>
      </w:pPr>
      <w:r w:rsidRPr="00DC74C0">
        <w:rPr>
          <w:b/>
          <w:sz w:val="20"/>
        </w:rPr>
        <w:t>Regulations.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DC74C0">
        <w:rPr>
          <w:b/>
          <w:sz w:val="22"/>
        </w:rPr>
        <w:t>9.</w:t>
      </w:r>
      <w:r>
        <w:rPr>
          <w:sz w:val="22"/>
        </w:rPr>
        <w:tab/>
      </w:r>
      <w:r w:rsidR="00672D2A" w:rsidRPr="002A40D1">
        <w:rPr>
          <w:sz w:val="22"/>
        </w:rPr>
        <w:t>The Governor-General may make regulations, not inconsistent with this Act, for prescribing the percentage required or permitted to be prescribed for the purposes of section six or seven of this Act.</w:t>
      </w:r>
    </w:p>
    <w:p w:rsidR="009E1A57" w:rsidRPr="009F5E22" w:rsidRDefault="009E1A57" w:rsidP="00A75B68">
      <w:pPr>
        <w:pBdr>
          <w:top w:val="single" w:sz="4" w:space="1" w:color="auto"/>
        </w:pBdr>
        <w:spacing w:before="720"/>
        <w:ind w:left="3600" w:right="3600"/>
        <w:jc w:val="center"/>
        <w:rPr>
          <w:sz w:val="22"/>
        </w:rPr>
      </w:pPr>
    </w:p>
    <w:sectPr w:rsidR="009E1A57" w:rsidRPr="009F5E22" w:rsidSect="00311C5A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FD" w:rsidRDefault="001018FD">
      <w:r>
        <w:separator/>
      </w:r>
    </w:p>
  </w:endnote>
  <w:endnote w:type="continuationSeparator" w:id="0">
    <w:p w:rsidR="001018FD" w:rsidRDefault="0010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FD" w:rsidRDefault="001018FD">
      <w:r>
        <w:separator/>
      </w:r>
    </w:p>
  </w:footnote>
  <w:footnote w:type="continuationSeparator" w:id="0">
    <w:p w:rsidR="001018FD" w:rsidRDefault="0010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A" w:rsidRPr="004E1B36" w:rsidRDefault="00311C5A" w:rsidP="004E1B36">
    <w:pPr>
      <w:pStyle w:val="Header"/>
      <w:tabs>
        <w:tab w:val="clear" w:pos="9360"/>
        <w:tab w:val="right" w:pos="9000"/>
      </w:tabs>
      <w:rPr>
        <w:sz w:val="20"/>
        <w:szCs w:val="20"/>
      </w:rPr>
    </w:pPr>
    <w:r w:rsidRPr="004E1B36">
      <w:rPr>
        <w:sz w:val="20"/>
        <w:szCs w:val="20"/>
      </w:rPr>
      <w:t>1950.</w:t>
    </w:r>
    <w:r w:rsidRPr="004E1B36">
      <w:rPr>
        <w:sz w:val="20"/>
        <w:szCs w:val="20"/>
      </w:rPr>
      <w:ptab w:relativeTo="margin" w:alignment="center" w:leader="none"/>
    </w:r>
    <w:r w:rsidRPr="004E1B36">
      <w:rPr>
        <w:i/>
        <w:sz w:val="20"/>
        <w:szCs w:val="20"/>
      </w:rPr>
      <w:t xml:space="preserve">Wool </w:t>
    </w:r>
    <w:r w:rsidRPr="004E1B36">
      <w:rPr>
        <w:sz w:val="20"/>
        <w:szCs w:val="20"/>
      </w:rPr>
      <w:t>(</w:t>
    </w:r>
    <w:r w:rsidRPr="004E1B36">
      <w:rPr>
        <w:i/>
        <w:sz w:val="20"/>
        <w:szCs w:val="20"/>
      </w:rPr>
      <w:t>Contributory Charge</w:t>
    </w:r>
    <w:r w:rsidRPr="004E1B36">
      <w:rPr>
        <w:sz w:val="20"/>
        <w:szCs w:val="20"/>
      </w:rPr>
      <w:t>)</w:t>
    </w:r>
    <w:r w:rsidRPr="004E1B36">
      <w:rPr>
        <w:i/>
        <w:sz w:val="20"/>
        <w:szCs w:val="20"/>
      </w:rPr>
      <w:t xml:space="preserve"> </w:t>
    </w:r>
    <w:r w:rsidRPr="004E1B36">
      <w:rPr>
        <w:sz w:val="20"/>
        <w:szCs w:val="20"/>
      </w:rPr>
      <w:t>(</w:t>
    </w:r>
    <w:r w:rsidRPr="004E1B36">
      <w:rPr>
        <w:i/>
        <w:sz w:val="20"/>
        <w:szCs w:val="20"/>
      </w:rPr>
      <w:t xml:space="preserve">No. </w:t>
    </w:r>
    <w:r w:rsidRPr="004E1B36">
      <w:rPr>
        <w:sz w:val="20"/>
        <w:szCs w:val="20"/>
      </w:rPr>
      <w:t>2).</w:t>
    </w:r>
    <w:r w:rsidRPr="004E1B36">
      <w:rPr>
        <w:sz w:val="20"/>
        <w:szCs w:val="20"/>
      </w:rPr>
      <w:ptab w:relativeTo="margin" w:alignment="right" w:leader="none"/>
    </w:r>
    <w:r w:rsidRPr="004E1B36">
      <w:rPr>
        <w:sz w:val="20"/>
        <w:szCs w:val="20"/>
      </w:rPr>
      <w:t>No. 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A" w:rsidRPr="001C388F" w:rsidRDefault="00311C5A" w:rsidP="001C388F">
    <w:pPr>
      <w:pStyle w:val="Header"/>
      <w:tabs>
        <w:tab w:val="clear" w:pos="9360"/>
        <w:tab w:val="right" w:pos="9000"/>
      </w:tabs>
      <w:rPr>
        <w:sz w:val="20"/>
        <w:szCs w:val="20"/>
      </w:rPr>
    </w:pPr>
    <w:r w:rsidRPr="001C388F">
      <w:rPr>
        <w:sz w:val="20"/>
        <w:szCs w:val="20"/>
      </w:rPr>
      <w:t>No. 8.</w:t>
    </w:r>
    <w:r w:rsidRPr="001C388F">
      <w:rPr>
        <w:sz w:val="20"/>
        <w:szCs w:val="20"/>
      </w:rPr>
      <w:ptab w:relativeTo="margin" w:alignment="center" w:leader="none"/>
    </w:r>
    <w:r w:rsidRPr="001C388F">
      <w:rPr>
        <w:i/>
        <w:sz w:val="20"/>
        <w:szCs w:val="20"/>
      </w:rPr>
      <w:t xml:space="preserve">Wool </w:t>
    </w:r>
    <w:r w:rsidRPr="001C388F">
      <w:rPr>
        <w:sz w:val="20"/>
        <w:szCs w:val="20"/>
      </w:rPr>
      <w:t>(</w:t>
    </w:r>
    <w:r w:rsidRPr="001C388F">
      <w:rPr>
        <w:i/>
        <w:sz w:val="20"/>
        <w:szCs w:val="20"/>
      </w:rPr>
      <w:t>Contributory Charge</w:t>
    </w:r>
    <w:r w:rsidRPr="001C388F">
      <w:rPr>
        <w:sz w:val="20"/>
        <w:szCs w:val="20"/>
      </w:rPr>
      <w:t>)</w:t>
    </w:r>
    <w:r w:rsidRPr="001C388F">
      <w:rPr>
        <w:i/>
        <w:sz w:val="20"/>
        <w:szCs w:val="20"/>
      </w:rPr>
      <w:t xml:space="preserve"> </w:t>
    </w:r>
    <w:r w:rsidRPr="001C388F">
      <w:rPr>
        <w:sz w:val="20"/>
        <w:szCs w:val="20"/>
      </w:rPr>
      <w:t>(</w:t>
    </w:r>
    <w:r w:rsidRPr="001C388F">
      <w:rPr>
        <w:i/>
        <w:sz w:val="20"/>
        <w:szCs w:val="20"/>
      </w:rPr>
      <w:t xml:space="preserve">No. </w:t>
    </w:r>
    <w:r w:rsidRPr="001C388F">
      <w:rPr>
        <w:sz w:val="20"/>
        <w:szCs w:val="20"/>
      </w:rPr>
      <w:t>2).</w:t>
    </w:r>
    <w:r w:rsidRPr="001C388F">
      <w:rPr>
        <w:sz w:val="20"/>
        <w:szCs w:val="20"/>
      </w:rPr>
      <w:ptab w:relativeTo="margin" w:alignment="right" w:leader="none"/>
    </w:r>
    <w:r w:rsidRPr="001C388F">
      <w:rPr>
        <w:sz w:val="20"/>
        <w:szCs w:val="20"/>
      </w:rPr>
      <w:t>1950.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B0DB2"/>
    <w:rsid w:val="00011682"/>
    <w:rsid w:val="00015CD0"/>
    <w:rsid w:val="000241EA"/>
    <w:rsid w:val="00035F19"/>
    <w:rsid w:val="00044865"/>
    <w:rsid w:val="00044965"/>
    <w:rsid w:val="00066F94"/>
    <w:rsid w:val="000704EE"/>
    <w:rsid w:val="00073F1E"/>
    <w:rsid w:val="00082AE7"/>
    <w:rsid w:val="00083065"/>
    <w:rsid w:val="000917FB"/>
    <w:rsid w:val="0009272D"/>
    <w:rsid w:val="000B109D"/>
    <w:rsid w:val="000D3659"/>
    <w:rsid w:val="0010003C"/>
    <w:rsid w:val="00100B02"/>
    <w:rsid w:val="001018FD"/>
    <w:rsid w:val="00103BEB"/>
    <w:rsid w:val="0010733F"/>
    <w:rsid w:val="001168E3"/>
    <w:rsid w:val="0012071A"/>
    <w:rsid w:val="00133A04"/>
    <w:rsid w:val="00136969"/>
    <w:rsid w:val="001404E9"/>
    <w:rsid w:val="00142FFF"/>
    <w:rsid w:val="00157065"/>
    <w:rsid w:val="001930D4"/>
    <w:rsid w:val="001B098C"/>
    <w:rsid w:val="001C388F"/>
    <w:rsid w:val="001D27D3"/>
    <w:rsid w:val="001D75F8"/>
    <w:rsid w:val="001F21FE"/>
    <w:rsid w:val="001F7796"/>
    <w:rsid w:val="00226CD5"/>
    <w:rsid w:val="00241C79"/>
    <w:rsid w:val="002514E6"/>
    <w:rsid w:val="002529C3"/>
    <w:rsid w:val="00252D54"/>
    <w:rsid w:val="00257AF1"/>
    <w:rsid w:val="00266C49"/>
    <w:rsid w:val="00271B2F"/>
    <w:rsid w:val="002764F4"/>
    <w:rsid w:val="00277305"/>
    <w:rsid w:val="002A40D1"/>
    <w:rsid w:val="002A4683"/>
    <w:rsid w:val="002A51C5"/>
    <w:rsid w:val="002A6096"/>
    <w:rsid w:val="002A681A"/>
    <w:rsid w:val="002D2F38"/>
    <w:rsid w:val="00300CEB"/>
    <w:rsid w:val="00307590"/>
    <w:rsid w:val="00311C5A"/>
    <w:rsid w:val="00315831"/>
    <w:rsid w:val="00330C39"/>
    <w:rsid w:val="00336501"/>
    <w:rsid w:val="00346B58"/>
    <w:rsid w:val="0035407A"/>
    <w:rsid w:val="00371FC5"/>
    <w:rsid w:val="003A3559"/>
    <w:rsid w:val="003B796F"/>
    <w:rsid w:val="003B7CC9"/>
    <w:rsid w:val="003C41CC"/>
    <w:rsid w:val="003F3CEE"/>
    <w:rsid w:val="00412BCA"/>
    <w:rsid w:val="00424233"/>
    <w:rsid w:val="0042493E"/>
    <w:rsid w:val="004637A7"/>
    <w:rsid w:val="004748EA"/>
    <w:rsid w:val="00477713"/>
    <w:rsid w:val="00477CEB"/>
    <w:rsid w:val="004B0C67"/>
    <w:rsid w:val="004B39F2"/>
    <w:rsid w:val="004C7C11"/>
    <w:rsid w:val="004E1B36"/>
    <w:rsid w:val="004F7EF2"/>
    <w:rsid w:val="005233F1"/>
    <w:rsid w:val="00537C29"/>
    <w:rsid w:val="00542BF7"/>
    <w:rsid w:val="00547BD0"/>
    <w:rsid w:val="00556648"/>
    <w:rsid w:val="0056003A"/>
    <w:rsid w:val="00575DBB"/>
    <w:rsid w:val="005804C7"/>
    <w:rsid w:val="00586726"/>
    <w:rsid w:val="005A5757"/>
    <w:rsid w:val="005F5242"/>
    <w:rsid w:val="005F66A4"/>
    <w:rsid w:val="00613B73"/>
    <w:rsid w:val="00615394"/>
    <w:rsid w:val="00616916"/>
    <w:rsid w:val="00643B64"/>
    <w:rsid w:val="00646BA7"/>
    <w:rsid w:val="00647EFC"/>
    <w:rsid w:val="00652E23"/>
    <w:rsid w:val="00655A30"/>
    <w:rsid w:val="00657054"/>
    <w:rsid w:val="006720D2"/>
    <w:rsid w:val="00672327"/>
    <w:rsid w:val="00672D2A"/>
    <w:rsid w:val="00676257"/>
    <w:rsid w:val="00690DFA"/>
    <w:rsid w:val="006A5CD7"/>
    <w:rsid w:val="006C6A5C"/>
    <w:rsid w:val="006C7043"/>
    <w:rsid w:val="006E4F2E"/>
    <w:rsid w:val="006E60E1"/>
    <w:rsid w:val="006F7794"/>
    <w:rsid w:val="00721855"/>
    <w:rsid w:val="0074796E"/>
    <w:rsid w:val="007513C5"/>
    <w:rsid w:val="0076351F"/>
    <w:rsid w:val="00765A62"/>
    <w:rsid w:val="00773EA1"/>
    <w:rsid w:val="007D3A1F"/>
    <w:rsid w:val="007D4D66"/>
    <w:rsid w:val="007F1643"/>
    <w:rsid w:val="007F2242"/>
    <w:rsid w:val="007F23EC"/>
    <w:rsid w:val="00802367"/>
    <w:rsid w:val="00810B2F"/>
    <w:rsid w:val="0082113C"/>
    <w:rsid w:val="00822207"/>
    <w:rsid w:val="00825123"/>
    <w:rsid w:val="00840934"/>
    <w:rsid w:val="0084185A"/>
    <w:rsid w:val="00853707"/>
    <w:rsid w:val="00854B32"/>
    <w:rsid w:val="00862763"/>
    <w:rsid w:val="00875BE0"/>
    <w:rsid w:val="008801DD"/>
    <w:rsid w:val="0088314A"/>
    <w:rsid w:val="00884908"/>
    <w:rsid w:val="0088565A"/>
    <w:rsid w:val="00894E98"/>
    <w:rsid w:val="008A51A7"/>
    <w:rsid w:val="008A7C03"/>
    <w:rsid w:val="008D3998"/>
    <w:rsid w:val="008E1B84"/>
    <w:rsid w:val="00914233"/>
    <w:rsid w:val="00916216"/>
    <w:rsid w:val="00917444"/>
    <w:rsid w:val="00941661"/>
    <w:rsid w:val="00952782"/>
    <w:rsid w:val="00953858"/>
    <w:rsid w:val="009550BD"/>
    <w:rsid w:val="00994634"/>
    <w:rsid w:val="009B6F98"/>
    <w:rsid w:val="009C0DBE"/>
    <w:rsid w:val="009C0E97"/>
    <w:rsid w:val="009D4CB3"/>
    <w:rsid w:val="009D712B"/>
    <w:rsid w:val="009E1A57"/>
    <w:rsid w:val="009E2593"/>
    <w:rsid w:val="009E573D"/>
    <w:rsid w:val="009F5E22"/>
    <w:rsid w:val="00A017F8"/>
    <w:rsid w:val="00A01AC6"/>
    <w:rsid w:val="00A0296D"/>
    <w:rsid w:val="00A134BE"/>
    <w:rsid w:val="00A26EAD"/>
    <w:rsid w:val="00A543A5"/>
    <w:rsid w:val="00A75B68"/>
    <w:rsid w:val="00A800C0"/>
    <w:rsid w:val="00A87113"/>
    <w:rsid w:val="00A87913"/>
    <w:rsid w:val="00A94EF8"/>
    <w:rsid w:val="00AA0B2D"/>
    <w:rsid w:val="00AA1DE2"/>
    <w:rsid w:val="00AA4B7C"/>
    <w:rsid w:val="00AD0915"/>
    <w:rsid w:val="00AD4FE2"/>
    <w:rsid w:val="00AE3E5E"/>
    <w:rsid w:val="00B12BBC"/>
    <w:rsid w:val="00B3360F"/>
    <w:rsid w:val="00B4330B"/>
    <w:rsid w:val="00B43B7C"/>
    <w:rsid w:val="00B47E72"/>
    <w:rsid w:val="00B53998"/>
    <w:rsid w:val="00B7644A"/>
    <w:rsid w:val="00B9560F"/>
    <w:rsid w:val="00B97992"/>
    <w:rsid w:val="00BA428C"/>
    <w:rsid w:val="00BA6029"/>
    <w:rsid w:val="00BB0DB2"/>
    <w:rsid w:val="00BB422C"/>
    <w:rsid w:val="00BC5164"/>
    <w:rsid w:val="00BE1154"/>
    <w:rsid w:val="00BE1EBB"/>
    <w:rsid w:val="00BE28A1"/>
    <w:rsid w:val="00BE6658"/>
    <w:rsid w:val="00BF2C61"/>
    <w:rsid w:val="00C018B7"/>
    <w:rsid w:val="00C0760F"/>
    <w:rsid w:val="00C171F3"/>
    <w:rsid w:val="00C30DE4"/>
    <w:rsid w:val="00C36779"/>
    <w:rsid w:val="00C54243"/>
    <w:rsid w:val="00CE5811"/>
    <w:rsid w:val="00CF2851"/>
    <w:rsid w:val="00CF64DB"/>
    <w:rsid w:val="00D04C2F"/>
    <w:rsid w:val="00D13A29"/>
    <w:rsid w:val="00D37981"/>
    <w:rsid w:val="00D722E8"/>
    <w:rsid w:val="00DA01C6"/>
    <w:rsid w:val="00DA4783"/>
    <w:rsid w:val="00DC74C0"/>
    <w:rsid w:val="00DE14C0"/>
    <w:rsid w:val="00DF2A57"/>
    <w:rsid w:val="00DF70BC"/>
    <w:rsid w:val="00E054D1"/>
    <w:rsid w:val="00E14D01"/>
    <w:rsid w:val="00E20D62"/>
    <w:rsid w:val="00E240EC"/>
    <w:rsid w:val="00E44D28"/>
    <w:rsid w:val="00E606EA"/>
    <w:rsid w:val="00E75B0F"/>
    <w:rsid w:val="00E82401"/>
    <w:rsid w:val="00EB029D"/>
    <w:rsid w:val="00EB6A20"/>
    <w:rsid w:val="00ED6567"/>
    <w:rsid w:val="00F038FA"/>
    <w:rsid w:val="00F11B10"/>
    <w:rsid w:val="00F334B3"/>
    <w:rsid w:val="00F633BD"/>
    <w:rsid w:val="00F73EC1"/>
    <w:rsid w:val="00F87450"/>
    <w:rsid w:val="00FA36E2"/>
    <w:rsid w:val="00FA5505"/>
    <w:rsid w:val="00FE2C0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F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8FA"/>
  </w:style>
  <w:style w:type="paragraph" w:customStyle="1" w:styleId="Style2">
    <w:name w:val="Style2"/>
    <w:basedOn w:val="Normal"/>
    <w:uiPriority w:val="99"/>
    <w:rsid w:val="00F038FA"/>
  </w:style>
  <w:style w:type="paragraph" w:customStyle="1" w:styleId="Style3">
    <w:name w:val="Style3"/>
    <w:basedOn w:val="Normal"/>
    <w:uiPriority w:val="99"/>
    <w:rsid w:val="00F038FA"/>
  </w:style>
  <w:style w:type="paragraph" w:customStyle="1" w:styleId="Style4">
    <w:name w:val="Style4"/>
    <w:basedOn w:val="Normal"/>
    <w:uiPriority w:val="99"/>
    <w:rsid w:val="00F038FA"/>
  </w:style>
  <w:style w:type="paragraph" w:customStyle="1" w:styleId="Style5">
    <w:name w:val="Style5"/>
    <w:basedOn w:val="Normal"/>
    <w:uiPriority w:val="99"/>
    <w:rsid w:val="00F038FA"/>
  </w:style>
  <w:style w:type="paragraph" w:customStyle="1" w:styleId="Style6">
    <w:name w:val="Style6"/>
    <w:basedOn w:val="Normal"/>
    <w:uiPriority w:val="99"/>
    <w:rsid w:val="00F038FA"/>
  </w:style>
  <w:style w:type="paragraph" w:customStyle="1" w:styleId="Style7">
    <w:name w:val="Style7"/>
    <w:basedOn w:val="Normal"/>
    <w:uiPriority w:val="99"/>
    <w:rsid w:val="00F038FA"/>
  </w:style>
  <w:style w:type="paragraph" w:customStyle="1" w:styleId="Style8">
    <w:name w:val="Style8"/>
    <w:basedOn w:val="Normal"/>
    <w:uiPriority w:val="99"/>
    <w:rsid w:val="00F038FA"/>
  </w:style>
  <w:style w:type="paragraph" w:customStyle="1" w:styleId="Style9">
    <w:name w:val="Style9"/>
    <w:basedOn w:val="Normal"/>
    <w:uiPriority w:val="99"/>
    <w:rsid w:val="00F038FA"/>
  </w:style>
  <w:style w:type="paragraph" w:customStyle="1" w:styleId="Style10">
    <w:name w:val="Style10"/>
    <w:basedOn w:val="Normal"/>
    <w:uiPriority w:val="99"/>
    <w:rsid w:val="00F038FA"/>
  </w:style>
  <w:style w:type="paragraph" w:customStyle="1" w:styleId="Style11">
    <w:name w:val="Style11"/>
    <w:basedOn w:val="Normal"/>
    <w:uiPriority w:val="99"/>
    <w:rsid w:val="00F038FA"/>
  </w:style>
  <w:style w:type="paragraph" w:customStyle="1" w:styleId="Style12">
    <w:name w:val="Style12"/>
    <w:basedOn w:val="Normal"/>
    <w:uiPriority w:val="99"/>
    <w:rsid w:val="00F038FA"/>
  </w:style>
  <w:style w:type="paragraph" w:customStyle="1" w:styleId="Style13">
    <w:name w:val="Style13"/>
    <w:basedOn w:val="Normal"/>
    <w:uiPriority w:val="99"/>
    <w:rsid w:val="00F038FA"/>
  </w:style>
  <w:style w:type="character" w:customStyle="1" w:styleId="FontStyle15">
    <w:name w:val="Font Style15"/>
    <w:basedOn w:val="DefaultParagraphFont"/>
    <w:uiPriority w:val="99"/>
    <w:rsid w:val="00F038FA"/>
    <w:rPr>
      <w:rFonts w:ascii="Sylfaen" w:hAnsi="Sylfaen" w:cs="Sylfaen"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F038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F038F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038FA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F038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F038F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F038F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F038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BB0DB2"/>
    <w:rPr>
      <w:rFonts w:ascii="Sylfaen" w:hAnsi="Sylfaen" w:cstheme="minorBidi"/>
    </w:rPr>
  </w:style>
  <w:style w:type="paragraph" w:customStyle="1" w:styleId="Style15">
    <w:name w:val="Style15"/>
    <w:basedOn w:val="Normal"/>
    <w:uiPriority w:val="99"/>
    <w:rsid w:val="00BB0DB2"/>
    <w:rPr>
      <w:rFonts w:ascii="Sylfaen" w:hAnsi="Sylfaen" w:cstheme="minorBidi"/>
    </w:rPr>
  </w:style>
  <w:style w:type="paragraph" w:customStyle="1" w:styleId="Style16">
    <w:name w:val="Style16"/>
    <w:basedOn w:val="Normal"/>
    <w:uiPriority w:val="99"/>
    <w:rsid w:val="00BB0DB2"/>
    <w:rPr>
      <w:rFonts w:ascii="Sylfaen" w:hAnsi="Sylfaen" w:cstheme="minorBidi"/>
    </w:rPr>
  </w:style>
  <w:style w:type="paragraph" w:customStyle="1" w:styleId="Style17">
    <w:name w:val="Style17"/>
    <w:basedOn w:val="Normal"/>
    <w:uiPriority w:val="99"/>
    <w:rsid w:val="00BB0DB2"/>
    <w:rPr>
      <w:rFonts w:ascii="Sylfaen" w:hAnsi="Sylfaen" w:cstheme="minorBidi"/>
    </w:rPr>
  </w:style>
  <w:style w:type="paragraph" w:customStyle="1" w:styleId="Style18">
    <w:name w:val="Style18"/>
    <w:basedOn w:val="Normal"/>
    <w:uiPriority w:val="99"/>
    <w:rsid w:val="00BB0DB2"/>
    <w:rPr>
      <w:rFonts w:ascii="Sylfaen" w:hAnsi="Sylfaen" w:cstheme="minorBidi"/>
    </w:rPr>
  </w:style>
  <w:style w:type="character" w:customStyle="1" w:styleId="FontStyle23">
    <w:name w:val="Font Style23"/>
    <w:basedOn w:val="DefaultParagraphFont"/>
    <w:uiPriority w:val="99"/>
    <w:rsid w:val="00BB0DB2"/>
    <w:rPr>
      <w:rFonts w:ascii="Sylfaen" w:hAnsi="Sylfaen" w:cs="Sylfaen"/>
      <w:b/>
      <w:b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BB0DB2"/>
    <w:rPr>
      <w:rFonts w:ascii="Sylfaen" w:hAnsi="Sylfaen" w:cs="Sylfaen"/>
      <w:sz w:val="60"/>
      <w:szCs w:val="60"/>
    </w:rPr>
  </w:style>
  <w:style w:type="character" w:customStyle="1" w:styleId="FontStyle25">
    <w:name w:val="Font Style25"/>
    <w:basedOn w:val="DefaultParagraphFont"/>
    <w:uiPriority w:val="99"/>
    <w:rsid w:val="00BB0DB2"/>
    <w:rPr>
      <w:rFonts w:ascii="Sylfaen" w:hAnsi="Sylfaen" w:cs="Sylfaen"/>
      <w:i/>
      <w:iCs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B0DB2"/>
    <w:rPr>
      <w:rFonts w:ascii="Sylfaen" w:hAnsi="Sylfaen" w:cs="Sylfaen"/>
      <w:sz w:val="14"/>
      <w:szCs w:val="14"/>
    </w:rPr>
  </w:style>
  <w:style w:type="character" w:customStyle="1" w:styleId="FontStyle27">
    <w:name w:val="Font Style27"/>
    <w:basedOn w:val="DefaultParagraphFont"/>
    <w:uiPriority w:val="99"/>
    <w:rsid w:val="00BB0DB2"/>
    <w:rPr>
      <w:rFonts w:ascii="Verdana" w:hAnsi="Verdana" w:cs="Verdana"/>
      <w:b/>
      <w:bCs/>
      <w:spacing w:val="-10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BB0DB2"/>
    <w:rPr>
      <w:rFonts w:ascii="Sylfaen" w:hAnsi="Sylfaen" w:cs="Sylfaen"/>
      <w:b/>
      <w:bCs/>
      <w:sz w:val="18"/>
      <w:szCs w:val="18"/>
    </w:rPr>
  </w:style>
  <w:style w:type="character" w:customStyle="1" w:styleId="FontStyle29">
    <w:name w:val="Font Style29"/>
    <w:basedOn w:val="DefaultParagraphFont"/>
    <w:uiPriority w:val="99"/>
    <w:rsid w:val="00BB0DB2"/>
    <w:rPr>
      <w:rFonts w:ascii="Sylfaen" w:hAnsi="Sylfaen" w:cs="Sylfaen"/>
      <w:b/>
      <w:bCs/>
      <w:smallCap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31">
    <w:name w:val="Font Style31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2">
    <w:name w:val="Font Style32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3">
    <w:name w:val="Font Style33"/>
    <w:basedOn w:val="DefaultParagraphFont"/>
    <w:uiPriority w:val="99"/>
    <w:rsid w:val="00BB0DB2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34">
    <w:name w:val="Font Style34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11">
    <w:name w:val="Font Style11"/>
    <w:basedOn w:val="DefaultParagraphFont"/>
    <w:uiPriority w:val="99"/>
    <w:rsid w:val="00BB0DB2"/>
    <w:rPr>
      <w:rFonts w:ascii="Palatino Linotype" w:hAnsi="Palatino Linotype" w:cs="Palatino Linotype"/>
      <w:b/>
      <w:bCs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BB0DB2"/>
    <w:rPr>
      <w:rFonts w:ascii="Palatino Linotype" w:hAnsi="Palatino Linotype" w:cs="Palatino Linotype"/>
      <w:b/>
      <w:bCs/>
      <w:spacing w:val="-2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BB0DB2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B0DB2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19">
    <w:name w:val="Style19"/>
    <w:basedOn w:val="Normal"/>
    <w:uiPriority w:val="99"/>
    <w:rsid w:val="00BB0DB2"/>
  </w:style>
  <w:style w:type="paragraph" w:customStyle="1" w:styleId="Style20">
    <w:name w:val="Style20"/>
    <w:basedOn w:val="Normal"/>
    <w:uiPriority w:val="99"/>
    <w:rsid w:val="00BB0DB2"/>
  </w:style>
  <w:style w:type="paragraph" w:customStyle="1" w:styleId="Style21">
    <w:name w:val="Style21"/>
    <w:basedOn w:val="Normal"/>
    <w:uiPriority w:val="99"/>
    <w:rsid w:val="00BB0DB2"/>
  </w:style>
  <w:style w:type="character" w:customStyle="1" w:styleId="FontStyle35">
    <w:name w:val="Font Style35"/>
    <w:basedOn w:val="DefaultParagraphFont"/>
    <w:uiPriority w:val="99"/>
    <w:rsid w:val="00BB0DB2"/>
    <w:rPr>
      <w:rFonts w:ascii="Times New Roman" w:hAnsi="Times New Roman" w:cs="Times New Roman"/>
      <w:smallCaps/>
      <w:sz w:val="16"/>
      <w:szCs w:val="16"/>
    </w:rPr>
  </w:style>
  <w:style w:type="character" w:customStyle="1" w:styleId="FontStyle36">
    <w:name w:val="Font Style36"/>
    <w:basedOn w:val="DefaultParagraphFont"/>
    <w:uiPriority w:val="99"/>
    <w:rsid w:val="00BB0D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character" w:customStyle="1" w:styleId="FontStyle38">
    <w:name w:val="Font Style38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BB0DB2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0">
    <w:name w:val="Font Style40"/>
    <w:basedOn w:val="DefaultParagraphFont"/>
    <w:uiPriority w:val="99"/>
    <w:rsid w:val="00BB0DB2"/>
    <w:rPr>
      <w:rFonts w:ascii="Arial" w:hAnsi="Arial" w:cs="Arial"/>
      <w:b/>
      <w:bCs/>
      <w:sz w:val="14"/>
      <w:szCs w:val="14"/>
    </w:rPr>
  </w:style>
  <w:style w:type="character" w:customStyle="1" w:styleId="FontStyle41">
    <w:name w:val="Font Style41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paragraph" w:customStyle="1" w:styleId="Style22">
    <w:name w:val="Style22"/>
    <w:basedOn w:val="Normal"/>
    <w:uiPriority w:val="99"/>
    <w:rsid w:val="00BB0DB2"/>
    <w:rPr>
      <w:rFonts w:ascii="Palatino Linotype" w:hAnsi="Palatino Linotype" w:cstheme="minorBidi"/>
    </w:rPr>
  </w:style>
  <w:style w:type="paragraph" w:customStyle="1" w:styleId="Style23">
    <w:name w:val="Style23"/>
    <w:basedOn w:val="Normal"/>
    <w:uiPriority w:val="99"/>
    <w:rsid w:val="00BB0DB2"/>
    <w:rPr>
      <w:rFonts w:ascii="Palatino Linotype" w:hAnsi="Palatino Linotype" w:cstheme="minorBidi"/>
    </w:rPr>
  </w:style>
  <w:style w:type="character" w:styleId="Hyperlink">
    <w:name w:val="Hyperlink"/>
    <w:basedOn w:val="DefaultParagraphFont"/>
    <w:uiPriority w:val="99"/>
    <w:unhideWhenUsed/>
    <w:rsid w:val="00D04C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C5A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C5A"/>
    <w:rPr>
      <w:rFonts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</dc:creator>
  <cp:lastModifiedBy>Harper, Michael</cp:lastModifiedBy>
  <cp:revision>100</cp:revision>
  <dcterms:created xsi:type="dcterms:W3CDTF">2017-04-16T16:30:00Z</dcterms:created>
  <dcterms:modified xsi:type="dcterms:W3CDTF">2018-03-20T19:12:00Z</dcterms:modified>
</cp:coreProperties>
</file>