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84" w:rsidRDefault="008D3FA4" w:rsidP="00B967B8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B967B8">
        <w:rPr>
          <w:rFonts w:ascii="Times New Roman" w:hAnsi="Times New Roman"/>
          <w:sz w:val="36"/>
        </w:rPr>
        <w:t>COMMONWEALTH EMPLOYEES</w:t>
      </w:r>
      <w:r w:rsidR="00763E84">
        <w:rPr>
          <w:rFonts w:ascii="Times New Roman" w:hAnsi="Times New Roman"/>
          <w:sz w:val="36"/>
        </w:rPr>
        <w:t>’</w:t>
      </w:r>
      <w:r w:rsidR="002D6DDB" w:rsidRPr="00B967B8">
        <w:rPr>
          <w:rFonts w:ascii="Times New Roman" w:hAnsi="Times New Roman"/>
          <w:sz w:val="36"/>
        </w:rPr>
        <w:t xml:space="preserve"> </w:t>
      </w:r>
      <w:r w:rsidRPr="00B967B8">
        <w:rPr>
          <w:rFonts w:ascii="Times New Roman" w:hAnsi="Times New Roman"/>
          <w:sz w:val="36"/>
        </w:rPr>
        <w:t>COMPENSATION.</w:t>
      </w:r>
    </w:p>
    <w:p w:rsidR="00B967B8" w:rsidRPr="00CA265E" w:rsidRDefault="00B967B8" w:rsidP="00CA265E">
      <w:pPr>
        <w:pBdr>
          <w:top w:val="single" w:sz="4" w:space="1" w:color="auto"/>
        </w:pBdr>
        <w:spacing w:before="360" w:after="0" w:line="240" w:lineRule="auto"/>
        <w:ind w:left="4032" w:right="4032"/>
        <w:jc w:val="center"/>
        <w:rPr>
          <w:rFonts w:ascii="Times New Roman" w:hAnsi="Times New Roman"/>
          <w:sz w:val="28"/>
        </w:rPr>
      </w:pPr>
    </w:p>
    <w:p w:rsidR="001D5F84" w:rsidRPr="0008022C" w:rsidRDefault="00EA6D68" w:rsidP="00CA265E">
      <w:pPr>
        <w:spacing w:after="240" w:line="240" w:lineRule="auto"/>
        <w:jc w:val="center"/>
        <w:rPr>
          <w:rFonts w:ascii="Times New Roman" w:hAnsi="Times New Roman"/>
          <w:sz w:val="28"/>
        </w:rPr>
      </w:pPr>
      <w:r w:rsidRPr="0008022C">
        <w:rPr>
          <w:rFonts w:ascii="Times New Roman" w:hAnsi="Times New Roman"/>
          <w:b/>
          <w:sz w:val="28"/>
        </w:rPr>
        <w:t>No. 8 of 1944.</w:t>
      </w:r>
    </w:p>
    <w:p w:rsidR="001D5F84" w:rsidRPr="00DA6AE4" w:rsidRDefault="008D3FA4" w:rsidP="000E35A4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DA6AE4">
        <w:rPr>
          <w:rFonts w:ascii="Times New Roman" w:hAnsi="Times New Roman"/>
          <w:sz w:val="26"/>
        </w:rPr>
        <w:t xml:space="preserve">An Act to amend the </w:t>
      </w:r>
      <w:r w:rsidR="00EA6D68" w:rsidRPr="00DA6AE4">
        <w:rPr>
          <w:rFonts w:ascii="Times New Roman" w:hAnsi="Times New Roman"/>
          <w:i/>
          <w:sz w:val="26"/>
        </w:rPr>
        <w:t>Commonwealth Employees</w:t>
      </w:r>
      <w:r w:rsidR="00763E84">
        <w:rPr>
          <w:rFonts w:ascii="Times New Roman" w:hAnsi="Times New Roman"/>
          <w:i/>
          <w:sz w:val="26"/>
        </w:rPr>
        <w:t>’</w:t>
      </w:r>
      <w:r w:rsidR="002D6DDB" w:rsidRPr="00DA6AE4">
        <w:rPr>
          <w:rFonts w:ascii="Times New Roman" w:hAnsi="Times New Roman"/>
          <w:i/>
          <w:sz w:val="26"/>
        </w:rPr>
        <w:t xml:space="preserve"> </w:t>
      </w:r>
      <w:r w:rsidR="00EA6D68" w:rsidRPr="00DA6AE4">
        <w:rPr>
          <w:rFonts w:ascii="Times New Roman" w:hAnsi="Times New Roman"/>
          <w:i/>
          <w:sz w:val="26"/>
        </w:rPr>
        <w:t xml:space="preserve">Compensation Act </w:t>
      </w:r>
      <w:r w:rsidRPr="00DA6AE4">
        <w:rPr>
          <w:rFonts w:ascii="Times New Roman" w:hAnsi="Times New Roman"/>
          <w:sz w:val="26"/>
        </w:rPr>
        <w:t>1930.</w:t>
      </w:r>
    </w:p>
    <w:p w:rsidR="001D5F84" w:rsidRPr="00DA6AE4" w:rsidRDefault="008D3FA4" w:rsidP="00630FBB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DA6AE4">
        <w:rPr>
          <w:rFonts w:ascii="Times New Roman" w:hAnsi="Times New Roman"/>
          <w:sz w:val="26"/>
        </w:rPr>
        <w:t>[Assented to 3rd April, 1944.]</w:t>
      </w:r>
    </w:p>
    <w:p w:rsidR="001D5F84" w:rsidRPr="00A53498" w:rsidRDefault="008D3FA4" w:rsidP="00630FBB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A53498">
        <w:rPr>
          <w:rFonts w:ascii="Times New Roman" w:hAnsi="Times New Roman"/>
          <w:sz w:val="26"/>
        </w:rPr>
        <w:t>[Date of commencement, 1st May, 1944.]</w:t>
      </w:r>
    </w:p>
    <w:p w:rsidR="001D5F84" w:rsidRPr="00851A6C" w:rsidRDefault="008D3FA4" w:rsidP="007A18E8">
      <w:pPr>
        <w:spacing w:after="0" w:line="240" w:lineRule="auto"/>
        <w:jc w:val="both"/>
        <w:rPr>
          <w:rFonts w:ascii="Times New Roman" w:hAnsi="Times New Roman"/>
        </w:rPr>
      </w:pPr>
      <w:r w:rsidRPr="00851A6C">
        <w:rPr>
          <w:rFonts w:ascii="Times New Roman" w:hAnsi="Times New Roman"/>
        </w:rPr>
        <w:t>BE it enacted by the King</w:t>
      </w:r>
      <w:r w:rsidR="00763E84" w:rsidRPr="00851A6C">
        <w:rPr>
          <w:rFonts w:ascii="Times New Roman" w:hAnsi="Times New Roman"/>
        </w:rPr>
        <w:t>’</w:t>
      </w:r>
      <w:r w:rsidRPr="00851A6C">
        <w:rPr>
          <w:rFonts w:ascii="Times New Roman" w:hAnsi="Times New Roman"/>
        </w:rPr>
        <w:t>s Most Excellent Majesty, the Senate,</w:t>
      </w:r>
      <w:r w:rsidR="002D6DDB" w:rsidRPr="00851A6C">
        <w:rPr>
          <w:rFonts w:ascii="Times New Roman" w:hAnsi="Times New Roman"/>
        </w:rPr>
        <w:t xml:space="preserve"> </w:t>
      </w:r>
      <w:r w:rsidRPr="00851A6C">
        <w:rPr>
          <w:rFonts w:ascii="Times New Roman" w:hAnsi="Times New Roman"/>
        </w:rPr>
        <w:t>and the House of Representatives of the Commonwealth of</w:t>
      </w:r>
      <w:r w:rsidR="002D6DDB" w:rsidRPr="00851A6C">
        <w:rPr>
          <w:rFonts w:ascii="Times New Roman" w:hAnsi="Times New Roman"/>
        </w:rPr>
        <w:t xml:space="preserve"> </w:t>
      </w:r>
      <w:r w:rsidRPr="00851A6C">
        <w:rPr>
          <w:rFonts w:ascii="Times New Roman" w:hAnsi="Times New Roman"/>
        </w:rPr>
        <w:t>Australia, as follows:—</w:t>
      </w:r>
    </w:p>
    <w:p w:rsidR="001D5F84" w:rsidRPr="00835129" w:rsidRDefault="00EA6D68" w:rsidP="0083512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35129">
        <w:rPr>
          <w:rFonts w:ascii="Times New Roman" w:hAnsi="Times New Roman" w:cs="Times New Roman"/>
          <w:b/>
          <w:sz w:val="20"/>
        </w:rPr>
        <w:t>Short title</w:t>
      </w:r>
      <w:r w:rsidR="002D6DDB" w:rsidRPr="00835129">
        <w:rPr>
          <w:rFonts w:ascii="Times New Roman" w:hAnsi="Times New Roman" w:cs="Times New Roman"/>
          <w:b/>
          <w:sz w:val="20"/>
        </w:rPr>
        <w:t xml:space="preserve"> </w:t>
      </w:r>
      <w:r w:rsidRPr="00835129">
        <w:rPr>
          <w:rFonts w:ascii="Times New Roman" w:hAnsi="Times New Roman" w:cs="Times New Roman"/>
          <w:b/>
          <w:sz w:val="20"/>
        </w:rPr>
        <w:t>and citation.</w:t>
      </w:r>
    </w:p>
    <w:p w:rsidR="001D5F84" w:rsidRPr="00F1493E" w:rsidRDefault="00EA6D68" w:rsidP="00CA265E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1.</w:t>
      </w:r>
      <w:r w:rsidR="008D3FA4" w:rsidRPr="00F1493E">
        <w:rPr>
          <w:rFonts w:ascii="Times New Roman" w:hAnsi="Times New Roman"/>
        </w:rPr>
        <w:t>—(1.)</w:t>
      </w:r>
      <w:r w:rsidR="007F7223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 xml:space="preserve">This Act may be cited as the </w:t>
      </w:r>
      <w:r w:rsidRPr="00F1493E">
        <w:rPr>
          <w:rFonts w:ascii="Times New Roman" w:hAnsi="Times New Roman"/>
          <w:i/>
        </w:rPr>
        <w:t>Commonwealth Employees</w:t>
      </w:r>
      <w:r w:rsidR="00763E84">
        <w:rPr>
          <w:rFonts w:ascii="Times New Roman" w:hAnsi="Times New Roman"/>
          <w:i/>
        </w:rPr>
        <w:t>’</w:t>
      </w:r>
      <w:r w:rsidR="002D6DDB">
        <w:rPr>
          <w:rFonts w:ascii="Times New Roman" w:hAnsi="Times New Roman"/>
          <w:i/>
        </w:rPr>
        <w:t xml:space="preserve"> </w:t>
      </w:r>
      <w:r w:rsidRPr="00F1493E">
        <w:rPr>
          <w:rFonts w:ascii="Times New Roman" w:hAnsi="Times New Roman"/>
          <w:i/>
        </w:rPr>
        <w:t xml:space="preserve">Compensation Act </w:t>
      </w:r>
      <w:r w:rsidR="008D3FA4" w:rsidRPr="00F1493E">
        <w:rPr>
          <w:rFonts w:ascii="Times New Roman" w:hAnsi="Times New Roman"/>
        </w:rPr>
        <w:t>1944.</w:t>
      </w:r>
    </w:p>
    <w:p w:rsidR="001D5F84" w:rsidRPr="00F1493E" w:rsidRDefault="008D3FA4" w:rsidP="00CA265E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(2.)</w:t>
      </w:r>
      <w:r w:rsidR="00D10202">
        <w:rPr>
          <w:rFonts w:ascii="Times New Roman" w:hAnsi="Times New Roman"/>
        </w:rPr>
        <w:tab/>
      </w:r>
      <w:r w:rsidRPr="00F1493E">
        <w:rPr>
          <w:rFonts w:ascii="Times New Roman" w:hAnsi="Times New Roman"/>
        </w:rPr>
        <w:t xml:space="preserve">The </w:t>
      </w:r>
      <w:r w:rsidR="00EA6D68" w:rsidRPr="00F1493E">
        <w:rPr>
          <w:rFonts w:ascii="Times New Roman" w:hAnsi="Times New Roman"/>
          <w:i/>
        </w:rPr>
        <w:t>Commonwealth Employees</w:t>
      </w:r>
      <w:r w:rsidR="00763E84">
        <w:rPr>
          <w:rFonts w:ascii="Times New Roman" w:hAnsi="Times New Roman"/>
          <w:i/>
        </w:rPr>
        <w:t>’</w:t>
      </w:r>
      <w:r w:rsidR="00EA6D68" w:rsidRPr="00F1493E">
        <w:rPr>
          <w:rFonts w:ascii="Times New Roman" w:hAnsi="Times New Roman"/>
          <w:i/>
        </w:rPr>
        <w:t xml:space="preserve"> Compensation Act </w:t>
      </w:r>
      <w:r w:rsidR="00851A6C">
        <w:rPr>
          <w:rFonts w:ascii="Times New Roman" w:hAnsi="Times New Roman"/>
        </w:rPr>
        <w:t>1930</w:t>
      </w:r>
      <w:r w:rsidRPr="00F1493E">
        <w:rPr>
          <w:rFonts w:ascii="Times New Roman" w:hAnsi="Times New Roman"/>
        </w:rPr>
        <w:t xml:space="preserve"> is in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this Act referred to as the Principal Act.</w:t>
      </w:r>
    </w:p>
    <w:p w:rsidR="001D5F84" w:rsidRPr="00F1493E" w:rsidRDefault="008D3FA4" w:rsidP="00CA265E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(3.)</w:t>
      </w:r>
      <w:r w:rsidR="00A07666">
        <w:rPr>
          <w:rFonts w:ascii="Times New Roman" w:hAnsi="Times New Roman"/>
        </w:rPr>
        <w:tab/>
      </w:r>
      <w:r w:rsidRPr="00F1493E">
        <w:rPr>
          <w:rFonts w:ascii="Times New Roman" w:hAnsi="Times New Roman"/>
        </w:rPr>
        <w:t>The Principal Act, as amended by this Act, may be cited as the</w:t>
      </w:r>
      <w:r w:rsidR="002D6DDB">
        <w:rPr>
          <w:rFonts w:ascii="Times New Roman" w:hAnsi="Times New Roman"/>
        </w:rPr>
        <w:t xml:space="preserve"> </w:t>
      </w:r>
      <w:r w:rsidR="00EA6D68" w:rsidRPr="00F1493E">
        <w:rPr>
          <w:rFonts w:ascii="Times New Roman" w:hAnsi="Times New Roman"/>
          <w:i/>
        </w:rPr>
        <w:t>Commonwealth Employees</w:t>
      </w:r>
      <w:r w:rsidR="00763E84">
        <w:rPr>
          <w:rFonts w:ascii="Times New Roman" w:hAnsi="Times New Roman"/>
          <w:i/>
        </w:rPr>
        <w:t>’</w:t>
      </w:r>
      <w:r w:rsidR="00EA6D68" w:rsidRPr="00F1493E">
        <w:rPr>
          <w:rFonts w:ascii="Times New Roman" w:hAnsi="Times New Roman"/>
          <w:i/>
        </w:rPr>
        <w:t xml:space="preserve"> Compensation Act </w:t>
      </w:r>
      <w:r w:rsidRPr="00F1493E">
        <w:rPr>
          <w:rFonts w:ascii="Times New Roman" w:hAnsi="Times New Roman"/>
        </w:rPr>
        <w:t>1930</w:t>
      </w:r>
      <w:r w:rsidR="00CA265E" w:rsidRPr="00CA265E">
        <w:rPr>
          <w:rFonts w:ascii="Times New Roman" w:hAnsi="Times New Roman"/>
          <w:szCs w:val="36"/>
        </w:rPr>
        <w:t>–</w:t>
      </w:r>
      <w:r w:rsidRPr="00F1493E">
        <w:rPr>
          <w:rFonts w:ascii="Times New Roman" w:hAnsi="Times New Roman"/>
        </w:rPr>
        <w:t>1944.</w:t>
      </w:r>
    </w:p>
    <w:p w:rsidR="001D5F84" w:rsidRPr="005B3283" w:rsidRDefault="00EA6D68" w:rsidP="005B328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B3283">
        <w:rPr>
          <w:rFonts w:ascii="Times New Roman" w:hAnsi="Times New Roman" w:cs="Times New Roman"/>
          <w:b/>
          <w:sz w:val="20"/>
        </w:rPr>
        <w:t>Definitions.</w:t>
      </w:r>
    </w:p>
    <w:p w:rsidR="001D5F84" w:rsidRPr="00F1493E" w:rsidRDefault="00EA6D68" w:rsidP="0084416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2.</w:t>
      </w:r>
      <w:r w:rsidR="00844167">
        <w:rPr>
          <w:rFonts w:ascii="Times New Roman" w:hAnsi="Times New Roman"/>
          <w:b/>
        </w:rPr>
        <w:tab/>
      </w:r>
      <w:r w:rsidR="00851A6C">
        <w:rPr>
          <w:rFonts w:ascii="Times New Roman" w:hAnsi="Times New Roman"/>
        </w:rPr>
        <w:t>Section f</w:t>
      </w:r>
      <w:r w:rsidR="008D3FA4" w:rsidRPr="00F1493E">
        <w:rPr>
          <w:rFonts w:ascii="Times New Roman" w:hAnsi="Times New Roman"/>
        </w:rPr>
        <w:t>our of the Principal Act is amended—</w:t>
      </w:r>
    </w:p>
    <w:p w:rsidR="001D5F84" w:rsidRPr="00F1493E" w:rsidRDefault="008D3FA4" w:rsidP="00E60CDB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</w:t>
      </w:r>
      <w:r w:rsidR="00E60C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by inserting, before the definition of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Commissioner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,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following definition:—</w:t>
      </w:r>
    </w:p>
    <w:p w:rsidR="001D5F84" w:rsidRPr="00F1493E" w:rsidRDefault="00763E84" w:rsidP="00C932B6">
      <w:pPr>
        <w:spacing w:after="0" w:line="240" w:lineRule="auto"/>
        <w:ind w:left="187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“‘</w:t>
      </w:r>
      <w:r w:rsidR="008D3FA4" w:rsidRPr="00F1493E">
        <w:rPr>
          <w:rFonts w:ascii="Times New Roman" w:hAnsi="Times New Roman"/>
        </w:rPr>
        <w:t>Australia</w:t>
      </w:r>
      <w:r>
        <w:rPr>
          <w:rFonts w:ascii="Times New Roman" w:hAnsi="Times New Roman"/>
        </w:rPr>
        <w:t>’</w:t>
      </w:r>
      <w:r w:rsidR="008D3FA4" w:rsidRPr="00F1493E">
        <w:rPr>
          <w:rFonts w:ascii="Times New Roman" w:hAnsi="Times New Roman"/>
        </w:rPr>
        <w:t xml:space="preserve"> includes the Territories of the Commonwealth;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;</w:t>
      </w:r>
    </w:p>
    <w:p w:rsidR="001D5F84" w:rsidRPr="00F1493E" w:rsidRDefault="008D3FA4" w:rsidP="00E60CDB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 xml:space="preserve">) by omitting the definition of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Commonwealth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1D5F84" w:rsidRPr="00F1493E" w:rsidRDefault="008D3FA4" w:rsidP="00E60CDB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c</w:t>
      </w:r>
      <w:r w:rsidRPr="00F1493E">
        <w:rPr>
          <w:rFonts w:ascii="Times New Roman" w:hAnsi="Times New Roman"/>
        </w:rPr>
        <w:t>)</w:t>
      </w:r>
      <w:r w:rsidR="00E60C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by inserting in the definition of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Dependants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, after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word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dependent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 xml:space="preserve"> (second occurring),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,and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includes a person so dependent to whom the employee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stands </w:t>
      </w:r>
      <w:r w:rsidR="00EA6D68" w:rsidRPr="00F1493E">
        <w:rPr>
          <w:rFonts w:ascii="Times New Roman" w:hAnsi="Times New Roman"/>
          <w:i/>
        </w:rPr>
        <w:t xml:space="preserve">in loco parentis </w:t>
      </w:r>
      <w:r w:rsidRPr="00F1493E">
        <w:rPr>
          <w:rFonts w:ascii="Times New Roman" w:hAnsi="Times New Roman"/>
        </w:rPr>
        <w:t>or a person so dependent who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stands </w:t>
      </w:r>
      <w:r w:rsidR="00EA6D68" w:rsidRPr="00F1493E">
        <w:rPr>
          <w:rFonts w:ascii="Times New Roman" w:hAnsi="Times New Roman"/>
          <w:i/>
        </w:rPr>
        <w:t xml:space="preserve">in loco parentis </w:t>
      </w:r>
      <w:r w:rsidRPr="00F1493E">
        <w:rPr>
          <w:rFonts w:ascii="Times New Roman" w:hAnsi="Times New Roman"/>
        </w:rPr>
        <w:t>to the employee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1D5F84" w:rsidRDefault="008D3FA4" w:rsidP="007B765B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d</w:t>
      </w:r>
      <w:r w:rsidRPr="00F1493E">
        <w:rPr>
          <w:rFonts w:ascii="Times New Roman" w:hAnsi="Times New Roman"/>
        </w:rPr>
        <w:t>)</w:t>
      </w:r>
      <w:r w:rsidR="007B765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omitting from paragraph 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 of the</w:t>
      </w:r>
      <w:r w:rsidR="00763E84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definition</w:t>
      </w:r>
      <w:r w:rsidR="00763E84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of</w:t>
      </w:r>
      <w:r w:rsidR="002D6DDB">
        <w:rPr>
          <w:rFonts w:ascii="Times New Roman" w:hAnsi="Times New Roman"/>
        </w:rPr>
        <w:t xml:space="preserve">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Employee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 xml:space="preserve"> the word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or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695D23" w:rsidRDefault="00DD3DD6" w:rsidP="00695D2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5F84" w:rsidRPr="00F1493E" w:rsidRDefault="008D3FA4" w:rsidP="0044584A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lastRenderedPageBreak/>
        <w:t>(</w:t>
      </w:r>
      <w:r w:rsidR="00EA6D68" w:rsidRPr="00F1493E">
        <w:rPr>
          <w:rFonts w:ascii="Times New Roman" w:hAnsi="Times New Roman"/>
          <w:i/>
        </w:rPr>
        <w:t>e</w:t>
      </w:r>
      <w:r w:rsidRPr="00F1493E">
        <w:rPr>
          <w:rFonts w:ascii="Times New Roman" w:hAnsi="Times New Roman"/>
        </w:rPr>
        <w:t>)</w:t>
      </w:r>
      <w:r w:rsidR="0044584A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adding at the end of that definition the following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paragraph:—</w:t>
      </w:r>
    </w:p>
    <w:p w:rsidR="001D5F84" w:rsidRPr="00F1493E" w:rsidRDefault="00763E84" w:rsidP="00CC709C">
      <w:pPr>
        <w:spacing w:after="0" w:line="240" w:lineRule="auto"/>
        <w:ind w:left="2232" w:hanging="9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or (</w:t>
      </w:r>
      <w:r w:rsidR="00EA6D68" w:rsidRPr="00F1493E">
        <w:rPr>
          <w:rFonts w:ascii="Times New Roman" w:hAnsi="Times New Roman"/>
          <w:i/>
        </w:rPr>
        <w:t>c</w:t>
      </w:r>
      <w:r w:rsidR="008D3FA4" w:rsidRPr="00F1493E">
        <w:rPr>
          <w:rFonts w:ascii="Times New Roman" w:hAnsi="Times New Roman"/>
        </w:rPr>
        <w:t>) any officer or employee of the Public Service of a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Territory of the Commonwealth;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; and</w:t>
      </w:r>
    </w:p>
    <w:p w:rsidR="001D5F84" w:rsidRPr="00F1493E" w:rsidRDefault="008D3FA4" w:rsidP="001D5F84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f</w:t>
      </w:r>
      <w:r w:rsidRPr="00F1493E">
        <w:rPr>
          <w:rFonts w:ascii="Times New Roman" w:hAnsi="Times New Roman"/>
        </w:rPr>
        <w:t xml:space="preserve">) by inserting, after the definition of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Employee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, the following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definition:—</w:t>
      </w:r>
    </w:p>
    <w:p w:rsidR="001D5F84" w:rsidRPr="00F1493E" w:rsidRDefault="00763E84" w:rsidP="007B253A">
      <w:pPr>
        <w:spacing w:after="0" w:line="240" w:lineRule="auto"/>
        <w:ind w:left="2232" w:hanging="9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“‘</w:t>
      </w:r>
      <w:r w:rsidR="008D3FA4" w:rsidRPr="00F1493E">
        <w:rPr>
          <w:rFonts w:ascii="Times New Roman" w:hAnsi="Times New Roman"/>
        </w:rPr>
        <w:t>Medical, surgical and hospital treatment</w:t>
      </w:r>
      <w:r>
        <w:rPr>
          <w:rFonts w:ascii="Times New Roman" w:hAnsi="Times New Roman"/>
        </w:rPr>
        <w:t>’</w:t>
      </w:r>
      <w:r w:rsidR="008D3FA4" w:rsidRPr="00F1493E">
        <w:rPr>
          <w:rFonts w:ascii="Times New Roman" w:hAnsi="Times New Roman"/>
        </w:rPr>
        <w:t xml:space="preserve"> includes—</w:t>
      </w:r>
    </w:p>
    <w:p w:rsidR="001D5F84" w:rsidRPr="00F1493E" w:rsidRDefault="008D3FA4" w:rsidP="00955BE0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</w:t>
      </w:r>
      <w:r w:rsidR="007B253A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treatment by a duly qualified medical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practitioner, a registered dentist or a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masseur;</w:t>
      </w:r>
    </w:p>
    <w:p w:rsidR="001D5F84" w:rsidRPr="00F1493E" w:rsidRDefault="008D3FA4" w:rsidP="00955BE0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</w:t>
      </w:r>
      <w:r w:rsidR="007B253A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the provision of </w:t>
      </w:r>
      <w:proofErr w:type="spellStart"/>
      <w:r w:rsidRPr="00F1493E">
        <w:rPr>
          <w:rFonts w:ascii="Times New Roman" w:hAnsi="Times New Roman"/>
        </w:rPr>
        <w:t>skiagrams</w:t>
      </w:r>
      <w:proofErr w:type="spellEnd"/>
      <w:r w:rsidRPr="00F1493E">
        <w:rPr>
          <w:rFonts w:ascii="Times New Roman" w:hAnsi="Times New Roman"/>
        </w:rPr>
        <w:t>, crutches, artificial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members and artificial replacements;</w:t>
      </w:r>
    </w:p>
    <w:p w:rsidR="001D5F84" w:rsidRPr="00F1493E" w:rsidRDefault="008D3FA4" w:rsidP="00955BE0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c</w:t>
      </w:r>
      <w:r w:rsidRPr="00F1493E">
        <w:rPr>
          <w:rFonts w:ascii="Times New Roman" w:hAnsi="Times New Roman"/>
        </w:rPr>
        <w:t>)</w:t>
      </w:r>
      <w:r w:rsidR="007B253A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treatment and maintenance as a patient at a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hospital; and</w:t>
      </w:r>
    </w:p>
    <w:p w:rsidR="001D5F84" w:rsidRPr="00F1493E" w:rsidRDefault="008D3FA4" w:rsidP="00955BE0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d</w:t>
      </w:r>
      <w:r w:rsidRPr="00F1493E">
        <w:rPr>
          <w:rFonts w:ascii="Times New Roman" w:hAnsi="Times New Roman"/>
        </w:rPr>
        <w:t>)</w:t>
      </w:r>
      <w:r w:rsidR="007B253A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nursing attendance, medicines, medical and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surgical supplies and curative apparatus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supplied or provided in a hospital or otherwise;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.</w:t>
      </w:r>
    </w:p>
    <w:p w:rsidR="001D5F84" w:rsidRPr="00F1493E" w:rsidRDefault="00EA6D68" w:rsidP="00105278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3.</w:t>
      </w:r>
      <w:r w:rsidR="00C27C2C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After section four of the Principal Act, the following section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is inserted:—</w:t>
      </w:r>
    </w:p>
    <w:p w:rsidR="001D5F84" w:rsidRPr="00E06F5F" w:rsidRDefault="00EA6D68" w:rsidP="009F6FE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06F5F">
        <w:rPr>
          <w:rFonts w:ascii="Times New Roman" w:hAnsi="Times New Roman" w:cs="Times New Roman"/>
          <w:b/>
          <w:sz w:val="20"/>
        </w:rPr>
        <w:t>Application</w:t>
      </w:r>
      <w:r w:rsidR="002D6DDB" w:rsidRPr="00E06F5F">
        <w:rPr>
          <w:rFonts w:ascii="Times New Roman" w:hAnsi="Times New Roman" w:cs="Times New Roman"/>
          <w:b/>
          <w:sz w:val="20"/>
        </w:rPr>
        <w:t xml:space="preserve"> </w:t>
      </w:r>
      <w:r w:rsidRPr="00E06F5F">
        <w:rPr>
          <w:rFonts w:ascii="Times New Roman" w:hAnsi="Times New Roman" w:cs="Times New Roman"/>
          <w:b/>
          <w:sz w:val="20"/>
        </w:rPr>
        <w:t>of Act.</w:t>
      </w:r>
    </w:p>
    <w:p w:rsidR="001D5F84" w:rsidRPr="00F1493E" w:rsidRDefault="00763E84" w:rsidP="00F54740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4</w:t>
      </w:r>
      <w:r w:rsidR="008D3FA4" w:rsidRPr="00F54740">
        <w:rPr>
          <w:rFonts w:ascii="Times New Roman" w:hAnsi="Times New Roman"/>
          <w:smallCaps/>
        </w:rPr>
        <w:t>a</w:t>
      </w:r>
      <w:r w:rsidR="008D3FA4" w:rsidRPr="00F1493E">
        <w:rPr>
          <w:rFonts w:ascii="Times New Roman" w:hAnsi="Times New Roman"/>
        </w:rPr>
        <w:t>. This Act shall apply to and in relation to any employee in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any part of Australia.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432C3C" w:rsidRDefault="00EA6D68" w:rsidP="00432C3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32C3C">
        <w:rPr>
          <w:rFonts w:ascii="Times New Roman" w:hAnsi="Times New Roman" w:cs="Times New Roman"/>
          <w:b/>
          <w:sz w:val="20"/>
        </w:rPr>
        <w:t>Compensation</w:t>
      </w:r>
      <w:r w:rsidR="002D6DDB" w:rsidRPr="00432C3C">
        <w:rPr>
          <w:rFonts w:ascii="Times New Roman" w:hAnsi="Times New Roman" w:cs="Times New Roman"/>
          <w:b/>
          <w:sz w:val="20"/>
        </w:rPr>
        <w:t xml:space="preserve"> </w:t>
      </w:r>
      <w:r w:rsidRPr="00432C3C">
        <w:rPr>
          <w:rFonts w:ascii="Times New Roman" w:hAnsi="Times New Roman" w:cs="Times New Roman"/>
          <w:b/>
          <w:sz w:val="20"/>
        </w:rPr>
        <w:t>for personal</w:t>
      </w:r>
      <w:r w:rsidR="002D6DDB" w:rsidRPr="00432C3C">
        <w:rPr>
          <w:rFonts w:ascii="Times New Roman" w:hAnsi="Times New Roman" w:cs="Times New Roman"/>
          <w:b/>
          <w:sz w:val="20"/>
        </w:rPr>
        <w:t xml:space="preserve"> </w:t>
      </w:r>
      <w:r w:rsidRPr="00432C3C">
        <w:rPr>
          <w:rFonts w:ascii="Times New Roman" w:hAnsi="Times New Roman" w:cs="Times New Roman"/>
          <w:b/>
          <w:sz w:val="20"/>
        </w:rPr>
        <w:t>injuries to</w:t>
      </w:r>
      <w:r w:rsidR="002D6DDB" w:rsidRPr="00432C3C">
        <w:rPr>
          <w:rFonts w:ascii="Times New Roman" w:hAnsi="Times New Roman" w:cs="Times New Roman"/>
          <w:b/>
          <w:sz w:val="20"/>
        </w:rPr>
        <w:t xml:space="preserve"> </w:t>
      </w:r>
      <w:r w:rsidRPr="00432C3C">
        <w:rPr>
          <w:rFonts w:ascii="Times New Roman" w:hAnsi="Times New Roman" w:cs="Times New Roman"/>
          <w:b/>
          <w:sz w:val="20"/>
        </w:rPr>
        <w:t>employees.</w:t>
      </w:r>
    </w:p>
    <w:p w:rsidR="001D5F84" w:rsidRPr="00F1493E" w:rsidRDefault="00EA6D68" w:rsidP="00EF5D7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4.</w:t>
      </w:r>
      <w:r w:rsidR="00EF5D76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Section nine of the Principal Act is amended—</w:t>
      </w:r>
    </w:p>
    <w:p w:rsidR="001D5F84" w:rsidRPr="00F1493E" w:rsidRDefault="008D3FA4" w:rsidP="00DB063C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</w:t>
      </w:r>
      <w:r w:rsidR="00022429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by inserting in sub-section (1.), after the word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employment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,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by the Commonwealth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1D5F84" w:rsidRPr="00F1493E" w:rsidRDefault="008D3FA4" w:rsidP="00DB063C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</w:t>
      </w:r>
      <w:r w:rsidR="00022429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omitting from paragraph (</w:t>
      </w:r>
      <w:r w:rsidR="00EA6D68" w:rsidRPr="00F1493E">
        <w:rPr>
          <w:rFonts w:ascii="Times New Roman" w:hAnsi="Times New Roman"/>
          <w:i/>
        </w:rPr>
        <w:t>c</w:t>
      </w:r>
      <w:r w:rsidRPr="00F1493E">
        <w:rPr>
          <w:rFonts w:ascii="Times New Roman" w:hAnsi="Times New Roman"/>
        </w:rPr>
        <w:t xml:space="preserve">) of the proviso to that sub-section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medical attendance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 xml:space="preserve"> and inserting in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their stead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medical, surgical and hospital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treatment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 and</w:t>
      </w:r>
    </w:p>
    <w:p w:rsidR="001D5F84" w:rsidRPr="00F1493E" w:rsidRDefault="008D3FA4" w:rsidP="00AE356F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c</w:t>
      </w:r>
      <w:r w:rsidRPr="00F1493E">
        <w:rPr>
          <w:rFonts w:ascii="Times New Roman" w:hAnsi="Times New Roman"/>
        </w:rPr>
        <w:t>)</w:t>
      </w:r>
      <w:r w:rsidR="00022429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omitting sub-section (2.) and inserting in its stead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following sub-section:—</w:t>
      </w:r>
    </w:p>
    <w:p w:rsidR="001D5F84" w:rsidRPr="00F1493E" w:rsidRDefault="00763E84" w:rsidP="00105278">
      <w:pPr>
        <w:tabs>
          <w:tab w:val="left" w:pos="1080"/>
        </w:tabs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(2.)</w:t>
      </w:r>
      <w:r w:rsidR="00AD4B07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Any payment to an injured employee made under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an insurance policy privately effected by the employee or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made by a friendly society, by way of compensation or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medical or disablement benefits, shall not be deemed to be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compensation or payment in respect of the injury within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the meaning of sub-section (1.) of this section.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F1493E" w:rsidRDefault="00EA6D68" w:rsidP="00105278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5.</w:t>
      </w:r>
      <w:r w:rsidR="0034718E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After section nine of the Principal Act, the following section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is inserted:—</w:t>
      </w:r>
    </w:p>
    <w:p w:rsidR="001D5F84" w:rsidRPr="00456678" w:rsidRDefault="00EA6D68" w:rsidP="0045667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56678">
        <w:rPr>
          <w:rFonts w:ascii="Times New Roman" w:hAnsi="Times New Roman" w:cs="Times New Roman"/>
          <w:b/>
          <w:sz w:val="20"/>
        </w:rPr>
        <w:t>Injury while</w:t>
      </w:r>
      <w:r w:rsidR="002D6DDB" w:rsidRPr="00456678">
        <w:rPr>
          <w:rFonts w:ascii="Times New Roman" w:hAnsi="Times New Roman" w:cs="Times New Roman"/>
          <w:b/>
          <w:sz w:val="20"/>
        </w:rPr>
        <w:t xml:space="preserve"> </w:t>
      </w:r>
      <w:r w:rsidRPr="00456678">
        <w:rPr>
          <w:rFonts w:ascii="Times New Roman" w:hAnsi="Times New Roman" w:cs="Times New Roman"/>
          <w:b/>
          <w:sz w:val="20"/>
        </w:rPr>
        <w:t>travelling to or</w:t>
      </w:r>
      <w:r w:rsidR="002D6DDB" w:rsidRPr="00456678">
        <w:rPr>
          <w:rFonts w:ascii="Times New Roman" w:hAnsi="Times New Roman" w:cs="Times New Roman"/>
          <w:b/>
          <w:sz w:val="20"/>
        </w:rPr>
        <w:t xml:space="preserve"> </w:t>
      </w:r>
      <w:r w:rsidRPr="00456678">
        <w:rPr>
          <w:rFonts w:ascii="Times New Roman" w:hAnsi="Times New Roman" w:cs="Times New Roman"/>
          <w:b/>
          <w:sz w:val="20"/>
        </w:rPr>
        <w:t>from work.</w:t>
      </w:r>
    </w:p>
    <w:p w:rsidR="00782291" w:rsidRDefault="00763E84" w:rsidP="00367D5E">
      <w:pPr>
        <w:tabs>
          <w:tab w:val="left" w:pos="16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9</w:t>
      </w:r>
      <w:r w:rsidR="008D3FA4" w:rsidRPr="00571CB9">
        <w:rPr>
          <w:rFonts w:ascii="Times New Roman" w:hAnsi="Times New Roman"/>
          <w:smallCaps/>
        </w:rPr>
        <w:t>a</w:t>
      </w:r>
      <w:r w:rsidR="008D3FA4" w:rsidRPr="00F1493E">
        <w:rPr>
          <w:rFonts w:ascii="Times New Roman" w:hAnsi="Times New Roman"/>
        </w:rPr>
        <w:t>.</w:t>
      </w:r>
      <w:r w:rsidR="00EA6D68" w:rsidRPr="00851A6C">
        <w:rPr>
          <w:rFonts w:ascii="Times New Roman" w:hAnsi="Times New Roman"/>
        </w:rPr>
        <w:t>—</w:t>
      </w:r>
      <w:r w:rsidR="008D3FA4" w:rsidRPr="00F1493E">
        <w:rPr>
          <w:rFonts w:ascii="Times New Roman" w:hAnsi="Times New Roman"/>
        </w:rPr>
        <w:t>(1.)</w:t>
      </w:r>
      <w:r w:rsidR="00FA61BC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personal injury by accident is caused to an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employee while he is travelling to or from work, or while he is attending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any trade, technical or other training school which he is required by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the terms of his employment by the Commonwealth, or is expected by</w:t>
      </w:r>
    </w:p>
    <w:p w:rsidR="0028372B" w:rsidRDefault="00782291" w:rsidP="00EE55DB">
      <w:pPr>
        <w:spacing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5F84" w:rsidRPr="00F1493E" w:rsidRDefault="008D3FA4" w:rsidP="00EE55DB">
      <w:pPr>
        <w:spacing w:after="60" w:line="240" w:lineRule="auto"/>
        <w:rPr>
          <w:rFonts w:ascii="Times New Roman" w:hAnsi="Times New Roman"/>
        </w:rPr>
      </w:pPr>
      <w:r w:rsidRPr="00F1493E">
        <w:rPr>
          <w:rFonts w:ascii="Times New Roman" w:hAnsi="Times New Roman"/>
        </w:rPr>
        <w:lastRenderedPageBreak/>
        <w:t>the Commonwealth to attend, the Commonwealth shall, subject to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this Act, be liable to pay to the employee or his dependants compensation in accordance with this Act as if the accident were an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accident arising out of and in the course of his employment.</w:t>
      </w:r>
    </w:p>
    <w:p w:rsidR="001D5F84" w:rsidRPr="00F1493E" w:rsidRDefault="00763E84" w:rsidP="00105278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(2.)</w:t>
      </w:r>
      <w:r w:rsidR="00E00A0E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 xml:space="preserve">In this section, </w:t>
      </w:r>
      <w:r>
        <w:rPr>
          <w:rFonts w:ascii="Times New Roman" w:hAnsi="Times New Roman"/>
        </w:rPr>
        <w:t>‘</w:t>
      </w:r>
      <w:r w:rsidR="008D3FA4" w:rsidRPr="00F1493E">
        <w:rPr>
          <w:rFonts w:ascii="Times New Roman" w:hAnsi="Times New Roman"/>
        </w:rPr>
        <w:t>travelling to or from work</w:t>
      </w:r>
      <w:r>
        <w:rPr>
          <w:rFonts w:ascii="Times New Roman" w:hAnsi="Times New Roman"/>
        </w:rPr>
        <w:t>’</w:t>
      </w:r>
      <w:r w:rsidR="008D3FA4" w:rsidRPr="00F1493E">
        <w:rPr>
          <w:rFonts w:ascii="Times New Roman" w:hAnsi="Times New Roman"/>
        </w:rPr>
        <w:t xml:space="preserve"> means travelling between the employee</w:t>
      </w:r>
      <w:r>
        <w:rPr>
          <w:rFonts w:ascii="Times New Roman" w:hAnsi="Times New Roman"/>
        </w:rPr>
        <w:t>’</w:t>
      </w:r>
      <w:r w:rsidR="008D3FA4" w:rsidRPr="00F1493E">
        <w:rPr>
          <w:rFonts w:ascii="Times New Roman" w:hAnsi="Times New Roman"/>
        </w:rPr>
        <w:t>s place of abode and place of employment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by the Commonwealth and between either of those places and any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trade, technical or other training school which he is required by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terms of his employment by the Commonwealth, or is expected by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the Commonwealth, to attend, but does not include travelling during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or after any substantial interruption of, or substantial deviation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from the shortest convenient route for, any such journey, made for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 reason unconnected with his employment or unconnected with his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attendance at the trade, technical or other school, as the case may be.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F1493E" w:rsidRDefault="00EA6D68" w:rsidP="00105278">
      <w:pPr>
        <w:tabs>
          <w:tab w:val="left" w:pos="810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6</w:t>
      </w:r>
      <w:r w:rsidR="008D3FA4" w:rsidRPr="00851A6C">
        <w:rPr>
          <w:rFonts w:ascii="Times New Roman" w:hAnsi="Times New Roman"/>
          <w:b/>
        </w:rPr>
        <w:t>.</w:t>
      </w:r>
      <w:r w:rsidR="008D374A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Section ten of the Principal Act is amended by adding at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end of sub-section (1.) the following proviso:—</w:t>
      </w:r>
    </w:p>
    <w:p w:rsidR="001D5F84" w:rsidRPr="004C24F8" w:rsidRDefault="00EA6D68" w:rsidP="004C24F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24F8">
        <w:rPr>
          <w:rFonts w:ascii="Times New Roman" w:hAnsi="Times New Roman" w:cs="Times New Roman"/>
          <w:b/>
          <w:sz w:val="20"/>
        </w:rPr>
        <w:t>Compensation</w:t>
      </w:r>
      <w:r w:rsidR="002D6DDB" w:rsidRPr="004C24F8">
        <w:rPr>
          <w:rFonts w:ascii="Times New Roman" w:hAnsi="Times New Roman" w:cs="Times New Roman"/>
          <w:b/>
          <w:sz w:val="20"/>
        </w:rPr>
        <w:t xml:space="preserve"> </w:t>
      </w:r>
      <w:r w:rsidRPr="004C24F8">
        <w:rPr>
          <w:rFonts w:ascii="Times New Roman" w:hAnsi="Times New Roman" w:cs="Times New Roman"/>
          <w:b/>
          <w:sz w:val="20"/>
        </w:rPr>
        <w:t>to employee</w:t>
      </w:r>
      <w:r w:rsidR="002D6DDB" w:rsidRPr="004C24F8">
        <w:rPr>
          <w:rFonts w:ascii="Times New Roman" w:hAnsi="Times New Roman" w:cs="Times New Roman"/>
          <w:b/>
          <w:sz w:val="20"/>
        </w:rPr>
        <w:t xml:space="preserve"> </w:t>
      </w:r>
      <w:r w:rsidRPr="004C24F8">
        <w:rPr>
          <w:rFonts w:ascii="Times New Roman" w:hAnsi="Times New Roman" w:cs="Times New Roman"/>
          <w:b/>
          <w:sz w:val="20"/>
        </w:rPr>
        <w:t>affected by or</w:t>
      </w:r>
      <w:r w:rsidR="002D6DDB" w:rsidRPr="004C24F8">
        <w:rPr>
          <w:rFonts w:ascii="Times New Roman" w:hAnsi="Times New Roman" w:cs="Times New Roman"/>
          <w:b/>
          <w:sz w:val="20"/>
        </w:rPr>
        <w:t xml:space="preserve"> </w:t>
      </w:r>
      <w:r w:rsidRPr="004C24F8">
        <w:rPr>
          <w:rFonts w:ascii="Times New Roman" w:hAnsi="Times New Roman" w:cs="Times New Roman"/>
          <w:b/>
          <w:sz w:val="20"/>
        </w:rPr>
        <w:t>dying from</w:t>
      </w:r>
      <w:r w:rsidR="002D6DDB" w:rsidRPr="004C24F8">
        <w:rPr>
          <w:rFonts w:ascii="Times New Roman" w:hAnsi="Times New Roman" w:cs="Times New Roman"/>
          <w:b/>
          <w:sz w:val="20"/>
        </w:rPr>
        <w:t xml:space="preserve"> </w:t>
      </w:r>
      <w:r w:rsidRPr="004C24F8">
        <w:rPr>
          <w:rFonts w:ascii="Times New Roman" w:hAnsi="Times New Roman" w:cs="Times New Roman"/>
          <w:b/>
          <w:sz w:val="20"/>
        </w:rPr>
        <w:t>certain</w:t>
      </w:r>
      <w:r w:rsidR="002D6DDB" w:rsidRPr="004C24F8">
        <w:rPr>
          <w:rFonts w:ascii="Times New Roman" w:hAnsi="Times New Roman" w:cs="Times New Roman"/>
          <w:b/>
          <w:sz w:val="20"/>
        </w:rPr>
        <w:t xml:space="preserve"> </w:t>
      </w:r>
      <w:r w:rsidRPr="004C24F8">
        <w:rPr>
          <w:rFonts w:ascii="Times New Roman" w:hAnsi="Times New Roman" w:cs="Times New Roman"/>
          <w:b/>
          <w:sz w:val="20"/>
        </w:rPr>
        <w:t>industrial</w:t>
      </w:r>
      <w:r w:rsidR="002D6DDB" w:rsidRPr="004C24F8">
        <w:rPr>
          <w:rFonts w:ascii="Times New Roman" w:hAnsi="Times New Roman" w:cs="Times New Roman"/>
          <w:b/>
          <w:sz w:val="20"/>
        </w:rPr>
        <w:t xml:space="preserve"> </w:t>
      </w:r>
      <w:r w:rsidRPr="004C24F8">
        <w:rPr>
          <w:rFonts w:ascii="Times New Roman" w:hAnsi="Times New Roman" w:cs="Times New Roman"/>
          <w:b/>
          <w:sz w:val="20"/>
        </w:rPr>
        <w:t>diseases.</w:t>
      </w:r>
    </w:p>
    <w:p w:rsidR="001D5F84" w:rsidRPr="00F1493E" w:rsidRDefault="00763E84" w:rsidP="00A30F31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Provided that that liability shall extend in relation to any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 xml:space="preserve">employee who has contracted </w:t>
      </w:r>
      <w:proofErr w:type="spellStart"/>
      <w:r w:rsidR="008D3FA4" w:rsidRPr="00F1493E">
        <w:rPr>
          <w:rFonts w:ascii="Times New Roman" w:hAnsi="Times New Roman"/>
        </w:rPr>
        <w:t>epithelioma</w:t>
      </w:r>
      <w:proofErr w:type="spellEnd"/>
      <w:r w:rsidR="008D3FA4" w:rsidRPr="00F1493E">
        <w:rPr>
          <w:rFonts w:ascii="Times New Roman" w:hAnsi="Times New Roman"/>
        </w:rPr>
        <w:t xml:space="preserve"> of the skin or pneumoconiosis, if the Commissioner, after full inquiry, is satisfied that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disease was caused by employment by the Commonwealth within any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period not exceeding fifteen years prior to the date of the incapacity.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F1493E" w:rsidRDefault="00EA6D68" w:rsidP="00CD0939">
      <w:pPr>
        <w:tabs>
          <w:tab w:val="left" w:pos="810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7</w:t>
      </w:r>
      <w:r w:rsidR="008D3FA4" w:rsidRPr="00851A6C">
        <w:rPr>
          <w:rFonts w:ascii="Times New Roman" w:hAnsi="Times New Roman"/>
          <w:b/>
        </w:rPr>
        <w:t>.</w:t>
      </w:r>
      <w:r w:rsidR="00236520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Section eleven of the Principal Act is repealed and the following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section inserted in its stead:—</w:t>
      </w:r>
    </w:p>
    <w:p w:rsidR="001D5F84" w:rsidRPr="002B5886" w:rsidRDefault="00EA6D68" w:rsidP="002B588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B5886">
        <w:rPr>
          <w:rFonts w:ascii="Times New Roman" w:hAnsi="Times New Roman" w:cs="Times New Roman"/>
          <w:b/>
          <w:sz w:val="20"/>
        </w:rPr>
        <w:t>Medical, &amp;c,</w:t>
      </w:r>
      <w:r w:rsidR="002D6DDB" w:rsidRPr="002B5886">
        <w:rPr>
          <w:rFonts w:ascii="Times New Roman" w:hAnsi="Times New Roman" w:cs="Times New Roman"/>
          <w:b/>
          <w:sz w:val="20"/>
        </w:rPr>
        <w:t xml:space="preserve"> </w:t>
      </w:r>
      <w:r w:rsidRPr="002B5886">
        <w:rPr>
          <w:rFonts w:ascii="Times New Roman" w:hAnsi="Times New Roman" w:cs="Times New Roman"/>
          <w:b/>
          <w:sz w:val="20"/>
        </w:rPr>
        <w:t>benefits.</w:t>
      </w:r>
    </w:p>
    <w:p w:rsidR="001D5F84" w:rsidRPr="00F1493E" w:rsidRDefault="00763E84" w:rsidP="004F664A">
      <w:pPr>
        <w:tabs>
          <w:tab w:val="left" w:pos="16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11.—(1.)</w:t>
      </w:r>
      <w:r w:rsidR="00BA2CE0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any compensation is payable by the Commonwealth under this Act to, or in respect of, an employee, or where,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but for the fact that the employee is not incapacitated for work,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compensation would be so payable, the Commonwealth shall, subject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to the next succeeding sub-section, pay the cost of such medical,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surgical and hospital treatment in relation to the injury as is, in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the opinion of the Commissioner, reasonably necessary.</w:t>
      </w:r>
    </w:p>
    <w:p w:rsidR="001D5F84" w:rsidRPr="00F1493E" w:rsidRDefault="00763E84" w:rsidP="00854C1C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(2.)</w:t>
      </w:r>
      <w:r w:rsidR="0015657D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The sum for which the Commonwealth shall be liable in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respect of the medical, surgical and hospital treatment of an employee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shall be such sum as the Commissioner considers reasonably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appropriate to the treatment afforded, having regard to the customary charge made in the community for such treatment, but shall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not in any case exceed One hundred pounds.</w:t>
      </w:r>
    </w:p>
    <w:p w:rsidR="001D5F84" w:rsidRPr="00F1493E" w:rsidRDefault="00763E84" w:rsidP="00854C1C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(3.)</w:t>
      </w:r>
      <w:r w:rsidR="00E00A97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any compensation is payable by the Commonwealth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under this Act to, or in respect of, an employee, any payment in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pursuance of this section shall be in addition to that compensation.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854C1C" w:rsidRDefault="00EA6D68" w:rsidP="00854C1C">
      <w:pPr>
        <w:spacing w:before="120"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854C1C">
        <w:rPr>
          <w:rFonts w:ascii="Times New Roman" w:hAnsi="Times New Roman"/>
          <w:b/>
          <w:sz w:val="20"/>
          <w:szCs w:val="20"/>
        </w:rPr>
        <w:t>Compensation</w:t>
      </w:r>
      <w:r w:rsidR="002D6DDB" w:rsidRPr="00854C1C">
        <w:rPr>
          <w:rFonts w:ascii="Times New Roman" w:hAnsi="Times New Roman"/>
          <w:b/>
          <w:sz w:val="20"/>
          <w:szCs w:val="20"/>
        </w:rPr>
        <w:t xml:space="preserve"> </w:t>
      </w:r>
      <w:r w:rsidRPr="00854C1C">
        <w:rPr>
          <w:rFonts w:ascii="Times New Roman" w:hAnsi="Times New Roman"/>
          <w:b/>
          <w:sz w:val="20"/>
          <w:szCs w:val="20"/>
        </w:rPr>
        <w:t>for certain</w:t>
      </w:r>
      <w:r w:rsidR="002D6DDB" w:rsidRPr="00854C1C">
        <w:rPr>
          <w:rFonts w:ascii="Times New Roman" w:hAnsi="Times New Roman"/>
          <w:b/>
          <w:sz w:val="20"/>
          <w:szCs w:val="20"/>
        </w:rPr>
        <w:t xml:space="preserve"> </w:t>
      </w:r>
      <w:r w:rsidRPr="00854C1C">
        <w:rPr>
          <w:rFonts w:ascii="Times New Roman" w:hAnsi="Times New Roman"/>
          <w:b/>
          <w:sz w:val="20"/>
          <w:szCs w:val="20"/>
        </w:rPr>
        <w:t>Injuries.</w:t>
      </w:r>
    </w:p>
    <w:p w:rsidR="001D5F84" w:rsidRPr="00F1493E" w:rsidRDefault="00EA6D68" w:rsidP="004B028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8.</w:t>
      </w:r>
      <w:r w:rsidR="00391A3D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Section twelve of the Principal Act is amended—</w:t>
      </w:r>
    </w:p>
    <w:p w:rsidR="00B73727" w:rsidRDefault="008D3FA4" w:rsidP="001B099B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 xml:space="preserve">) by inserting, before the word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Where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 xml:space="preserve">,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Subject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to this Act,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 and</w:t>
      </w:r>
    </w:p>
    <w:p w:rsidR="00CD0939" w:rsidRDefault="00B73727" w:rsidP="002837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5F84" w:rsidRPr="00F1493E" w:rsidRDefault="008D3FA4" w:rsidP="007D6649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lastRenderedPageBreak/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</w:t>
      </w:r>
      <w:r w:rsidR="007D6649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adding at the end thereof the following sub-sections:—</w:t>
      </w:r>
    </w:p>
    <w:p w:rsidR="001D5F84" w:rsidRPr="00F1493E" w:rsidRDefault="00763E84" w:rsidP="007A5214">
      <w:pPr>
        <w:tabs>
          <w:tab w:val="left" w:pos="1260"/>
        </w:tabs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(2.)</w:t>
      </w:r>
      <w:r w:rsidR="007D6649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an employee habitually uses his left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hand and arm to perform work usually performed by an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employee with his right hand and arm, the compensation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payable to the first-mentioned employee under this section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shall be—</w:t>
      </w:r>
    </w:p>
    <w:p w:rsidR="001D5F84" w:rsidRPr="00F1493E" w:rsidRDefault="008D3FA4" w:rsidP="006478A0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</w:t>
      </w:r>
      <w:r w:rsidR="007A5214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for the loss of his left arm or any part thereof—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the amount which would have been payable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to an employee for a similar loss in respect of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his right arm or the corresponding part thereof;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and</w:t>
      </w:r>
    </w:p>
    <w:p w:rsidR="001D5F84" w:rsidRPr="00F1493E" w:rsidRDefault="008D3FA4" w:rsidP="006478A0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 for the loss of his right arm or any part thereof—the amount which would have been payable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to an employee for a similar loss in respect of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his left arm or the corresponding part thereof.</w:t>
      </w:r>
    </w:p>
    <w:p w:rsidR="001D5F84" w:rsidRPr="00F1493E" w:rsidRDefault="00763E84" w:rsidP="00B35689">
      <w:pPr>
        <w:tabs>
          <w:tab w:val="left" w:pos="1260"/>
        </w:tabs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(3.)</w:t>
      </w:r>
      <w:r w:rsidR="00B35689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an employee sustains an injury which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causes the loss of the sight of both eyes or of an only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useful eye, any compensation previously paid under this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Act in respect of the loss of the sight of one eye shall be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deducted from the compensation payable under this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section.</w:t>
      </w:r>
    </w:p>
    <w:p w:rsidR="001D5F84" w:rsidRPr="00F1493E" w:rsidRDefault="00763E84" w:rsidP="00B35689">
      <w:pPr>
        <w:tabs>
          <w:tab w:val="left" w:pos="1260"/>
        </w:tabs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(4.)</w:t>
      </w:r>
      <w:r w:rsidR="00B35689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an employee sustains an injury which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causes partial and permanent loss of the sight of one eye,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there shall be payable an amount of compensation equivalent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to such percentage of the amount of compensation payable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under this section in respect of the loss of the sight of one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eye as is equal to the percentage of the diminution of sight.</w:t>
      </w:r>
    </w:p>
    <w:p w:rsidR="001D5F84" w:rsidRPr="00F1493E" w:rsidRDefault="00763E84" w:rsidP="00B35689">
      <w:pPr>
        <w:tabs>
          <w:tab w:val="left" w:pos="1260"/>
        </w:tabs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(5.)</w:t>
      </w:r>
      <w:r w:rsidR="00B35689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an employee sustains an injury which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causes partial and permanent loss of the efficient use of a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part of the body specified in the Third Schedule to this Act in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and for the purposes of his employment at the date of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injury, there shall be payable an amount of compensation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equivalent to such percentage of the amount of compensation payable under this section in respect of the loss of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that part as is equal to the percentage of the diminution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of the efficient use of that part.</w:t>
      </w:r>
    </w:p>
    <w:p w:rsidR="001D5F84" w:rsidRPr="00F1493E" w:rsidRDefault="00763E84" w:rsidP="00B35689">
      <w:pPr>
        <w:tabs>
          <w:tab w:val="left" w:pos="1260"/>
        </w:tabs>
        <w:spacing w:after="0" w:line="240" w:lineRule="auto"/>
        <w:ind w:left="1152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(6.)</w:t>
      </w:r>
      <w:r w:rsidR="00B35689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For the purposes of this section and of the Third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Schedule to this Act, the loss of a specified part of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body shall be deemed to include—</w:t>
      </w:r>
    </w:p>
    <w:p w:rsidR="001D5F84" w:rsidRPr="00F1493E" w:rsidRDefault="008D3FA4" w:rsidP="008617AA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</w:t>
      </w:r>
      <w:r w:rsidR="00447FB4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the permanent loss of the use of that part; and</w:t>
      </w:r>
    </w:p>
    <w:p w:rsidR="001D5F84" w:rsidRPr="00F1493E" w:rsidRDefault="008D3FA4" w:rsidP="008617AA">
      <w:pPr>
        <w:spacing w:after="0" w:line="240" w:lineRule="auto"/>
        <w:ind w:left="2304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 the permanent loss of the efficient use of that part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in and for the purposes of his employment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at the date of the injury.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.</w:t>
      </w:r>
    </w:p>
    <w:p w:rsidR="001D5F84" w:rsidRPr="0075209F" w:rsidRDefault="00EA6D68" w:rsidP="0075209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5209F">
        <w:rPr>
          <w:rFonts w:ascii="Times New Roman" w:hAnsi="Times New Roman" w:cs="Times New Roman"/>
          <w:b/>
          <w:sz w:val="20"/>
        </w:rPr>
        <w:t>Maximum</w:t>
      </w:r>
      <w:r w:rsidR="002D6DDB" w:rsidRPr="0075209F">
        <w:rPr>
          <w:rFonts w:ascii="Times New Roman" w:hAnsi="Times New Roman" w:cs="Times New Roman"/>
          <w:b/>
          <w:sz w:val="20"/>
        </w:rPr>
        <w:t xml:space="preserve"> </w:t>
      </w:r>
      <w:r w:rsidRPr="0075209F">
        <w:rPr>
          <w:rFonts w:ascii="Times New Roman" w:hAnsi="Times New Roman" w:cs="Times New Roman"/>
          <w:b/>
          <w:sz w:val="20"/>
        </w:rPr>
        <w:t>compensation</w:t>
      </w:r>
    </w:p>
    <w:p w:rsidR="00771B5F" w:rsidRDefault="00EA6D68" w:rsidP="00EC6EC7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9.</w:t>
      </w:r>
      <w:r w:rsidR="00B2212B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Section thirteen of the Principal Act is amended by omitting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 xml:space="preserve">the words </w:t>
      </w:r>
      <w:r w:rsidR="00763E84"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Seven hundred and fifty</w:t>
      </w:r>
      <w:r w:rsidR="00763E84"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 xml:space="preserve"> and inserting in their stead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 xml:space="preserve">the words </w:t>
      </w:r>
      <w:r w:rsidR="00763E84"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One thousand</w:t>
      </w:r>
      <w:r w:rsidR="00763E84"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EC6EC7" w:rsidRDefault="00771B5F" w:rsidP="007178E9">
      <w:pPr>
        <w:spacing w:before="120"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5F84" w:rsidRPr="007178E9" w:rsidRDefault="00EA6D68" w:rsidP="007178E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78E9">
        <w:rPr>
          <w:rFonts w:ascii="Times New Roman" w:hAnsi="Times New Roman" w:cs="Times New Roman"/>
          <w:b/>
          <w:sz w:val="20"/>
        </w:rPr>
        <w:lastRenderedPageBreak/>
        <w:t>Medical</w:t>
      </w:r>
      <w:r w:rsidR="002D6DDB" w:rsidRPr="007178E9">
        <w:rPr>
          <w:rFonts w:ascii="Times New Roman" w:hAnsi="Times New Roman" w:cs="Times New Roman"/>
          <w:b/>
          <w:sz w:val="20"/>
        </w:rPr>
        <w:t xml:space="preserve"> </w:t>
      </w:r>
      <w:r w:rsidRPr="007178E9">
        <w:rPr>
          <w:rFonts w:ascii="Times New Roman" w:hAnsi="Times New Roman" w:cs="Times New Roman"/>
          <w:b/>
          <w:sz w:val="20"/>
        </w:rPr>
        <w:t>examinations.</w:t>
      </w:r>
    </w:p>
    <w:p w:rsidR="001D5F84" w:rsidRPr="00F1493E" w:rsidRDefault="00EA6D68" w:rsidP="00026FB3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10.</w:t>
      </w:r>
      <w:r w:rsidR="00026FB3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Section nineteen of the Principal Act is amended by inserting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after sub-section (4.) the following sub-section:—</w:t>
      </w:r>
    </w:p>
    <w:p w:rsidR="001D5F84" w:rsidRPr="00F1493E" w:rsidRDefault="00763E84" w:rsidP="00EB412C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(4</w:t>
      </w:r>
      <w:r w:rsidR="008D3FA4" w:rsidRPr="00026FB3">
        <w:rPr>
          <w:rFonts w:ascii="Times New Roman" w:hAnsi="Times New Roman"/>
          <w:smallCaps/>
        </w:rPr>
        <w:t>a</w:t>
      </w:r>
      <w:r w:rsidR="008D3FA4" w:rsidRPr="00F1493E">
        <w:rPr>
          <w:rFonts w:ascii="Times New Roman" w:hAnsi="Times New Roman"/>
        </w:rPr>
        <w:t>.)</w:t>
      </w:r>
      <w:r w:rsidR="00026FB3">
        <w:rPr>
          <w:rFonts w:ascii="Times New Roman" w:hAnsi="Times New Roman"/>
        </w:rPr>
        <w:tab/>
      </w:r>
      <w:r w:rsidR="008D3FA4" w:rsidRPr="00F1493E">
        <w:rPr>
          <w:rFonts w:ascii="Times New Roman" w:hAnsi="Times New Roman"/>
        </w:rPr>
        <w:t>Where a medical board consists of more than two medical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referees, a certificate given by the majority of the board shall be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deemed to be the certificate of the board.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BA24B9" w:rsidRDefault="00EA6D68" w:rsidP="00BA24B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A24B9">
        <w:rPr>
          <w:rFonts w:ascii="Times New Roman" w:hAnsi="Times New Roman" w:cs="Times New Roman"/>
          <w:b/>
          <w:sz w:val="20"/>
        </w:rPr>
        <w:t>Regulations.</w:t>
      </w:r>
    </w:p>
    <w:p w:rsidR="001D5F84" w:rsidRPr="00F1493E" w:rsidRDefault="00EA6D68" w:rsidP="00BA24B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11.</w:t>
      </w:r>
      <w:r w:rsidR="00BA24B9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Section twenty-three of the Principal Act is amended by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 xml:space="preserve">omitting the words </w:t>
      </w:r>
      <w:r w:rsidR="00763E84"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medical treatment</w:t>
      </w:r>
      <w:r w:rsidR="00763E84"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 xml:space="preserve"> and inserting in their stead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 xml:space="preserve">the words </w:t>
      </w:r>
      <w:r w:rsidR="00763E84"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medical, surgical and hospital treatment</w:t>
      </w:r>
      <w:r w:rsidR="00763E84"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D606E4" w:rsidRDefault="00EA6D68" w:rsidP="00D606E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606E4">
        <w:rPr>
          <w:rFonts w:ascii="Times New Roman" w:hAnsi="Times New Roman" w:cs="Times New Roman"/>
          <w:b/>
          <w:sz w:val="20"/>
        </w:rPr>
        <w:t>Amendment of</w:t>
      </w:r>
      <w:r w:rsidR="002D6DDB" w:rsidRPr="00D606E4">
        <w:rPr>
          <w:rFonts w:ascii="Times New Roman" w:hAnsi="Times New Roman" w:cs="Times New Roman"/>
          <w:b/>
          <w:sz w:val="20"/>
        </w:rPr>
        <w:t xml:space="preserve"> </w:t>
      </w:r>
      <w:r w:rsidRPr="00D606E4">
        <w:rPr>
          <w:rFonts w:ascii="Times New Roman" w:hAnsi="Times New Roman" w:cs="Times New Roman"/>
          <w:b/>
          <w:sz w:val="20"/>
        </w:rPr>
        <w:t>the First</w:t>
      </w:r>
      <w:r w:rsidR="002D6DDB" w:rsidRPr="00D606E4">
        <w:rPr>
          <w:rFonts w:ascii="Times New Roman" w:hAnsi="Times New Roman" w:cs="Times New Roman"/>
          <w:b/>
          <w:sz w:val="20"/>
        </w:rPr>
        <w:t xml:space="preserve"> </w:t>
      </w:r>
      <w:r w:rsidRPr="00D606E4">
        <w:rPr>
          <w:rFonts w:ascii="Times New Roman" w:hAnsi="Times New Roman" w:cs="Times New Roman"/>
          <w:b/>
          <w:sz w:val="20"/>
        </w:rPr>
        <w:t>Schedule.</w:t>
      </w:r>
    </w:p>
    <w:p w:rsidR="001D5F84" w:rsidRPr="00F1493E" w:rsidRDefault="00EA6D68" w:rsidP="00BA24B9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12.</w:t>
      </w:r>
      <w:r w:rsidR="00BA24B9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The First Schedule to the Act is amended—</w:t>
      </w:r>
    </w:p>
    <w:p w:rsidR="001D5F84" w:rsidRPr="00F1493E" w:rsidRDefault="008D3FA4" w:rsidP="00A1649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</w:t>
      </w:r>
      <w:r w:rsidR="006B45C5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omitting from clause (</w:t>
      </w:r>
      <w:proofErr w:type="spellStart"/>
      <w:r w:rsidRPr="00F1493E">
        <w:rPr>
          <w:rFonts w:ascii="Times New Roman" w:hAnsi="Times New Roman"/>
        </w:rPr>
        <w:t>i</w:t>
      </w:r>
      <w:proofErr w:type="spellEnd"/>
      <w:r w:rsidRPr="00F1493E">
        <w:rPr>
          <w:rFonts w:ascii="Times New Roman" w:hAnsi="Times New Roman"/>
        </w:rPr>
        <w:t>) of sub-paragraph 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 of paragraph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(1.)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one hundred and fifty-six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 xml:space="preserve"> and inserting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in their stead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two hundred and eight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1D5F84" w:rsidRPr="00F1493E" w:rsidRDefault="008D3FA4" w:rsidP="00A1649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 xml:space="preserve">) by omitting from that clause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Seven hundred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and fifty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 xml:space="preserve"> and inserting in their stead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Eight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hundred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:</w:t>
      </w:r>
    </w:p>
    <w:p w:rsidR="001D5F84" w:rsidRPr="00F1493E" w:rsidRDefault="008D3FA4" w:rsidP="00DA73F6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c</w:t>
      </w:r>
      <w:r w:rsidRPr="00F1493E">
        <w:rPr>
          <w:rFonts w:ascii="Times New Roman" w:hAnsi="Times New Roman"/>
        </w:rPr>
        <w:t>)</w:t>
      </w:r>
      <w:r w:rsidR="00DA73F6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inserting after that clause the following clause:—</w:t>
      </w:r>
    </w:p>
    <w:p w:rsidR="001D5F84" w:rsidRPr="00F1493E" w:rsidRDefault="00763E84" w:rsidP="00EC6EC7">
      <w:pPr>
        <w:spacing w:after="0" w:line="240" w:lineRule="auto"/>
        <w:ind w:left="1944" w:hanging="6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‘‘</w:t>
      </w:r>
      <w:r w:rsidR="008D3FA4" w:rsidRPr="00F1493E">
        <w:rPr>
          <w:rFonts w:ascii="Times New Roman" w:hAnsi="Times New Roman"/>
        </w:rPr>
        <w:t>(1</w:t>
      </w:r>
      <w:r w:rsidR="00AE5811" w:rsidRPr="00AE5811">
        <w:rPr>
          <w:rFonts w:ascii="Times New Roman" w:hAnsi="Times New Roman"/>
          <w:smallCaps/>
        </w:rPr>
        <w:t>a</w:t>
      </w:r>
      <w:r w:rsidR="008D3FA4" w:rsidRPr="00F1493E">
        <w:rPr>
          <w:rFonts w:ascii="Times New Roman" w:hAnsi="Times New Roman"/>
        </w:rPr>
        <w:t>)</w:t>
      </w:r>
      <w:r w:rsidR="00826AE5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in addition to any amount payable under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preceding clause, an amount of Twenty-five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pounds in respect of each child who is under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the age of sixteen years and who was totally or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mainly dependent upon the employee at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date of the injury;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;</w:t>
      </w:r>
    </w:p>
    <w:p w:rsidR="001D5F84" w:rsidRPr="00F1493E" w:rsidRDefault="008D3FA4" w:rsidP="00EC6EC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d</w:t>
      </w:r>
      <w:r w:rsidRPr="00F1493E">
        <w:rPr>
          <w:rFonts w:ascii="Times New Roman" w:hAnsi="Times New Roman"/>
        </w:rPr>
        <w:t>)</w:t>
      </w:r>
      <w:r w:rsidR="00826AE5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omitting sub-paragraphs 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</w:t>
      </w:r>
      <w:r w:rsidR="00A90585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and (</w:t>
      </w:r>
      <w:r w:rsidR="00EA6D68" w:rsidRPr="00F1493E">
        <w:rPr>
          <w:rFonts w:ascii="Times New Roman" w:hAnsi="Times New Roman"/>
          <w:i/>
        </w:rPr>
        <w:t>c</w:t>
      </w:r>
      <w:r w:rsidRPr="00F1493E">
        <w:rPr>
          <w:rFonts w:ascii="Times New Roman" w:hAnsi="Times New Roman"/>
        </w:rPr>
        <w:t>) of that paragraph and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inserting in their stead the following sub-paragraphs:—</w:t>
      </w:r>
    </w:p>
    <w:p w:rsidR="001D5F84" w:rsidRPr="00F1493E" w:rsidRDefault="00763E84" w:rsidP="00EC6EC7">
      <w:pPr>
        <w:spacing w:after="0" w:line="240" w:lineRule="auto"/>
        <w:ind w:left="187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“</w:t>
      </w:r>
      <w:r w:rsidR="008D3FA4"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="008D3FA4" w:rsidRPr="00F1493E">
        <w:rPr>
          <w:rFonts w:ascii="Times New Roman" w:hAnsi="Times New Roman"/>
        </w:rPr>
        <w:t>)</w:t>
      </w:r>
      <w:r w:rsidR="00A713EA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where total or partial incapacity for work results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from the injury a weekly payment during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incapacity not exceeding two-thirds of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employee</w:t>
      </w:r>
      <w:r>
        <w:rPr>
          <w:rFonts w:ascii="Times New Roman" w:hAnsi="Times New Roman"/>
        </w:rPr>
        <w:t>’</w:t>
      </w:r>
      <w:r w:rsidR="008D3FA4" w:rsidRPr="00F1493E">
        <w:rPr>
          <w:rFonts w:ascii="Times New Roman" w:hAnsi="Times New Roman"/>
        </w:rPr>
        <w:t>s weekly pay at the date of the injury,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but not exceeding in any case Three pounds:</w:t>
      </w:r>
    </w:p>
    <w:p w:rsidR="001D5F84" w:rsidRPr="00F1493E" w:rsidRDefault="008D3FA4" w:rsidP="00EC6EC7">
      <w:pPr>
        <w:spacing w:after="0" w:line="240" w:lineRule="auto"/>
        <w:ind w:left="1872"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Provided that, with respect to the weekly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payments during total incapacity of an employee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who is under the age of twenty-one years at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date of the injury and whose weekly pay is less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than Thirty shillings, one hundred per centum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shall be substituted for two-thirds of his weekly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pay, but the weekly payment shall not in any case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exceed One pound; and</w:t>
      </w:r>
    </w:p>
    <w:p w:rsidR="001D5F84" w:rsidRPr="00F1493E" w:rsidRDefault="008D3FA4" w:rsidP="00EC6EC7">
      <w:pPr>
        <w:spacing w:after="0" w:line="240" w:lineRule="auto"/>
        <w:ind w:left="1872" w:hanging="288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c</w:t>
      </w:r>
      <w:r w:rsidRPr="00F1493E">
        <w:rPr>
          <w:rFonts w:ascii="Times New Roman" w:hAnsi="Times New Roman"/>
        </w:rPr>
        <w:t>) where total incapacity for work results from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injury, there shall be added to any amount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payable under sub-paragraph 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</w:t>
      </w:r>
      <w:r w:rsidR="00851A6C">
        <w:rPr>
          <w:rFonts w:ascii="Times New Roman" w:hAnsi="Times New Roman"/>
        </w:rPr>
        <w:t xml:space="preserve"> </w:t>
      </w:r>
      <w:bookmarkStart w:id="0" w:name="_GoBack"/>
      <w:bookmarkEnd w:id="0"/>
      <w:r w:rsidRPr="00F1493E">
        <w:rPr>
          <w:rFonts w:ascii="Times New Roman" w:hAnsi="Times New Roman"/>
        </w:rPr>
        <w:t>of this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Schedule—</w:t>
      </w:r>
    </w:p>
    <w:p w:rsidR="001D5F84" w:rsidRPr="00F1493E" w:rsidRDefault="008D3FA4" w:rsidP="00EC6EC7">
      <w:pPr>
        <w:spacing w:after="0" w:line="240" w:lineRule="auto"/>
        <w:ind w:left="201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proofErr w:type="spellStart"/>
      <w:r w:rsidRPr="00F1493E">
        <w:rPr>
          <w:rFonts w:ascii="Times New Roman" w:hAnsi="Times New Roman"/>
        </w:rPr>
        <w:t>i</w:t>
      </w:r>
      <w:proofErr w:type="spellEnd"/>
      <w:r w:rsidRPr="00F1493E">
        <w:rPr>
          <w:rFonts w:ascii="Times New Roman" w:hAnsi="Times New Roman"/>
        </w:rPr>
        <w:t>) an amount of One pound</w:t>
      </w:r>
      <w:r w:rsidR="00763E84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per week</w:t>
      </w:r>
      <w:r w:rsidR="00763E84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in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respect of—</w:t>
      </w:r>
    </w:p>
    <w:p w:rsidR="001D5F84" w:rsidRPr="00F1493E" w:rsidRDefault="008D3FA4" w:rsidP="0025047C">
      <w:pPr>
        <w:spacing w:after="0" w:line="240" w:lineRule="auto"/>
        <w:ind w:left="2448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(1)</w:t>
      </w:r>
      <w:r w:rsidR="00E53399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the wife of the employee; or</w:t>
      </w:r>
    </w:p>
    <w:p w:rsidR="00986491" w:rsidRDefault="008D3FA4" w:rsidP="00710DE2">
      <w:pPr>
        <w:spacing w:after="0" w:line="240" w:lineRule="auto"/>
        <w:ind w:left="3096" w:hanging="648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(2)</w:t>
      </w:r>
      <w:r w:rsidR="00E101F6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if he has no wife, or if compensation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is not payable in respect of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his wife, one female who has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attained the age of twenty-one</w:t>
      </w:r>
    </w:p>
    <w:p w:rsidR="00A94DB2" w:rsidRDefault="00986491" w:rsidP="00A94D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5F84" w:rsidRPr="00F1493E" w:rsidRDefault="008D3FA4" w:rsidP="00596668">
      <w:pPr>
        <w:spacing w:after="0" w:line="240" w:lineRule="auto"/>
        <w:ind w:left="2880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lastRenderedPageBreak/>
        <w:t>years and is caring for any child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of the employee under the age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of sixteen years, or who is a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member of the employee</w:t>
      </w:r>
      <w:r w:rsidR="00763E84">
        <w:rPr>
          <w:rFonts w:ascii="Times New Roman" w:hAnsi="Times New Roman"/>
        </w:rPr>
        <w:t>’</w:t>
      </w:r>
      <w:r w:rsidRPr="00F1493E">
        <w:rPr>
          <w:rFonts w:ascii="Times New Roman" w:hAnsi="Times New Roman"/>
        </w:rPr>
        <w:t>s family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and is over the age of sixteen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years,</w:t>
      </w:r>
    </w:p>
    <w:p w:rsidR="001D5F84" w:rsidRPr="00F1493E" w:rsidRDefault="008D3FA4" w:rsidP="00AC5B97">
      <w:pPr>
        <w:spacing w:after="0" w:line="240" w:lineRule="auto"/>
        <w:ind w:left="23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if she was totally or mainly dependent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on the employee at the date of the injury;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and</w:t>
      </w:r>
    </w:p>
    <w:p w:rsidR="001D5F84" w:rsidRPr="00F1493E" w:rsidRDefault="008D3FA4" w:rsidP="00AF765C">
      <w:pPr>
        <w:spacing w:after="0" w:line="240" w:lineRule="auto"/>
        <w:ind w:left="2304" w:hanging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(ii) an amount of Eight shillings and sixpence per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week in respect of each child who, at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date of the injury, was under the age of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sixteen years and totally or mainly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dependent upon the employee and who,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being under the age of sixteen years,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remains so dependent.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1D5F84" w:rsidRPr="00F1493E" w:rsidRDefault="008D3FA4" w:rsidP="00227DB1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e</w:t>
      </w:r>
      <w:r w:rsidRPr="00F1493E">
        <w:rPr>
          <w:rFonts w:ascii="Times New Roman" w:hAnsi="Times New Roman"/>
        </w:rPr>
        <w:t>) by inserting after paragraph (1.) the following paragraphs:—</w:t>
      </w:r>
    </w:p>
    <w:p w:rsidR="001D5F84" w:rsidRPr="00F1493E" w:rsidRDefault="00763E84" w:rsidP="00087055">
      <w:pPr>
        <w:spacing w:after="0" w:line="240" w:lineRule="auto"/>
        <w:ind w:left="1080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(1</w:t>
      </w:r>
      <w:r w:rsidR="008D3FA4" w:rsidRPr="003F4852">
        <w:rPr>
          <w:rFonts w:ascii="Times New Roman" w:hAnsi="Times New Roman"/>
          <w:smallCaps/>
        </w:rPr>
        <w:t>a</w:t>
      </w:r>
      <w:r w:rsidR="008D3FA4" w:rsidRPr="00F1493E">
        <w:rPr>
          <w:rFonts w:ascii="Times New Roman" w:hAnsi="Times New Roman"/>
        </w:rPr>
        <w:t>.) Notwithstanding anything contained in sub-paragraphs (</w:t>
      </w:r>
      <w:r w:rsidR="00EA6D68" w:rsidRPr="00F1493E">
        <w:rPr>
          <w:rFonts w:ascii="Times New Roman" w:hAnsi="Times New Roman"/>
          <w:i/>
        </w:rPr>
        <w:t>b</w:t>
      </w:r>
      <w:r w:rsidR="008D3FA4" w:rsidRPr="00F1493E">
        <w:rPr>
          <w:rFonts w:ascii="Times New Roman" w:hAnsi="Times New Roman"/>
        </w:rPr>
        <w:t>)</w:t>
      </w:r>
      <w:r w:rsidR="00722B76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and (</w:t>
      </w:r>
      <w:r w:rsidR="00EA6D68" w:rsidRPr="00F1493E">
        <w:rPr>
          <w:rFonts w:ascii="Times New Roman" w:hAnsi="Times New Roman"/>
          <w:i/>
        </w:rPr>
        <w:t>c</w:t>
      </w:r>
      <w:r w:rsidR="008D3FA4" w:rsidRPr="00F1493E">
        <w:rPr>
          <w:rFonts w:ascii="Times New Roman" w:hAnsi="Times New Roman"/>
        </w:rPr>
        <w:t>) of paragraph (1.) of this Schedule,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no payment shall be made thereunder which will be in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excess of the amount of the weekly pay of the employee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at the date of the injury.</w:t>
      </w:r>
    </w:p>
    <w:p w:rsidR="001D5F84" w:rsidRPr="00F1493E" w:rsidRDefault="00763E84" w:rsidP="00093622">
      <w:pPr>
        <w:spacing w:after="0" w:line="240" w:lineRule="auto"/>
        <w:ind w:left="1080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(1</w:t>
      </w:r>
      <w:r w:rsidR="008D3FA4" w:rsidRPr="002B45CB">
        <w:rPr>
          <w:rFonts w:ascii="Times New Roman" w:hAnsi="Times New Roman"/>
          <w:smallCaps/>
        </w:rPr>
        <w:t>b</w:t>
      </w:r>
      <w:r w:rsidR="008D3FA4" w:rsidRPr="00F1493E">
        <w:rPr>
          <w:rFonts w:ascii="Times New Roman" w:hAnsi="Times New Roman"/>
        </w:rPr>
        <w:t xml:space="preserve">.) The amount of any endowment under the </w:t>
      </w:r>
      <w:r w:rsidR="00EA6D68" w:rsidRPr="00F1493E">
        <w:rPr>
          <w:rFonts w:ascii="Times New Roman" w:hAnsi="Times New Roman"/>
          <w:i/>
        </w:rPr>
        <w:t>Child</w:t>
      </w:r>
      <w:r w:rsidR="002D6DDB">
        <w:rPr>
          <w:rFonts w:ascii="Times New Roman" w:hAnsi="Times New Roman"/>
          <w:i/>
        </w:rPr>
        <w:t xml:space="preserve"> </w:t>
      </w:r>
      <w:r w:rsidR="00EA6D68" w:rsidRPr="00F1493E">
        <w:rPr>
          <w:rFonts w:ascii="Times New Roman" w:hAnsi="Times New Roman"/>
          <w:i/>
        </w:rPr>
        <w:t xml:space="preserve">Endowment Act </w:t>
      </w:r>
      <w:r w:rsidR="008D3FA4" w:rsidRPr="00F1493E">
        <w:rPr>
          <w:rFonts w:ascii="Times New Roman" w:hAnsi="Times New Roman"/>
        </w:rPr>
        <w:t>1941</w:t>
      </w:r>
      <w:r w:rsidR="00093622" w:rsidRPr="00CA265E">
        <w:rPr>
          <w:rFonts w:ascii="Times New Roman" w:hAnsi="Times New Roman"/>
          <w:szCs w:val="36"/>
        </w:rPr>
        <w:t>–</w:t>
      </w:r>
      <w:r w:rsidR="008D3FA4" w:rsidRPr="00F1493E">
        <w:rPr>
          <w:rFonts w:ascii="Times New Roman" w:hAnsi="Times New Roman"/>
        </w:rPr>
        <w:t>1942 received by an employee or a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dependant shall not be taken into account in determining,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for the purposes of this Schedule, whether or not any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child in respect of whom the endowment is received is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or was totally or mainly dependent on the employee.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;</w:t>
      </w:r>
    </w:p>
    <w:p w:rsidR="001D5F84" w:rsidRPr="00F1493E" w:rsidRDefault="008D3FA4" w:rsidP="00227DB1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f</w:t>
      </w:r>
      <w:r w:rsidRPr="00F1493E">
        <w:rPr>
          <w:rFonts w:ascii="Times New Roman" w:hAnsi="Times New Roman"/>
        </w:rPr>
        <w:t>) by omitting paragraph (2.) and inserting in its stead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following paragraphs:—</w:t>
      </w:r>
    </w:p>
    <w:p w:rsidR="001D5F84" w:rsidRPr="00F1493E" w:rsidRDefault="00763E84" w:rsidP="00093622">
      <w:pPr>
        <w:spacing w:after="0" w:line="240" w:lineRule="auto"/>
        <w:ind w:left="1080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 xml:space="preserve">(2.) For the purposes of this Schedule, </w:t>
      </w:r>
      <w:r>
        <w:rPr>
          <w:rFonts w:ascii="Times New Roman" w:hAnsi="Times New Roman"/>
        </w:rPr>
        <w:t>‘</w:t>
      </w:r>
      <w:r w:rsidR="008D3FA4" w:rsidRPr="00F1493E">
        <w:rPr>
          <w:rFonts w:ascii="Times New Roman" w:hAnsi="Times New Roman"/>
        </w:rPr>
        <w:t>pay</w:t>
      </w:r>
      <w:r>
        <w:rPr>
          <w:rFonts w:ascii="Times New Roman" w:hAnsi="Times New Roman"/>
        </w:rPr>
        <w:t>’</w:t>
      </w:r>
      <w:r w:rsidR="008D3FA4" w:rsidRPr="00F1493E">
        <w:rPr>
          <w:rFonts w:ascii="Times New Roman" w:hAnsi="Times New Roman"/>
        </w:rPr>
        <w:t xml:space="preserve"> means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the salary or wages of the employee, and includes—</w:t>
      </w:r>
    </w:p>
    <w:p w:rsidR="001D5F84" w:rsidRPr="00F1493E" w:rsidRDefault="008D3FA4" w:rsidP="00967F39">
      <w:pPr>
        <w:spacing w:after="0" w:line="240" w:lineRule="auto"/>
        <w:ind w:left="216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a</w:t>
      </w:r>
      <w:r w:rsidRPr="00F1493E">
        <w:rPr>
          <w:rFonts w:ascii="Times New Roman" w:hAnsi="Times New Roman"/>
        </w:rPr>
        <w:t>) where the employee was engaged in part-time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work for the Commonwealth, his earnings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from any other employment; and</w:t>
      </w:r>
    </w:p>
    <w:p w:rsidR="00093622" w:rsidRDefault="008D3FA4" w:rsidP="00093622">
      <w:pPr>
        <w:spacing w:after="0" w:line="240" w:lineRule="auto"/>
        <w:ind w:left="216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b</w:t>
      </w:r>
      <w:r w:rsidRPr="00F1493E">
        <w:rPr>
          <w:rFonts w:ascii="Times New Roman" w:hAnsi="Times New Roman"/>
        </w:rPr>
        <w:t>)</w:t>
      </w:r>
      <w:r w:rsidR="00093622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unless otherwise prescribed, any allowance payable</w:t>
      </w:r>
      <w:r w:rsidR="00093622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to the employee in respect of his employment,</w:t>
      </w:r>
    </w:p>
    <w:p w:rsidR="001D5F84" w:rsidRPr="00F1493E" w:rsidRDefault="008D3FA4" w:rsidP="00CC1E30">
      <w:pPr>
        <w:spacing w:after="0" w:line="240" w:lineRule="auto"/>
        <w:ind w:left="115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but, subject to the regulations, does not include any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allowance which is intermittent or which is payable in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respect of special expenses incurred or likely to be incurred.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the employee in respect of his employment.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1D5F84" w:rsidRPr="00F1493E" w:rsidRDefault="008D3FA4" w:rsidP="00EB06A1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g</w:t>
      </w:r>
      <w:r w:rsidRPr="00F1493E">
        <w:rPr>
          <w:rFonts w:ascii="Times New Roman" w:hAnsi="Times New Roman"/>
        </w:rPr>
        <w:t xml:space="preserve">) by inserting in paragraph (3.), after the word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benefit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,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symbols and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(except any endowment under the</w:t>
      </w:r>
      <w:r w:rsidR="002D6DDB">
        <w:rPr>
          <w:rFonts w:ascii="Times New Roman" w:hAnsi="Times New Roman"/>
        </w:rPr>
        <w:t xml:space="preserve"> </w:t>
      </w:r>
      <w:r w:rsidR="00EA6D68" w:rsidRPr="00F1493E">
        <w:rPr>
          <w:rFonts w:ascii="Times New Roman" w:hAnsi="Times New Roman"/>
          <w:i/>
        </w:rPr>
        <w:t xml:space="preserve">Child Endowment Act </w:t>
      </w:r>
      <w:r w:rsidRPr="00F1493E">
        <w:rPr>
          <w:rFonts w:ascii="Times New Roman" w:hAnsi="Times New Roman"/>
        </w:rPr>
        <w:t>1941</w:t>
      </w:r>
      <w:r w:rsidR="006B4506" w:rsidRPr="00CA265E">
        <w:rPr>
          <w:rFonts w:ascii="Times New Roman" w:hAnsi="Times New Roman"/>
          <w:szCs w:val="36"/>
        </w:rPr>
        <w:t>–</w:t>
      </w:r>
      <w:r w:rsidRPr="00F1493E">
        <w:rPr>
          <w:rFonts w:ascii="Times New Roman" w:hAnsi="Times New Roman"/>
        </w:rPr>
        <w:t>1942 and any pension or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allowance in respect of any child dependent on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employee)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</w:t>
      </w:r>
    </w:p>
    <w:p w:rsidR="002403FD" w:rsidRDefault="008D3FA4" w:rsidP="00450F0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t>(</w:t>
      </w:r>
      <w:r w:rsidR="00EA6D68" w:rsidRPr="00F1493E">
        <w:rPr>
          <w:rFonts w:ascii="Times New Roman" w:hAnsi="Times New Roman"/>
          <w:i/>
        </w:rPr>
        <w:t>h</w:t>
      </w:r>
      <w:r w:rsidRPr="00F1493E">
        <w:rPr>
          <w:rFonts w:ascii="Times New Roman" w:hAnsi="Times New Roman"/>
        </w:rPr>
        <w:t>) by omitting from the proviso to paragraph (5.) the words</w:t>
      </w:r>
      <w:r w:rsidR="002D6DDB">
        <w:rPr>
          <w:rFonts w:ascii="Times New Roman" w:hAnsi="Times New Roman"/>
        </w:rPr>
        <w:t xml:space="preserve">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expenses of medical attendance and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 xml:space="preserve"> and inserting in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 xml:space="preserve">their stead the words </w:t>
      </w:r>
      <w:r w:rsidR="00763E84">
        <w:rPr>
          <w:rFonts w:ascii="Times New Roman" w:hAnsi="Times New Roman"/>
        </w:rPr>
        <w:t>“</w:t>
      </w:r>
      <w:r w:rsidRPr="00F1493E">
        <w:rPr>
          <w:rFonts w:ascii="Times New Roman" w:hAnsi="Times New Roman"/>
        </w:rPr>
        <w:t>cost of medical, surgical and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hospital treatment and the expenses of</w:t>
      </w:r>
      <w:r w:rsidR="00763E84">
        <w:rPr>
          <w:rFonts w:ascii="Times New Roman" w:hAnsi="Times New Roman"/>
        </w:rPr>
        <w:t>”</w:t>
      </w:r>
      <w:r w:rsidRPr="00F1493E">
        <w:rPr>
          <w:rFonts w:ascii="Times New Roman" w:hAnsi="Times New Roman"/>
        </w:rPr>
        <w:t>; and</w:t>
      </w:r>
    </w:p>
    <w:p w:rsidR="006B4506" w:rsidRDefault="002403FD" w:rsidP="006B450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5F84" w:rsidRPr="00F1493E" w:rsidRDefault="008D3FA4" w:rsidP="00E54ACF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</w:rPr>
        <w:lastRenderedPageBreak/>
        <w:t>(</w:t>
      </w:r>
      <w:proofErr w:type="spellStart"/>
      <w:r w:rsidR="00EA6D68" w:rsidRPr="00F1493E">
        <w:rPr>
          <w:rFonts w:ascii="Times New Roman" w:hAnsi="Times New Roman"/>
          <w:i/>
        </w:rPr>
        <w:t>i</w:t>
      </w:r>
      <w:proofErr w:type="spellEnd"/>
      <w:r w:rsidRPr="00F1493E">
        <w:rPr>
          <w:rFonts w:ascii="Times New Roman" w:hAnsi="Times New Roman"/>
        </w:rPr>
        <w:t>)</w:t>
      </w:r>
      <w:r w:rsidR="00DC5A46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by omitting paragraph. (7.) and inserting in its stead the</w:t>
      </w:r>
      <w:r w:rsidR="002D6DDB">
        <w:rPr>
          <w:rFonts w:ascii="Times New Roman" w:hAnsi="Times New Roman"/>
        </w:rPr>
        <w:t xml:space="preserve"> </w:t>
      </w:r>
      <w:r w:rsidRPr="00F1493E">
        <w:rPr>
          <w:rFonts w:ascii="Times New Roman" w:hAnsi="Times New Roman"/>
        </w:rPr>
        <w:t>following paragraph:—</w:t>
      </w:r>
    </w:p>
    <w:p w:rsidR="001D5F84" w:rsidRPr="00F1493E" w:rsidRDefault="00763E84" w:rsidP="00C8491D">
      <w:pPr>
        <w:spacing w:after="0" w:line="240" w:lineRule="auto"/>
        <w:ind w:left="1080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D3FA4" w:rsidRPr="00F1493E">
        <w:rPr>
          <w:rFonts w:ascii="Times New Roman" w:hAnsi="Times New Roman"/>
        </w:rPr>
        <w:t>(7.) Where any person under any legal disability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is entitled to any amount of compensation under this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Act in the form of a lump sum, that amount may be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paid to such trustee or trustees as the Commissioner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appoints and the amount so paid shall be held for the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benefit of the person entitled thereto upon such trusts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as the Commissioner approves.</w:t>
      </w:r>
      <w:r>
        <w:rPr>
          <w:rFonts w:ascii="Times New Roman" w:hAnsi="Times New Roman"/>
        </w:rPr>
        <w:t>”</w:t>
      </w:r>
      <w:r w:rsidR="008D3FA4" w:rsidRPr="00F1493E">
        <w:rPr>
          <w:rFonts w:ascii="Times New Roman" w:hAnsi="Times New Roman"/>
        </w:rPr>
        <w:t>.</w:t>
      </w:r>
    </w:p>
    <w:p w:rsidR="001D5F84" w:rsidRPr="0053574F" w:rsidRDefault="00EA6D68" w:rsidP="0053574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3574F">
        <w:rPr>
          <w:rFonts w:ascii="Times New Roman" w:hAnsi="Times New Roman" w:cs="Times New Roman"/>
          <w:b/>
          <w:sz w:val="20"/>
        </w:rPr>
        <w:t>Second and</w:t>
      </w:r>
      <w:r w:rsidR="002D6DDB" w:rsidRPr="0053574F">
        <w:rPr>
          <w:rFonts w:ascii="Times New Roman" w:hAnsi="Times New Roman" w:cs="Times New Roman"/>
          <w:b/>
          <w:sz w:val="20"/>
        </w:rPr>
        <w:t xml:space="preserve"> </w:t>
      </w:r>
      <w:r w:rsidRPr="0053574F">
        <w:rPr>
          <w:rFonts w:ascii="Times New Roman" w:hAnsi="Times New Roman" w:cs="Times New Roman"/>
          <w:b/>
          <w:sz w:val="20"/>
        </w:rPr>
        <w:t>Third Schedules.</w:t>
      </w:r>
    </w:p>
    <w:p w:rsidR="001D5F84" w:rsidRPr="00F1493E" w:rsidRDefault="00EA6D68" w:rsidP="00314642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F1493E">
        <w:rPr>
          <w:rFonts w:ascii="Times New Roman" w:hAnsi="Times New Roman"/>
          <w:b/>
        </w:rPr>
        <w:t>13.</w:t>
      </w:r>
      <w:r w:rsidR="001A32AE">
        <w:rPr>
          <w:rFonts w:ascii="Times New Roman" w:hAnsi="Times New Roman"/>
          <w:b/>
        </w:rPr>
        <w:tab/>
      </w:r>
      <w:r w:rsidR="008D3FA4" w:rsidRPr="00F1493E">
        <w:rPr>
          <w:rFonts w:ascii="Times New Roman" w:hAnsi="Times New Roman"/>
        </w:rPr>
        <w:t>The Principal Act is amended by omitting the Second and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Third Schedules thereto and inserting in their stead the following</w:t>
      </w:r>
      <w:r w:rsidR="002D6DDB">
        <w:rPr>
          <w:rFonts w:ascii="Times New Roman" w:hAnsi="Times New Roman"/>
        </w:rPr>
        <w:t xml:space="preserve"> </w:t>
      </w:r>
      <w:r w:rsidR="008D3FA4" w:rsidRPr="00F1493E">
        <w:rPr>
          <w:rFonts w:ascii="Times New Roman" w:hAnsi="Times New Roman"/>
        </w:rPr>
        <w:t>Schedules:—</w:t>
      </w:r>
    </w:p>
    <w:p w:rsidR="001D5F84" w:rsidRPr="00F1493E" w:rsidRDefault="00763E84" w:rsidP="00C8491D">
      <w:pPr>
        <w:tabs>
          <w:tab w:val="left" w:pos="8100"/>
        </w:tabs>
        <w:spacing w:before="120" w:after="120" w:line="240" w:lineRule="auto"/>
        <w:ind w:left="3067"/>
        <w:jc w:val="center"/>
        <w:rPr>
          <w:rFonts w:ascii="Times New Roman" w:hAnsi="Times New Roman"/>
        </w:rPr>
      </w:pPr>
      <w:r w:rsidRPr="00814DBA">
        <w:rPr>
          <w:rFonts w:ascii="Times New Roman" w:hAnsi="Times New Roman"/>
          <w:sz w:val="24"/>
        </w:rPr>
        <w:t>“</w:t>
      </w:r>
      <w:r w:rsidR="008D3FA4" w:rsidRPr="00814DBA">
        <w:rPr>
          <w:rFonts w:ascii="Times New Roman" w:hAnsi="Times New Roman"/>
          <w:sz w:val="24"/>
        </w:rPr>
        <w:t>THE SECOND SCHEDULE.</w:t>
      </w:r>
      <w:r w:rsidR="00A851ED">
        <w:rPr>
          <w:rFonts w:ascii="Times New Roman" w:hAnsi="Times New Roman"/>
        </w:rPr>
        <w:tab/>
      </w:r>
      <w:r w:rsidR="00A851ED" w:rsidRPr="00A851ED">
        <w:rPr>
          <w:rFonts w:ascii="Times New Roman" w:hAnsi="Times New Roman"/>
          <w:sz w:val="20"/>
          <w:szCs w:val="20"/>
        </w:rPr>
        <w:t>Section 10.</w:t>
      </w:r>
    </w:p>
    <w:p w:rsidR="002E61DB" w:rsidRPr="004E3024" w:rsidRDefault="002E61DB" w:rsidP="006A12F4">
      <w:pPr>
        <w:pBdr>
          <w:top w:val="single" w:sz="4" w:space="1" w:color="auto"/>
        </w:pBdr>
        <w:spacing w:after="0" w:line="240" w:lineRule="auto"/>
        <w:ind w:left="4176" w:right="4176"/>
        <w:jc w:val="center"/>
        <w:rPr>
          <w:rFonts w:ascii="Times New Roman" w:hAnsi="Times New Roman"/>
          <w:sz w:val="20"/>
        </w:rPr>
      </w:pPr>
    </w:p>
    <w:p w:rsidR="001D5F84" w:rsidRPr="00D52E18" w:rsidRDefault="008D3FA4" w:rsidP="00D52E18">
      <w:pPr>
        <w:spacing w:after="120" w:line="240" w:lineRule="auto"/>
        <w:jc w:val="center"/>
        <w:rPr>
          <w:rFonts w:ascii="Times New Roman" w:hAnsi="Times New Roman"/>
          <w:smallCaps/>
        </w:rPr>
      </w:pPr>
      <w:r w:rsidRPr="00D52E18">
        <w:rPr>
          <w:rFonts w:ascii="Times New Roman" w:hAnsi="Times New Roman"/>
          <w:smallCaps/>
        </w:rPr>
        <w:t>Industrial Diseases.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551"/>
      </w:tblGrid>
      <w:tr w:rsidR="001D5F84" w:rsidRPr="00F1493E" w:rsidTr="003A7967">
        <w:trPr>
          <w:trHeight w:val="20"/>
        </w:trPr>
        <w:tc>
          <w:tcPr>
            <w:tcW w:w="250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F84" w:rsidRPr="00F1493E" w:rsidRDefault="008D3FA4" w:rsidP="00814DBA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Description of Disease.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5F84" w:rsidRPr="00F1493E" w:rsidRDefault="008D3FA4" w:rsidP="00814DBA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Description of Process.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top w:val="single" w:sz="6" w:space="0" w:color="auto"/>
              <w:right w:val="single" w:sz="6" w:space="0" w:color="auto"/>
            </w:tcBorders>
          </w:tcPr>
          <w:p w:rsidR="001D5F84" w:rsidRPr="00F1493E" w:rsidRDefault="008D3FA4" w:rsidP="00AB77A3">
            <w:pPr>
              <w:tabs>
                <w:tab w:val="right" w:leader="dot" w:pos="450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Arsenic, phosphorus, lead, mercury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other mineral poisoning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</w:tcBorders>
          </w:tcPr>
          <w:p w:rsidR="001D5F84" w:rsidRPr="00F1493E" w:rsidRDefault="008D3FA4" w:rsidP="00AE27B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employment involving the use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handling of arsenic, phosphorus, lead,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mercury or other mineral, or their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preparations or compounds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8427D5">
            <w:pPr>
              <w:tabs>
                <w:tab w:val="right" w:leader="dot" w:pos="4500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Anthrax</w:t>
            </w:r>
            <w:r w:rsidR="008427D5">
              <w:rPr>
                <w:rFonts w:ascii="Times New Roman" w:hAnsi="Times New Roman"/>
              </w:rPr>
              <w:tab/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AE27B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proofErr w:type="spellStart"/>
            <w:r w:rsidRPr="00F1493E">
              <w:rPr>
                <w:rFonts w:ascii="Times New Roman" w:hAnsi="Times New Roman"/>
              </w:rPr>
              <w:t>Woolcombing</w:t>
            </w:r>
            <w:proofErr w:type="spellEnd"/>
            <w:r w:rsidRPr="00F1493E">
              <w:rPr>
                <w:rFonts w:ascii="Times New Roman" w:hAnsi="Times New Roman"/>
              </w:rPr>
              <w:t xml:space="preserve"> or </w:t>
            </w:r>
            <w:proofErr w:type="spellStart"/>
            <w:r w:rsidRPr="00F1493E">
              <w:rPr>
                <w:rFonts w:ascii="Times New Roman" w:hAnsi="Times New Roman"/>
              </w:rPr>
              <w:t>woolsorting</w:t>
            </w:r>
            <w:proofErr w:type="spellEnd"/>
            <w:r w:rsidRPr="00F1493E">
              <w:rPr>
                <w:rFonts w:ascii="Times New Roman" w:hAnsi="Times New Roman"/>
              </w:rPr>
              <w:t>; handling of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hides, skins, wool, hair, bristles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carcasses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8427D5">
            <w:pPr>
              <w:tabs>
                <w:tab w:val="right" w:leader="dot" w:pos="4500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infectious disease</w:t>
            </w:r>
            <w:r w:rsidR="008427D5">
              <w:rPr>
                <w:rFonts w:ascii="Times New Roman" w:hAnsi="Times New Roman"/>
              </w:rPr>
              <w:tab/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AE27B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employment in a hospital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quarantine station or in an ambulance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brigade or any employment involving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contact with the infectious sources of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the disease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06054B">
            <w:pPr>
              <w:spacing w:after="0" w:line="240" w:lineRule="auto"/>
              <w:ind w:left="144" w:hanging="144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 xml:space="preserve">Poisoning by </w:t>
            </w:r>
            <w:proofErr w:type="spellStart"/>
            <w:r w:rsidRPr="00F1493E">
              <w:rPr>
                <w:rFonts w:ascii="Times New Roman" w:hAnsi="Times New Roman"/>
              </w:rPr>
              <w:t>benzol</w:t>
            </w:r>
            <w:proofErr w:type="spellEnd"/>
            <w:r w:rsidRPr="00F1493E">
              <w:rPr>
                <w:rFonts w:ascii="Times New Roman" w:hAnsi="Times New Roman"/>
              </w:rPr>
              <w:t xml:space="preserve"> or its homologues,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or their derivatives, preparations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compounds</w:t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AE27B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 xml:space="preserve">Any process involving the use of </w:t>
            </w:r>
            <w:proofErr w:type="spellStart"/>
            <w:r w:rsidRPr="00F1493E">
              <w:rPr>
                <w:rFonts w:ascii="Times New Roman" w:hAnsi="Times New Roman"/>
              </w:rPr>
              <w:t>benzol</w:t>
            </w:r>
            <w:proofErr w:type="spellEnd"/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or its homologues, or their derivatives,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preparations or compounds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814D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Poisoning by hydrogen sulphide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carbon bisulphide</w:t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814DBA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process involving the use or hydrogen sulphide or carbon bisulphide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their preparations or compounds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F4391C">
            <w:pPr>
              <w:spacing w:after="0" w:line="240" w:lineRule="auto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Poisoning by nitrous or of her acid fumes</w:t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AE27B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process in which nitrous or other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acid fumes are evolved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F4391C">
            <w:pPr>
              <w:spacing w:after="0" w:line="240" w:lineRule="auto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Poisoning by cyanogen compounds</w:t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814DBA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process in which cyanogen compounds are used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F4391C">
            <w:pPr>
              <w:spacing w:after="0" w:line="240" w:lineRule="auto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Poisoning by carbon monoxide or carbon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dioxide</w:t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AE27B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process in which carbon monoxide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or carbon dioxide is used or evolved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422803">
            <w:pPr>
              <w:tabs>
                <w:tab w:val="right" w:leader="dot" w:pos="4500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Poisoning by</w:t>
            </w:r>
            <w:r w:rsidR="00E700BE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other toxic gas</w:t>
            </w:r>
            <w:r w:rsidR="00422803">
              <w:rPr>
                <w:rFonts w:ascii="Times New Roman" w:hAnsi="Times New Roman"/>
              </w:rPr>
              <w:tab/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AE27B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process in which the toxic gas is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used or evolved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422803">
            <w:pPr>
              <w:tabs>
                <w:tab w:val="right" w:leader="dot" w:pos="4500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Chrome ulceration</w:t>
            </w:r>
            <w:r w:rsidR="00422803">
              <w:rPr>
                <w:rFonts w:ascii="Times New Roman" w:hAnsi="Times New Roman"/>
              </w:rPr>
              <w:tab/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9911F9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process involving the use of chromic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 xml:space="preserve">acid, or </w:t>
            </w:r>
            <w:proofErr w:type="spellStart"/>
            <w:r w:rsidRPr="00F1493E">
              <w:rPr>
                <w:rFonts w:ascii="Times New Roman" w:hAnsi="Times New Roman"/>
              </w:rPr>
              <w:t>bichromate</w:t>
            </w:r>
            <w:proofErr w:type="spellEnd"/>
            <w:r w:rsidRPr="00F1493E">
              <w:rPr>
                <w:rFonts w:ascii="Times New Roman" w:hAnsi="Times New Roman"/>
              </w:rPr>
              <w:t xml:space="preserve"> of ammonium,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potassium or sodium, or their preparations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814DBA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Dermatitis produced by oil, grease, acids,</w:t>
            </w:r>
            <w:r w:rsidR="002D6DDB">
              <w:rPr>
                <w:rFonts w:ascii="Times New Roman" w:hAnsi="Times New Roman"/>
              </w:rPr>
              <w:t xml:space="preserve"> </w:t>
            </w:r>
            <w:proofErr w:type="spellStart"/>
            <w:r w:rsidRPr="00F1493E">
              <w:rPr>
                <w:rFonts w:ascii="Times New Roman" w:hAnsi="Times New Roman"/>
              </w:rPr>
              <w:t>alkalies</w:t>
            </w:r>
            <w:proofErr w:type="spellEnd"/>
            <w:r w:rsidRPr="00F1493E">
              <w:rPr>
                <w:rFonts w:ascii="Times New Roman" w:hAnsi="Times New Roman"/>
              </w:rPr>
              <w:t>, turpentine, tar, industrial solvents, radioactive radiations, cold,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heat, photosensitization or dust; or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ulceration of the mucous membranes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of the nose or mouth produced by dust</w:t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F4391C">
            <w:pPr>
              <w:spacing w:after="0" w:line="240" w:lineRule="auto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industrial process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right w:val="single" w:sz="6" w:space="0" w:color="auto"/>
            </w:tcBorders>
          </w:tcPr>
          <w:p w:rsidR="001D5F84" w:rsidRPr="00F1493E" w:rsidRDefault="008D3FA4" w:rsidP="00284E76">
            <w:pPr>
              <w:tabs>
                <w:tab w:val="right" w:leader="dot" w:pos="4500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proofErr w:type="spellStart"/>
            <w:r w:rsidRPr="00F1493E">
              <w:rPr>
                <w:rFonts w:ascii="Times New Roman" w:hAnsi="Times New Roman"/>
              </w:rPr>
              <w:t>Epithelioma</w:t>
            </w:r>
            <w:proofErr w:type="spellEnd"/>
            <w:r w:rsidRPr="00F1493E">
              <w:rPr>
                <w:rFonts w:ascii="Times New Roman" w:hAnsi="Times New Roman"/>
              </w:rPr>
              <w:t xml:space="preserve"> of the skin</w:t>
            </w:r>
            <w:r w:rsidR="00284E76">
              <w:rPr>
                <w:rFonts w:ascii="Times New Roman" w:hAnsi="Times New Roman"/>
              </w:rPr>
              <w:tab/>
            </w:r>
          </w:p>
        </w:tc>
        <w:tc>
          <w:tcPr>
            <w:tcW w:w="2498" w:type="pct"/>
            <w:tcBorders>
              <w:left w:val="single" w:sz="6" w:space="0" w:color="auto"/>
            </w:tcBorders>
          </w:tcPr>
          <w:p w:rsidR="001D5F84" w:rsidRPr="00F1493E" w:rsidRDefault="008D3FA4" w:rsidP="00814DBA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Any process involving the handling of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mineral oils, petrol, tar, tarry compounds or soot</w:t>
            </w:r>
          </w:p>
        </w:tc>
      </w:tr>
      <w:tr w:rsidR="001D5F84" w:rsidRPr="00F1493E" w:rsidTr="00EF5D1D">
        <w:trPr>
          <w:trHeight w:val="20"/>
        </w:trPr>
        <w:tc>
          <w:tcPr>
            <w:tcW w:w="2502" w:type="pct"/>
            <w:tcBorders>
              <w:bottom w:val="single" w:sz="6" w:space="0" w:color="auto"/>
              <w:right w:val="single" w:sz="6" w:space="0" w:color="auto"/>
            </w:tcBorders>
          </w:tcPr>
          <w:p w:rsidR="001D5F84" w:rsidRPr="00F1493E" w:rsidRDefault="008D3FA4" w:rsidP="00284E76">
            <w:pPr>
              <w:tabs>
                <w:tab w:val="right" w:leader="dot" w:pos="4500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Pneumoconiosis</w:t>
            </w:r>
            <w:r w:rsidR="00284E76">
              <w:rPr>
                <w:rFonts w:ascii="Times New Roman" w:hAnsi="Times New Roman"/>
              </w:rPr>
              <w:tab/>
            </w:r>
          </w:p>
        </w:tc>
        <w:tc>
          <w:tcPr>
            <w:tcW w:w="2498" w:type="pct"/>
            <w:tcBorders>
              <w:left w:val="single" w:sz="6" w:space="0" w:color="auto"/>
              <w:bottom w:val="single" w:sz="6" w:space="0" w:color="auto"/>
            </w:tcBorders>
          </w:tcPr>
          <w:p w:rsidR="001D5F84" w:rsidRPr="00F1493E" w:rsidRDefault="008D3FA4" w:rsidP="00546603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F1493E">
              <w:rPr>
                <w:rFonts w:ascii="Times New Roman" w:hAnsi="Times New Roman"/>
              </w:rPr>
              <w:t>Quarrying or stone crushing or cutting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or any process involving the inhalation</w:t>
            </w:r>
            <w:r w:rsidR="002D6DDB">
              <w:rPr>
                <w:rFonts w:ascii="Times New Roman" w:hAnsi="Times New Roman"/>
              </w:rPr>
              <w:t xml:space="preserve"> </w:t>
            </w:r>
            <w:r w:rsidRPr="00F1493E">
              <w:rPr>
                <w:rFonts w:ascii="Times New Roman" w:hAnsi="Times New Roman"/>
              </w:rPr>
              <w:t>of dust</w:t>
            </w:r>
          </w:p>
        </w:tc>
      </w:tr>
    </w:tbl>
    <w:p w:rsidR="00446439" w:rsidRPr="00F1493E" w:rsidRDefault="00446439" w:rsidP="00FD1203">
      <w:pPr>
        <w:spacing w:after="6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763E84" w:rsidRPr="000C0B0E">
        <w:rPr>
          <w:rFonts w:ascii="Times New Roman" w:hAnsi="Times New Roman"/>
          <w:sz w:val="24"/>
        </w:rPr>
        <w:lastRenderedPageBreak/>
        <w:t>“</w:t>
      </w:r>
      <w:r w:rsidRPr="000C0B0E">
        <w:rPr>
          <w:rFonts w:ascii="Times New Roman" w:hAnsi="Times New Roman"/>
          <w:sz w:val="24"/>
        </w:rPr>
        <w:t>THE SECOND SCHEDULE</w:t>
      </w:r>
      <w:r w:rsidRPr="00F1493E">
        <w:rPr>
          <w:rFonts w:ascii="Times New Roman" w:hAnsi="Times New Roman"/>
        </w:rPr>
        <w:t>—</w:t>
      </w:r>
      <w:r w:rsidRPr="00F1493E">
        <w:rPr>
          <w:rFonts w:ascii="Times New Roman" w:hAnsi="Times New Roman"/>
          <w:i/>
        </w:rPr>
        <w:t>continued.</w:t>
      </w:r>
    </w:p>
    <w:p w:rsidR="00446439" w:rsidRPr="00F1493E" w:rsidRDefault="00446439" w:rsidP="008955A3">
      <w:pPr>
        <w:spacing w:after="0" w:line="240" w:lineRule="auto"/>
        <w:jc w:val="center"/>
        <w:rPr>
          <w:rFonts w:ascii="Times New Roman" w:hAnsi="Times New Roman"/>
        </w:rPr>
      </w:pPr>
      <w:r w:rsidRPr="008955A3">
        <w:rPr>
          <w:rFonts w:ascii="Times New Roman" w:hAnsi="Times New Roman"/>
          <w:smallCaps/>
        </w:rPr>
        <w:t>Industrial Diseases</w:t>
      </w:r>
      <w:r w:rsidRPr="00F1493E">
        <w:rPr>
          <w:rFonts w:ascii="Times New Roman" w:hAnsi="Times New Roman"/>
        </w:rPr>
        <w:t>—</w:t>
      </w:r>
      <w:r w:rsidRPr="00F1493E">
        <w:rPr>
          <w:rFonts w:ascii="Times New Roman" w:hAnsi="Times New Roman"/>
          <w:i/>
        </w:rPr>
        <w:t>continued.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6"/>
        <w:gridCol w:w="4533"/>
      </w:tblGrid>
      <w:tr w:rsidR="00446439" w:rsidRPr="00D55A35" w:rsidTr="00AF4794">
        <w:trPr>
          <w:trHeight w:val="20"/>
        </w:trPr>
        <w:tc>
          <w:tcPr>
            <w:tcW w:w="25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439" w:rsidRPr="00D55A35" w:rsidRDefault="00446439" w:rsidP="000C0B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Description of Disease.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6439" w:rsidRPr="00D55A35" w:rsidRDefault="00446439" w:rsidP="000C0B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Description of Process.</w:t>
            </w: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top w:val="single" w:sz="6" w:space="0" w:color="auto"/>
              <w:right w:val="single" w:sz="6" w:space="0" w:color="auto"/>
            </w:tcBorders>
          </w:tcPr>
          <w:p w:rsidR="00446439" w:rsidRPr="00D55A35" w:rsidRDefault="00446439" w:rsidP="000C0B0E">
            <w:pPr>
              <w:tabs>
                <w:tab w:val="right" w:leader="dot" w:pos="450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Nystagmus</w:t>
            </w:r>
            <w:r w:rsidR="008650E8" w:rsidRPr="00D55A35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488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446439" w:rsidRPr="00D55A35" w:rsidRDefault="000C6343" w:rsidP="006B1662">
            <w:pPr>
              <w:spacing w:before="78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-.6pt;margin-top:-.1pt;width:3.55pt;height:82.65pt;z-index:251658240;mso-position-horizontal-relative:text;mso-position-vertical-relative:text"/>
              </w:pict>
            </w:r>
            <w:r w:rsidR="00446439" w:rsidRPr="00D55A35">
              <w:rPr>
                <w:rFonts w:ascii="Times New Roman" w:hAnsi="Times New Roman"/>
                <w:sz w:val="20"/>
              </w:rPr>
              <w:t>Mining, quarrying or stone crushing or cutting</w:t>
            </w: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right w:val="single" w:sz="6" w:space="0" w:color="auto"/>
            </w:tcBorders>
          </w:tcPr>
          <w:p w:rsidR="00446439" w:rsidRPr="00D55A35" w:rsidRDefault="00446439" w:rsidP="000C0B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Subcutaneous cellulitis of the hand (</w:t>
            </w:r>
            <w:r w:rsidR="000C0B0E" w:rsidRPr="00D55A35">
              <w:rPr>
                <w:rFonts w:ascii="Times New Roman" w:hAnsi="Times New Roman"/>
                <w:sz w:val="20"/>
              </w:rPr>
              <w:t>b</w:t>
            </w:r>
            <w:r w:rsidRPr="00D55A35">
              <w:rPr>
                <w:rFonts w:ascii="Times New Roman" w:hAnsi="Times New Roman"/>
                <w:sz w:val="20"/>
              </w:rPr>
              <w:t>eat hand)</w:t>
            </w:r>
          </w:p>
        </w:tc>
        <w:tc>
          <w:tcPr>
            <w:tcW w:w="2488" w:type="pct"/>
            <w:vMerge/>
            <w:tcBorders>
              <w:top w:val="single" w:sz="6" w:space="0" w:color="auto"/>
              <w:left w:val="single" w:sz="6" w:space="0" w:color="auto"/>
            </w:tcBorders>
          </w:tcPr>
          <w:p w:rsidR="00446439" w:rsidRPr="00D55A35" w:rsidRDefault="00446439" w:rsidP="001A08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right w:val="single" w:sz="6" w:space="0" w:color="auto"/>
            </w:tcBorders>
          </w:tcPr>
          <w:p w:rsidR="00446439" w:rsidRPr="00D55A35" w:rsidRDefault="00446439" w:rsidP="000C0B0E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Subcutaneous cellulitis over the patella (miner</w:t>
            </w:r>
            <w:r w:rsidR="00763E84" w:rsidRPr="00D55A35">
              <w:rPr>
                <w:rFonts w:ascii="Times New Roman" w:hAnsi="Times New Roman"/>
                <w:sz w:val="20"/>
              </w:rPr>
              <w:t>’</w:t>
            </w:r>
            <w:r w:rsidRPr="00D55A35">
              <w:rPr>
                <w:rFonts w:ascii="Times New Roman" w:hAnsi="Times New Roman"/>
                <w:sz w:val="20"/>
              </w:rPr>
              <w:t>s beat knee)</w:t>
            </w:r>
          </w:p>
        </w:tc>
        <w:tc>
          <w:tcPr>
            <w:tcW w:w="2488" w:type="pct"/>
            <w:vMerge/>
            <w:tcBorders>
              <w:top w:val="single" w:sz="6" w:space="0" w:color="auto"/>
              <w:left w:val="single" w:sz="6" w:space="0" w:color="auto"/>
            </w:tcBorders>
          </w:tcPr>
          <w:p w:rsidR="00446439" w:rsidRPr="00D55A35" w:rsidRDefault="00446439" w:rsidP="001A08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right w:val="single" w:sz="6" w:space="0" w:color="auto"/>
            </w:tcBorders>
          </w:tcPr>
          <w:p w:rsidR="00446439" w:rsidRPr="00D55A35" w:rsidRDefault="00446439" w:rsidP="000C0B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Acute bursitis over the elbow (miner</w:t>
            </w:r>
            <w:r w:rsidR="00763E84" w:rsidRPr="00D55A35">
              <w:rPr>
                <w:rFonts w:ascii="Times New Roman" w:hAnsi="Times New Roman"/>
                <w:sz w:val="20"/>
              </w:rPr>
              <w:t>’</w:t>
            </w:r>
            <w:r w:rsidRPr="00D55A35">
              <w:rPr>
                <w:rFonts w:ascii="Times New Roman" w:hAnsi="Times New Roman"/>
                <w:sz w:val="20"/>
              </w:rPr>
              <w:t>s beat elbow)</w:t>
            </w:r>
          </w:p>
        </w:tc>
        <w:tc>
          <w:tcPr>
            <w:tcW w:w="2488" w:type="pct"/>
            <w:vMerge/>
            <w:tcBorders>
              <w:top w:val="single" w:sz="6" w:space="0" w:color="auto"/>
              <w:left w:val="single" w:sz="6" w:space="0" w:color="auto"/>
            </w:tcBorders>
          </w:tcPr>
          <w:p w:rsidR="00446439" w:rsidRPr="00D55A35" w:rsidRDefault="00446439" w:rsidP="001A08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right w:val="single" w:sz="6" w:space="0" w:color="auto"/>
            </w:tcBorders>
          </w:tcPr>
          <w:p w:rsidR="00446439" w:rsidRPr="00D55A35" w:rsidRDefault="00446439" w:rsidP="000C0B0E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Inflammation of the synovial lining of the wrist joint and tendon sheath</w:t>
            </w:r>
          </w:p>
        </w:tc>
        <w:tc>
          <w:tcPr>
            <w:tcW w:w="2488" w:type="pct"/>
            <w:vMerge/>
            <w:tcBorders>
              <w:top w:val="single" w:sz="6" w:space="0" w:color="auto"/>
              <w:left w:val="single" w:sz="6" w:space="0" w:color="auto"/>
            </w:tcBorders>
          </w:tcPr>
          <w:p w:rsidR="00446439" w:rsidRPr="00D55A35" w:rsidRDefault="00446439" w:rsidP="001A08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right w:val="single" w:sz="6" w:space="0" w:color="auto"/>
            </w:tcBorders>
          </w:tcPr>
          <w:p w:rsidR="00446439" w:rsidRPr="00D55A35" w:rsidRDefault="00446439" w:rsidP="000C0B0E">
            <w:pPr>
              <w:tabs>
                <w:tab w:val="right" w:leader="dot" w:pos="450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Telegraphist</w:t>
            </w:r>
            <w:r w:rsidR="00763E84" w:rsidRPr="00D55A35">
              <w:rPr>
                <w:rFonts w:ascii="Times New Roman" w:hAnsi="Times New Roman"/>
                <w:sz w:val="20"/>
              </w:rPr>
              <w:t>’</w:t>
            </w:r>
            <w:r w:rsidRPr="00D55A35">
              <w:rPr>
                <w:rFonts w:ascii="Times New Roman" w:hAnsi="Times New Roman"/>
                <w:sz w:val="20"/>
              </w:rPr>
              <w:t>s cramp</w:t>
            </w:r>
            <w:r w:rsidR="008650E8" w:rsidRPr="00D55A35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488" w:type="pct"/>
            <w:tcBorders>
              <w:left w:val="single" w:sz="6" w:space="0" w:color="auto"/>
            </w:tcBorders>
          </w:tcPr>
          <w:p w:rsidR="00446439" w:rsidRPr="00D55A35" w:rsidRDefault="00446439" w:rsidP="001A08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Telegraphy</w:t>
            </w: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right w:val="single" w:sz="6" w:space="0" w:color="auto"/>
            </w:tcBorders>
          </w:tcPr>
          <w:p w:rsidR="00446439" w:rsidRPr="00D55A35" w:rsidRDefault="00446439" w:rsidP="000C0B0E">
            <w:pPr>
              <w:tabs>
                <w:tab w:val="right" w:leader="dot" w:pos="450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Compressed air illness</w:t>
            </w:r>
            <w:r w:rsidR="008650E8" w:rsidRPr="00D55A35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488" w:type="pct"/>
            <w:tcBorders>
              <w:left w:val="single" w:sz="6" w:space="0" w:color="auto"/>
            </w:tcBorders>
          </w:tcPr>
          <w:p w:rsidR="00446439" w:rsidRPr="00D55A35" w:rsidRDefault="00446439" w:rsidP="001A08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Employment as divers or caisson workers</w:t>
            </w:r>
          </w:p>
        </w:tc>
      </w:tr>
      <w:tr w:rsidR="00446439" w:rsidRPr="00D55A35" w:rsidTr="00AF4794">
        <w:trPr>
          <w:trHeight w:val="20"/>
        </w:trPr>
        <w:tc>
          <w:tcPr>
            <w:tcW w:w="2512" w:type="pct"/>
            <w:tcBorders>
              <w:bottom w:val="single" w:sz="6" w:space="0" w:color="auto"/>
              <w:right w:val="single" w:sz="6" w:space="0" w:color="auto"/>
            </w:tcBorders>
          </w:tcPr>
          <w:p w:rsidR="00446439" w:rsidRPr="00D55A35" w:rsidRDefault="00446439" w:rsidP="000C0B0E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Inflammation of the synovial lining of tendon sheaths</w:t>
            </w:r>
          </w:p>
        </w:tc>
        <w:tc>
          <w:tcPr>
            <w:tcW w:w="2488" w:type="pct"/>
            <w:tcBorders>
              <w:left w:val="single" w:sz="6" w:space="0" w:color="auto"/>
              <w:bottom w:val="single" w:sz="6" w:space="0" w:color="auto"/>
            </w:tcBorders>
          </w:tcPr>
          <w:p w:rsidR="00446439" w:rsidRPr="00D55A35" w:rsidRDefault="00446439" w:rsidP="001A5865">
            <w:pPr>
              <w:spacing w:after="0" w:line="240" w:lineRule="auto"/>
              <w:ind w:left="288" w:hanging="288"/>
              <w:rPr>
                <w:rFonts w:ascii="Times New Roman" w:hAnsi="Times New Roman"/>
                <w:sz w:val="20"/>
              </w:rPr>
            </w:pPr>
            <w:r w:rsidRPr="00D55A35">
              <w:rPr>
                <w:rFonts w:ascii="Times New Roman" w:hAnsi="Times New Roman"/>
                <w:sz w:val="20"/>
              </w:rPr>
              <w:t>Any industrial</w:t>
            </w:r>
            <w:r w:rsidR="00763E84" w:rsidRPr="00D55A35">
              <w:rPr>
                <w:rFonts w:ascii="Times New Roman" w:hAnsi="Times New Roman"/>
                <w:sz w:val="20"/>
              </w:rPr>
              <w:t xml:space="preserve"> </w:t>
            </w:r>
            <w:r w:rsidRPr="00D55A35">
              <w:rPr>
                <w:rFonts w:ascii="Times New Roman" w:hAnsi="Times New Roman"/>
                <w:sz w:val="20"/>
              </w:rPr>
              <w:t>process</w:t>
            </w:r>
            <w:r w:rsidR="00763E84" w:rsidRPr="00D55A35">
              <w:rPr>
                <w:rFonts w:ascii="Times New Roman" w:hAnsi="Times New Roman"/>
                <w:sz w:val="20"/>
              </w:rPr>
              <w:t xml:space="preserve"> </w:t>
            </w:r>
            <w:r w:rsidRPr="00D55A35">
              <w:rPr>
                <w:rFonts w:ascii="Times New Roman" w:hAnsi="Times New Roman"/>
                <w:sz w:val="20"/>
              </w:rPr>
              <w:t>involving the excessive use of the affected tendons</w:t>
            </w:r>
          </w:p>
        </w:tc>
      </w:tr>
    </w:tbl>
    <w:p w:rsidR="00446439" w:rsidRPr="00F1493E" w:rsidRDefault="00446439" w:rsidP="007F72E3">
      <w:pPr>
        <w:spacing w:before="120" w:after="0" w:line="240" w:lineRule="auto"/>
        <w:jc w:val="center"/>
        <w:rPr>
          <w:rFonts w:ascii="Times New Roman" w:hAnsi="Times New Roman"/>
        </w:rPr>
      </w:pPr>
      <w:r w:rsidRPr="00183B83">
        <w:rPr>
          <w:rFonts w:ascii="Times New Roman" w:hAnsi="Times New Roman"/>
          <w:sz w:val="24"/>
        </w:rPr>
        <w:t>THE THIRD SCHEDULE.</w:t>
      </w:r>
    </w:p>
    <w:p w:rsidR="00446439" w:rsidRPr="00641D97" w:rsidRDefault="00446439" w:rsidP="00641D97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41D97">
        <w:rPr>
          <w:rFonts w:ascii="Times New Roman" w:hAnsi="Times New Roman"/>
          <w:sz w:val="20"/>
        </w:rPr>
        <w:t>Section 12.</w:t>
      </w:r>
    </w:p>
    <w:p w:rsidR="00446439" w:rsidRPr="00831E5A" w:rsidRDefault="00446439" w:rsidP="00831E5A">
      <w:pPr>
        <w:spacing w:after="120" w:line="240" w:lineRule="auto"/>
        <w:jc w:val="center"/>
        <w:rPr>
          <w:rFonts w:ascii="Times New Roman" w:hAnsi="Times New Roman"/>
          <w:smallCaps/>
        </w:rPr>
      </w:pPr>
      <w:r w:rsidRPr="00831E5A">
        <w:rPr>
          <w:rFonts w:ascii="Times New Roman" w:hAnsi="Times New Roman"/>
          <w:smallCaps/>
        </w:rPr>
        <w:t>Compensation for Specified Injuries.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6"/>
        <w:gridCol w:w="1042"/>
        <w:gridCol w:w="505"/>
        <w:gridCol w:w="576"/>
      </w:tblGrid>
      <w:tr w:rsidR="00446439" w:rsidRPr="00D55A35" w:rsidTr="00345415">
        <w:trPr>
          <w:trHeight w:val="20"/>
        </w:trPr>
        <w:tc>
          <w:tcPr>
            <w:tcW w:w="38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439" w:rsidRPr="00D55A35" w:rsidRDefault="00446439" w:rsidP="00DE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Nature of Injury.</w:t>
            </w:r>
          </w:p>
        </w:tc>
        <w:tc>
          <w:tcPr>
            <w:tcW w:w="11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46439" w:rsidRPr="00D55A35" w:rsidRDefault="00446439" w:rsidP="00DE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Amount Payable.</w:t>
            </w:r>
          </w:p>
        </w:tc>
      </w:tr>
      <w:tr w:rsidR="00446439" w:rsidRPr="00D55A35" w:rsidTr="0094296F">
        <w:trPr>
          <w:trHeight w:val="20"/>
        </w:trPr>
        <w:tc>
          <w:tcPr>
            <w:tcW w:w="3835" w:type="pct"/>
            <w:tcBorders>
              <w:top w:val="single" w:sz="6" w:space="0" w:color="auto"/>
              <w:right w:val="single" w:sz="6" w:space="0" w:color="auto"/>
            </w:tcBorders>
          </w:tcPr>
          <w:p w:rsidR="00446439" w:rsidRPr="00D55A35" w:rsidRDefault="00446439" w:rsidP="001A08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</w:tcBorders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£</w:t>
            </w:r>
          </w:p>
        </w:tc>
        <w:tc>
          <w:tcPr>
            <w:tcW w:w="277" w:type="pct"/>
            <w:tcBorders>
              <w:top w:val="single" w:sz="6" w:space="0" w:color="auto"/>
            </w:tcBorders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i/>
                <w:sz w:val="18"/>
              </w:rPr>
              <w:t>s.</w:t>
            </w:r>
          </w:p>
        </w:tc>
        <w:tc>
          <w:tcPr>
            <w:tcW w:w="316" w:type="pct"/>
            <w:tcBorders>
              <w:top w:val="single" w:sz="6" w:space="0" w:color="auto"/>
            </w:tcBorders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i/>
                <w:sz w:val="18"/>
              </w:rPr>
              <w:t>d.</w:t>
            </w:r>
          </w:p>
        </w:tc>
      </w:tr>
      <w:tr w:rsidR="00446439" w:rsidRPr="00D55A35" w:rsidTr="0094296F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both eyes</w:t>
            </w:r>
            <w:r w:rsidR="00D24244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0C6343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  <w:lang w:val="en-US" w:eastAsia="en-US"/>
              </w:rPr>
              <w:pict>
                <v:shape id="_x0000_s1027" type="#_x0000_t88" style="position:absolute;left:0;text-align:left;margin-left:-.95pt;margin-top:1.6pt;width:3.55pt;height:60.85pt;z-index:251659264;mso-position-horizontal-relative:text;mso-position-vertical-relative:text" adj=",12044"/>
              </w:pict>
            </w:r>
          </w:p>
        </w:tc>
        <w:tc>
          <w:tcPr>
            <w:tcW w:w="277" w:type="pct"/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6439" w:rsidRPr="00D55A35" w:rsidTr="0094296F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both hands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7" w:type="pct"/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6439" w:rsidRPr="00D55A35" w:rsidTr="0094296F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both feet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7" w:type="pct"/>
          </w:tcPr>
          <w:p w:rsidR="00446439" w:rsidRPr="00D55A35" w:rsidRDefault="00446439" w:rsidP="003D76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hand and foot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1F3A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800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Total and incurable loss of mental powers, involving inability to work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Total and incurable paralysis of limbs or mental powers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sight of one eye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400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sight of an only useful eye, the other being blind or absent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800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one eye, with serious diminution of the sight of the other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675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hearing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640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Complete deafness of one ear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right arm or greater part thereof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720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left arm or greater part thereof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675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lower part of right arm, right hand or five fingers of right hand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640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lower part of left arm, left hand or five fingers of left hand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600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leg above knee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640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leg below knee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600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foot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560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right thumb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240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left thumb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225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right forefinger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left forefinger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150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right little finger, middle finger or ring finger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left little finger, middle finger or ring finger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phalanx of right thumb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277" w:type="pct"/>
          </w:tcPr>
          <w:p w:rsidR="00446439" w:rsidRPr="00D55A35" w:rsidRDefault="00446439" w:rsidP="002B01E1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phalanx of left thumb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277" w:type="pct"/>
          </w:tcPr>
          <w:p w:rsidR="00446439" w:rsidRPr="00D55A35" w:rsidRDefault="00446439" w:rsidP="002B01E1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5E26AB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D55A35">
            <w:pPr>
              <w:tabs>
                <w:tab w:val="right" w:leader="dot" w:pos="68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portion of terminal segment of right thumb, involving one third of its flexor surface without loss of phalanx</w:t>
            </w:r>
            <w:r w:rsidR="00924BE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  <w:vAlign w:val="bottom"/>
          </w:tcPr>
          <w:p w:rsidR="00446439" w:rsidRPr="00D55A35" w:rsidRDefault="00446439" w:rsidP="005E2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277" w:type="pct"/>
            <w:vAlign w:val="bottom"/>
          </w:tcPr>
          <w:p w:rsidR="00446439" w:rsidRPr="00D55A35" w:rsidRDefault="00446439" w:rsidP="005E26A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  <w:vAlign w:val="bottom"/>
          </w:tcPr>
          <w:p w:rsidR="00446439" w:rsidRPr="00D55A35" w:rsidRDefault="00446439" w:rsidP="005E2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5E26AB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portion of terminal segment of left thumb, involving one third of its flexor surface without loss of phalanx</w:t>
            </w:r>
            <w:r w:rsidR="00BB4C10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  <w:vAlign w:val="bottom"/>
          </w:tcPr>
          <w:p w:rsidR="00446439" w:rsidRPr="00D55A35" w:rsidRDefault="00446439" w:rsidP="005E2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277" w:type="pct"/>
            <w:vAlign w:val="bottom"/>
          </w:tcPr>
          <w:p w:rsidR="00446439" w:rsidRPr="00D55A35" w:rsidRDefault="00446439" w:rsidP="005E2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16" w:type="pct"/>
            <w:vAlign w:val="bottom"/>
          </w:tcPr>
          <w:p w:rsidR="00446439" w:rsidRPr="00D55A35" w:rsidRDefault="00446439" w:rsidP="005E26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total movement of joint of right thumb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277" w:type="pct"/>
          </w:tcPr>
          <w:p w:rsidR="00446439" w:rsidRPr="00D55A35" w:rsidRDefault="00446439" w:rsidP="0001052C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total movement of joint of left thumb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277" w:type="pct"/>
          </w:tcPr>
          <w:p w:rsidR="00446439" w:rsidRPr="00D55A35" w:rsidRDefault="00446439" w:rsidP="00CF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C848BA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two phalanges or joints of finger of right hand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277" w:type="pct"/>
          </w:tcPr>
          <w:p w:rsidR="00446439" w:rsidRPr="00D55A35" w:rsidRDefault="00446439" w:rsidP="0001052C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two phalanges or joints of finger of left hand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304ECF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277" w:type="pct"/>
          </w:tcPr>
          <w:p w:rsidR="00446439" w:rsidRPr="00D55A35" w:rsidRDefault="00446439" w:rsidP="0001052C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phalanx or joint of finger of right hand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304ECF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277" w:type="pct"/>
          </w:tcPr>
          <w:p w:rsidR="00446439" w:rsidRPr="00D55A35" w:rsidRDefault="00446439" w:rsidP="0001052C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phalanx or joint of finger of left hand</w:t>
            </w:r>
            <w:r w:rsidR="00983478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304ECF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277" w:type="pct"/>
          </w:tcPr>
          <w:p w:rsidR="00446439" w:rsidRPr="00D55A35" w:rsidRDefault="00446439" w:rsidP="0001052C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34541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great toe</w:t>
            </w:r>
            <w:r w:rsidR="0003660A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AE4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277" w:type="pct"/>
          </w:tcPr>
          <w:p w:rsidR="00446439" w:rsidRPr="00D55A35" w:rsidRDefault="00446439" w:rsidP="0001129D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5B77B5">
        <w:trPr>
          <w:trHeight w:val="20"/>
        </w:trPr>
        <w:tc>
          <w:tcPr>
            <w:tcW w:w="3835" w:type="pct"/>
            <w:tcBorders>
              <w:right w:val="single" w:sz="6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phalanx or joint of great toe</w:t>
            </w:r>
            <w:r w:rsidR="0003660A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6" w:space="0" w:color="auto"/>
            </w:tcBorders>
          </w:tcPr>
          <w:p w:rsidR="00446439" w:rsidRPr="00D55A35" w:rsidRDefault="00446439" w:rsidP="005B77B5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277" w:type="pct"/>
          </w:tcPr>
          <w:p w:rsidR="00446439" w:rsidRPr="00D55A35" w:rsidRDefault="00446439" w:rsidP="0001129D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5B77B5">
        <w:trPr>
          <w:trHeight w:val="20"/>
        </w:trPr>
        <w:tc>
          <w:tcPr>
            <w:tcW w:w="3835" w:type="pct"/>
            <w:tcBorders>
              <w:right w:val="single" w:sz="4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any other toe</w:t>
            </w:r>
            <w:r w:rsidR="0003660A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4" w:space="0" w:color="auto"/>
            </w:tcBorders>
          </w:tcPr>
          <w:p w:rsidR="00446439" w:rsidRPr="00D55A35" w:rsidRDefault="00446439" w:rsidP="005B77B5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277" w:type="pct"/>
          </w:tcPr>
          <w:p w:rsidR="00446439" w:rsidRPr="00D55A35" w:rsidRDefault="00446439" w:rsidP="0001129D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5B77B5">
        <w:trPr>
          <w:trHeight w:val="20"/>
        </w:trPr>
        <w:tc>
          <w:tcPr>
            <w:tcW w:w="3835" w:type="pct"/>
            <w:tcBorders>
              <w:right w:val="single" w:sz="4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two phalanges or joints of any other toes</w:t>
            </w:r>
            <w:r w:rsidR="0003660A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4" w:space="0" w:color="auto"/>
            </w:tcBorders>
          </w:tcPr>
          <w:p w:rsidR="00446439" w:rsidRPr="00D55A35" w:rsidRDefault="00446439" w:rsidP="005B77B5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277" w:type="pct"/>
          </w:tcPr>
          <w:p w:rsidR="00446439" w:rsidRPr="00D55A35" w:rsidRDefault="00446439" w:rsidP="0001129D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  <w:tr w:rsidR="00446439" w:rsidRPr="00D55A35" w:rsidTr="005B77B5">
        <w:trPr>
          <w:trHeight w:val="20"/>
        </w:trPr>
        <w:tc>
          <w:tcPr>
            <w:tcW w:w="3835" w:type="pct"/>
            <w:tcBorders>
              <w:bottom w:val="single" w:sz="6" w:space="0" w:color="auto"/>
              <w:right w:val="single" w:sz="4" w:space="0" w:color="auto"/>
            </w:tcBorders>
          </w:tcPr>
          <w:p w:rsidR="00446439" w:rsidRPr="00D55A35" w:rsidRDefault="00446439" w:rsidP="00B750D4">
            <w:pPr>
              <w:tabs>
                <w:tab w:val="right" w:leader="dot" w:pos="6840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Loss of phalanx or joint of any other toe</w:t>
            </w:r>
            <w:r w:rsidR="0003660A" w:rsidRPr="00D55A35"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572" w:type="pct"/>
            <w:tcBorders>
              <w:left w:val="single" w:sz="4" w:space="0" w:color="auto"/>
              <w:bottom w:val="single" w:sz="6" w:space="0" w:color="auto"/>
            </w:tcBorders>
          </w:tcPr>
          <w:p w:rsidR="00446439" w:rsidRPr="00D55A35" w:rsidRDefault="00446439" w:rsidP="005B77B5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277" w:type="pct"/>
            <w:tcBorders>
              <w:bottom w:val="single" w:sz="6" w:space="0" w:color="auto"/>
            </w:tcBorders>
          </w:tcPr>
          <w:p w:rsidR="00446439" w:rsidRPr="00D55A35" w:rsidRDefault="00446439" w:rsidP="0001129D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16" w:type="pct"/>
            <w:tcBorders>
              <w:bottom w:val="single" w:sz="6" w:space="0" w:color="auto"/>
            </w:tcBorders>
          </w:tcPr>
          <w:p w:rsidR="00446439" w:rsidRPr="00D55A35" w:rsidRDefault="00446439" w:rsidP="00306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55A35">
              <w:rPr>
                <w:rFonts w:ascii="Times New Roman" w:hAnsi="Times New Roman"/>
                <w:sz w:val="18"/>
              </w:rPr>
              <w:t>0</w:t>
            </w:r>
          </w:p>
        </w:tc>
      </w:tr>
    </w:tbl>
    <w:p w:rsidR="00446439" w:rsidRPr="00F1493E" w:rsidRDefault="00446439" w:rsidP="0061377C">
      <w:pPr>
        <w:spacing w:after="0" w:line="240" w:lineRule="auto"/>
        <w:rPr>
          <w:rFonts w:ascii="Times New Roman" w:hAnsi="Times New Roman"/>
        </w:rPr>
      </w:pPr>
    </w:p>
    <w:sectPr w:rsidR="00446439" w:rsidRPr="00F1493E" w:rsidSect="00F05CCF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65" w:rsidRDefault="00D65D65" w:rsidP="00372DB1">
      <w:pPr>
        <w:spacing w:after="0" w:line="240" w:lineRule="auto"/>
      </w:pPr>
      <w:r>
        <w:separator/>
      </w:r>
    </w:p>
  </w:endnote>
  <w:endnote w:type="continuationSeparator" w:id="0">
    <w:p w:rsidR="00D65D65" w:rsidRDefault="00D65D65" w:rsidP="0037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65" w:rsidRDefault="00D65D65" w:rsidP="00372DB1">
      <w:pPr>
        <w:spacing w:after="0" w:line="240" w:lineRule="auto"/>
      </w:pPr>
      <w:r>
        <w:separator/>
      </w:r>
    </w:p>
  </w:footnote>
  <w:footnote w:type="continuationSeparator" w:id="0">
    <w:p w:rsidR="00D65D65" w:rsidRDefault="00D65D65" w:rsidP="0037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B1" w:rsidRPr="00372DB1" w:rsidRDefault="00372DB1">
    <w:pPr>
      <w:pStyle w:val="Header"/>
      <w:rPr>
        <w:rFonts w:ascii="Times New Roman" w:hAnsi="Times New Roman"/>
        <w:sz w:val="20"/>
      </w:rPr>
    </w:pPr>
    <w:r w:rsidRPr="00372DB1">
      <w:rPr>
        <w:rFonts w:ascii="Times New Roman" w:hAnsi="Times New Roman"/>
        <w:sz w:val="20"/>
      </w:rPr>
      <w:t>No. 8.</w:t>
    </w:r>
    <w:r w:rsidRPr="00372DB1">
      <w:rPr>
        <w:rFonts w:ascii="Times New Roman" w:hAnsi="Times New Roman"/>
        <w:sz w:val="20"/>
      </w:rPr>
      <w:ptab w:relativeTo="margin" w:alignment="center" w:leader="none"/>
    </w:r>
    <w:r w:rsidRPr="00372DB1">
      <w:rPr>
        <w:rFonts w:ascii="Times New Roman" w:hAnsi="Times New Roman"/>
        <w:i/>
        <w:sz w:val="20"/>
      </w:rPr>
      <w:t>Commonwealth Employees</w:t>
    </w:r>
    <w:r w:rsidR="00CA265E">
      <w:rPr>
        <w:rFonts w:ascii="Times New Roman" w:hAnsi="Times New Roman"/>
        <w:i/>
        <w:sz w:val="20"/>
      </w:rPr>
      <w:t>’</w:t>
    </w:r>
    <w:r w:rsidRPr="00372DB1">
      <w:rPr>
        <w:rFonts w:ascii="Times New Roman" w:hAnsi="Times New Roman"/>
        <w:i/>
        <w:sz w:val="20"/>
      </w:rPr>
      <w:t xml:space="preserve"> Compensation.</w:t>
    </w:r>
    <w:r w:rsidRPr="00372DB1">
      <w:rPr>
        <w:rFonts w:ascii="Times New Roman" w:hAnsi="Times New Roman"/>
        <w:sz w:val="20"/>
      </w:rPr>
      <w:ptab w:relativeTo="margin" w:alignment="right" w:leader="none"/>
    </w:r>
    <w:r w:rsidRPr="00372DB1">
      <w:rPr>
        <w:rFonts w:ascii="Times New Roman" w:hAnsi="Times New Roman"/>
        <w:sz w:val="20"/>
      </w:rPr>
      <w:t>1944.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DB1" w:rsidRPr="00372DB1" w:rsidRDefault="00372DB1" w:rsidP="00CA265E">
    <w:pPr>
      <w:pStyle w:val="Header"/>
      <w:tabs>
        <w:tab w:val="clear" w:pos="4680"/>
        <w:tab w:val="clear" w:pos="9360"/>
      </w:tabs>
      <w:rPr>
        <w:rFonts w:ascii="Times New Roman" w:hAnsi="Times New Roman"/>
        <w:sz w:val="20"/>
      </w:rPr>
    </w:pPr>
    <w:r w:rsidRPr="00372DB1">
      <w:rPr>
        <w:rFonts w:ascii="Times New Roman" w:hAnsi="Times New Roman"/>
        <w:sz w:val="20"/>
      </w:rPr>
      <w:t>1944.</w:t>
    </w:r>
    <w:r w:rsidRPr="00372DB1">
      <w:rPr>
        <w:rFonts w:ascii="Times New Roman" w:hAnsi="Times New Roman"/>
        <w:sz w:val="20"/>
      </w:rPr>
      <w:ptab w:relativeTo="margin" w:alignment="center" w:leader="none"/>
    </w:r>
    <w:r w:rsidRPr="00372DB1">
      <w:rPr>
        <w:rFonts w:ascii="Times New Roman" w:hAnsi="Times New Roman"/>
        <w:i/>
        <w:sz w:val="20"/>
      </w:rPr>
      <w:t>Commonwealth Employees Compensation.</w:t>
    </w:r>
    <w:r w:rsidRPr="00372DB1">
      <w:rPr>
        <w:rFonts w:ascii="Times New Roman" w:hAnsi="Times New Roman"/>
        <w:sz w:val="20"/>
      </w:rPr>
      <w:ptab w:relativeTo="margin" w:alignment="right" w:leader="none"/>
    </w:r>
    <w:r w:rsidRPr="00372DB1">
      <w:rPr>
        <w:rFonts w:ascii="Times New Roman" w:hAnsi="Times New Roman"/>
        <w:sz w:val="20"/>
      </w:rPr>
      <w:t>No. 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3746"/>
    <w:rsid w:val="00004E58"/>
    <w:rsid w:val="0000778A"/>
    <w:rsid w:val="0001052C"/>
    <w:rsid w:val="0001129D"/>
    <w:rsid w:val="00022429"/>
    <w:rsid w:val="00023517"/>
    <w:rsid w:val="00026FB3"/>
    <w:rsid w:val="0003660A"/>
    <w:rsid w:val="0006054B"/>
    <w:rsid w:val="00072E04"/>
    <w:rsid w:val="0008022C"/>
    <w:rsid w:val="00081769"/>
    <w:rsid w:val="00087055"/>
    <w:rsid w:val="00093622"/>
    <w:rsid w:val="000C0B0E"/>
    <w:rsid w:val="000C432B"/>
    <w:rsid w:val="000C6343"/>
    <w:rsid w:val="000D381F"/>
    <w:rsid w:val="000E35A4"/>
    <w:rsid w:val="00105278"/>
    <w:rsid w:val="0013493D"/>
    <w:rsid w:val="00140F76"/>
    <w:rsid w:val="0014190B"/>
    <w:rsid w:val="0015657D"/>
    <w:rsid w:val="00162D8A"/>
    <w:rsid w:val="00173E78"/>
    <w:rsid w:val="00183B83"/>
    <w:rsid w:val="001A32AE"/>
    <w:rsid w:val="001A5865"/>
    <w:rsid w:val="001B099B"/>
    <w:rsid w:val="001B3A31"/>
    <w:rsid w:val="001D48BC"/>
    <w:rsid w:val="001D5F84"/>
    <w:rsid w:val="001D77D0"/>
    <w:rsid w:val="001F3AD5"/>
    <w:rsid w:val="00227DB1"/>
    <w:rsid w:val="00236520"/>
    <w:rsid w:val="002403FD"/>
    <w:rsid w:val="0025047C"/>
    <w:rsid w:val="002608AF"/>
    <w:rsid w:val="00261755"/>
    <w:rsid w:val="00271CD4"/>
    <w:rsid w:val="0028372B"/>
    <w:rsid w:val="00284E76"/>
    <w:rsid w:val="002A58FB"/>
    <w:rsid w:val="002B01E1"/>
    <w:rsid w:val="002B45CB"/>
    <w:rsid w:val="002B5886"/>
    <w:rsid w:val="002C6FEF"/>
    <w:rsid w:val="002D6DDB"/>
    <w:rsid w:val="002E61DB"/>
    <w:rsid w:val="00304ECF"/>
    <w:rsid w:val="00306B32"/>
    <w:rsid w:val="00314642"/>
    <w:rsid w:val="00324E96"/>
    <w:rsid w:val="0033559E"/>
    <w:rsid w:val="00345415"/>
    <w:rsid w:val="0034718E"/>
    <w:rsid w:val="00363746"/>
    <w:rsid w:val="00367D5E"/>
    <w:rsid w:val="00372DB1"/>
    <w:rsid w:val="00374476"/>
    <w:rsid w:val="003767FD"/>
    <w:rsid w:val="00382822"/>
    <w:rsid w:val="00391A3D"/>
    <w:rsid w:val="003A7967"/>
    <w:rsid w:val="003B7D4B"/>
    <w:rsid w:val="003D30E6"/>
    <w:rsid w:val="003D7623"/>
    <w:rsid w:val="003D7984"/>
    <w:rsid w:val="003E4529"/>
    <w:rsid w:val="003F4852"/>
    <w:rsid w:val="00407E05"/>
    <w:rsid w:val="00416F46"/>
    <w:rsid w:val="00422803"/>
    <w:rsid w:val="00432C3C"/>
    <w:rsid w:val="0044584A"/>
    <w:rsid w:val="00446439"/>
    <w:rsid w:val="00447FB4"/>
    <w:rsid w:val="00450F08"/>
    <w:rsid w:val="00456678"/>
    <w:rsid w:val="00464D35"/>
    <w:rsid w:val="00491123"/>
    <w:rsid w:val="00491A74"/>
    <w:rsid w:val="00494FBD"/>
    <w:rsid w:val="004A347E"/>
    <w:rsid w:val="004B0289"/>
    <w:rsid w:val="004C24F8"/>
    <w:rsid w:val="004E3024"/>
    <w:rsid w:val="004F664A"/>
    <w:rsid w:val="00513D83"/>
    <w:rsid w:val="0053574F"/>
    <w:rsid w:val="00546603"/>
    <w:rsid w:val="00553664"/>
    <w:rsid w:val="0055457F"/>
    <w:rsid w:val="00571CB9"/>
    <w:rsid w:val="005741C1"/>
    <w:rsid w:val="00596668"/>
    <w:rsid w:val="005A5C81"/>
    <w:rsid w:val="005B3283"/>
    <w:rsid w:val="005B77B5"/>
    <w:rsid w:val="005E26AB"/>
    <w:rsid w:val="005F4F49"/>
    <w:rsid w:val="005F7C94"/>
    <w:rsid w:val="0061377C"/>
    <w:rsid w:val="006150AB"/>
    <w:rsid w:val="00630FBB"/>
    <w:rsid w:val="00634791"/>
    <w:rsid w:val="00641D97"/>
    <w:rsid w:val="00645A35"/>
    <w:rsid w:val="006478A0"/>
    <w:rsid w:val="0068263B"/>
    <w:rsid w:val="00695D23"/>
    <w:rsid w:val="006A12F4"/>
    <w:rsid w:val="006B1662"/>
    <w:rsid w:val="006B3BF6"/>
    <w:rsid w:val="006B4506"/>
    <w:rsid w:val="006B45C5"/>
    <w:rsid w:val="006C29D2"/>
    <w:rsid w:val="006D3D49"/>
    <w:rsid w:val="006E0DE0"/>
    <w:rsid w:val="00710DE2"/>
    <w:rsid w:val="007178E9"/>
    <w:rsid w:val="00722B76"/>
    <w:rsid w:val="00731755"/>
    <w:rsid w:val="007442BB"/>
    <w:rsid w:val="0075209F"/>
    <w:rsid w:val="00763E84"/>
    <w:rsid w:val="00771B5F"/>
    <w:rsid w:val="00782291"/>
    <w:rsid w:val="00787E94"/>
    <w:rsid w:val="00794A2F"/>
    <w:rsid w:val="007A18E8"/>
    <w:rsid w:val="007A5214"/>
    <w:rsid w:val="007B253A"/>
    <w:rsid w:val="007B4F24"/>
    <w:rsid w:val="007B765B"/>
    <w:rsid w:val="007C0D96"/>
    <w:rsid w:val="007D6649"/>
    <w:rsid w:val="007E13DB"/>
    <w:rsid w:val="007F0645"/>
    <w:rsid w:val="007F7223"/>
    <w:rsid w:val="007F72E3"/>
    <w:rsid w:val="00811CCE"/>
    <w:rsid w:val="00814DBA"/>
    <w:rsid w:val="00826AE5"/>
    <w:rsid w:val="00831E5A"/>
    <w:rsid w:val="00835129"/>
    <w:rsid w:val="008427D5"/>
    <w:rsid w:val="00844167"/>
    <w:rsid w:val="00851A6C"/>
    <w:rsid w:val="00854C1C"/>
    <w:rsid w:val="008617AA"/>
    <w:rsid w:val="008650E8"/>
    <w:rsid w:val="008674BD"/>
    <w:rsid w:val="008955A3"/>
    <w:rsid w:val="0089624E"/>
    <w:rsid w:val="008962D4"/>
    <w:rsid w:val="008A183E"/>
    <w:rsid w:val="008C0BCD"/>
    <w:rsid w:val="008C74AC"/>
    <w:rsid w:val="008D374A"/>
    <w:rsid w:val="008D3FA4"/>
    <w:rsid w:val="008F453B"/>
    <w:rsid w:val="0090750C"/>
    <w:rsid w:val="00910DA0"/>
    <w:rsid w:val="00924BE8"/>
    <w:rsid w:val="0094296F"/>
    <w:rsid w:val="0095050A"/>
    <w:rsid w:val="00955BE0"/>
    <w:rsid w:val="00965DF0"/>
    <w:rsid w:val="00967F39"/>
    <w:rsid w:val="0097091C"/>
    <w:rsid w:val="00983478"/>
    <w:rsid w:val="00986491"/>
    <w:rsid w:val="00990F6B"/>
    <w:rsid w:val="009911F9"/>
    <w:rsid w:val="009A013C"/>
    <w:rsid w:val="009B2672"/>
    <w:rsid w:val="009C2839"/>
    <w:rsid w:val="009D3FAC"/>
    <w:rsid w:val="009E4957"/>
    <w:rsid w:val="009F03A7"/>
    <w:rsid w:val="009F6FE2"/>
    <w:rsid w:val="00A07666"/>
    <w:rsid w:val="00A16493"/>
    <w:rsid w:val="00A25A21"/>
    <w:rsid w:val="00A30F31"/>
    <w:rsid w:val="00A53498"/>
    <w:rsid w:val="00A55478"/>
    <w:rsid w:val="00A713EA"/>
    <w:rsid w:val="00A7400E"/>
    <w:rsid w:val="00A851ED"/>
    <w:rsid w:val="00A90585"/>
    <w:rsid w:val="00A94DB2"/>
    <w:rsid w:val="00AB77A3"/>
    <w:rsid w:val="00AC5B97"/>
    <w:rsid w:val="00AD4B07"/>
    <w:rsid w:val="00AE27B9"/>
    <w:rsid w:val="00AE356F"/>
    <w:rsid w:val="00AE4EF5"/>
    <w:rsid w:val="00AE5811"/>
    <w:rsid w:val="00AF4794"/>
    <w:rsid w:val="00AF765C"/>
    <w:rsid w:val="00B0564F"/>
    <w:rsid w:val="00B2212B"/>
    <w:rsid w:val="00B30519"/>
    <w:rsid w:val="00B35689"/>
    <w:rsid w:val="00B40E68"/>
    <w:rsid w:val="00B6331E"/>
    <w:rsid w:val="00B73727"/>
    <w:rsid w:val="00B750D4"/>
    <w:rsid w:val="00B75DD2"/>
    <w:rsid w:val="00B919B3"/>
    <w:rsid w:val="00B967B8"/>
    <w:rsid w:val="00BA24B9"/>
    <w:rsid w:val="00BA2CE0"/>
    <w:rsid w:val="00BB4C10"/>
    <w:rsid w:val="00BC166A"/>
    <w:rsid w:val="00BE6B4D"/>
    <w:rsid w:val="00C27C2C"/>
    <w:rsid w:val="00C36CF7"/>
    <w:rsid w:val="00C53FEB"/>
    <w:rsid w:val="00C762DC"/>
    <w:rsid w:val="00C77AF8"/>
    <w:rsid w:val="00C848BA"/>
    <w:rsid w:val="00C8491D"/>
    <w:rsid w:val="00C871F9"/>
    <w:rsid w:val="00C90697"/>
    <w:rsid w:val="00C932B6"/>
    <w:rsid w:val="00CA265E"/>
    <w:rsid w:val="00CC1E30"/>
    <w:rsid w:val="00CC709C"/>
    <w:rsid w:val="00CD0939"/>
    <w:rsid w:val="00CF1D52"/>
    <w:rsid w:val="00CF1F0D"/>
    <w:rsid w:val="00D0723E"/>
    <w:rsid w:val="00D1017A"/>
    <w:rsid w:val="00D10202"/>
    <w:rsid w:val="00D176D2"/>
    <w:rsid w:val="00D24244"/>
    <w:rsid w:val="00D52E18"/>
    <w:rsid w:val="00D55A35"/>
    <w:rsid w:val="00D606E4"/>
    <w:rsid w:val="00D65D65"/>
    <w:rsid w:val="00DA1E98"/>
    <w:rsid w:val="00DA6AE4"/>
    <w:rsid w:val="00DA73F6"/>
    <w:rsid w:val="00DB063C"/>
    <w:rsid w:val="00DB2714"/>
    <w:rsid w:val="00DC5A46"/>
    <w:rsid w:val="00DD1CFA"/>
    <w:rsid w:val="00DD3DD6"/>
    <w:rsid w:val="00DE2C71"/>
    <w:rsid w:val="00DE527E"/>
    <w:rsid w:val="00DF67AD"/>
    <w:rsid w:val="00E00A0E"/>
    <w:rsid w:val="00E00A97"/>
    <w:rsid w:val="00E06F5F"/>
    <w:rsid w:val="00E101F6"/>
    <w:rsid w:val="00E109BE"/>
    <w:rsid w:val="00E45EBA"/>
    <w:rsid w:val="00E53399"/>
    <w:rsid w:val="00E54ACF"/>
    <w:rsid w:val="00E60CDB"/>
    <w:rsid w:val="00E700BE"/>
    <w:rsid w:val="00E72691"/>
    <w:rsid w:val="00EA4E0C"/>
    <w:rsid w:val="00EA6D68"/>
    <w:rsid w:val="00EB06A1"/>
    <w:rsid w:val="00EB412C"/>
    <w:rsid w:val="00EC6EC7"/>
    <w:rsid w:val="00EE55DB"/>
    <w:rsid w:val="00EF5D1D"/>
    <w:rsid w:val="00EF5D76"/>
    <w:rsid w:val="00F05CCF"/>
    <w:rsid w:val="00F1493E"/>
    <w:rsid w:val="00F23201"/>
    <w:rsid w:val="00F4391C"/>
    <w:rsid w:val="00F54740"/>
    <w:rsid w:val="00F65D60"/>
    <w:rsid w:val="00FA61BC"/>
    <w:rsid w:val="00FB648B"/>
    <w:rsid w:val="00FD1203"/>
    <w:rsid w:val="00FF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2">
    <w:name w:val="Style312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3">
    <w:name w:val="Style153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3">
    <w:name w:val="Style123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">
    <w:name w:val="Style108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4">
    <w:name w:val="Style124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1">
    <w:name w:val="Style91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">
    <w:name w:val="Style85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4">
    <w:name w:val="Style174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8">
    <w:name w:val="Style118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0">
    <w:name w:val="Style150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4">
    <w:name w:val="Style334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6">
    <w:name w:val="Style166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">
    <w:name w:val="Style172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0">
    <w:name w:val="Style180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0">
    <w:name w:val="Style120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">
    <w:name w:val="Style76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0">
    <w:name w:val="Style170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">
    <w:name w:val="Style102"/>
    <w:basedOn w:val="Normal"/>
    <w:rsid w:val="005A5C8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">
    <w:name w:val="CharStyle2"/>
    <w:basedOn w:val="DefaultParagraphFont"/>
    <w:rsid w:val="005A5C8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5A5C81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5A5C8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12">
    <w:name w:val="CharStyle12"/>
    <w:basedOn w:val="DefaultParagraphFont"/>
    <w:rsid w:val="005A5C81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5A5C8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45">
    <w:name w:val="CharStyle45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46">
    <w:name w:val="CharStyle46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54">
    <w:name w:val="CharStyle54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6">
    <w:name w:val="CharStyle56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66">
    <w:name w:val="CharStyle66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74">
    <w:name w:val="CharStyle74"/>
    <w:basedOn w:val="DefaultParagraphFont"/>
    <w:rsid w:val="005A5C81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81">
    <w:name w:val="CharStyle81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82">
    <w:name w:val="CharStyle82"/>
    <w:basedOn w:val="DefaultParagraphFont"/>
    <w:rsid w:val="005A5C81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83">
    <w:name w:val="CharStyle83"/>
    <w:basedOn w:val="DefaultParagraphFont"/>
    <w:rsid w:val="005A5C81"/>
    <w:rPr>
      <w:rFonts w:ascii="Palatino Linotype" w:eastAsia="Palatino Linotype" w:hAnsi="Palatino Linotype" w:cs="Palatino Linotype"/>
      <w:b/>
      <w:bCs/>
      <w:i w:val="0"/>
      <w:iCs w:val="0"/>
      <w:smallCaps w:val="0"/>
      <w:sz w:val="14"/>
      <w:szCs w:val="14"/>
    </w:rPr>
  </w:style>
  <w:style w:type="character" w:customStyle="1" w:styleId="CharStyle86">
    <w:name w:val="CharStyle86"/>
    <w:basedOn w:val="DefaultParagraphFont"/>
    <w:rsid w:val="005A5C81"/>
    <w:rPr>
      <w:rFonts w:ascii="Candara" w:eastAsia="Candara" w:hAnsi="Candara" w:cs="Candara"/>
      <w:b w:val="0"/>
      <w:bCs w:val="0"/>
      <w:i w:val="0"/>
      <w:iCs w:val="0"/>
      <w:smallCaps w:val="0"/>
      <w:sz w:val="18"/>
      <w:szCs w:val="18"/>
    </w:rPr>
  </w:style>
  <w:style w:type="character" w:customStyle="1" w:styleId="CharStyle90">
    <w:name w:val="CharStyle90"/>
    <w:basedOn w:val="DefaultParagraphFont"/>
    <w:rsid w:val="005A5C81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372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DB1"/>
  </w:style>
  <w:style w:type="paragraph" w:styleId="Footer">
    <w:name w:val="footer"/>
    <w:basedOn w:val="Normal"/>
    <w:link w:val="FooterChar"/>
    <w:uiPriority w:val="99"/>
    <w:semiHidden/>
    <w:unhideWhenUsed/>
    <w:rsid w:val="00372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DB1"/>
  </w:style>
  <w:style w:type="paragraph" w:styleId="BalloonText">
    <w:name w:val="Balloon Text"/>
    <w:basedOn w:val="Normal"/>
    <w:link w:val="BalloonTextChar"/>
    <w:uiPriority w:val="99"/>
    <w:semiHidden/>
    <w:unhideWhenUsed/>
    <w:rsid w:val="0037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524</cp:revision>
  <dcterms:created xsi:type="dcterms:W3CDTF">2017-04-14T07:00:00Z</dcterms:created>
  <dcterms:modified xsi:type="dcterms:W3CDTF">2018-01-31T21:41:00Z</dcterms:modified>
</cp:coreProperties>
</file>