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75" w:rsidRDefault="001D5CBD" w:rsidP="00493CF0">
      <w:pPr>
        <w:spacing w:before="120" w:after="120" w:line="240" w:lineRule="auto"/>
        <w:jc w:val="center"/>
        <w:rPr>
          <w:rFonts w:ascii="Times New Roman" w:hAnsi="Times New Roman"/>
          <w:sz w:val="36"/>
          <w:szCs w:val="36"/>
        </w:rPr>
      </w:pPr>
      <w:r w:rsidRPr="00120D82">
        <w:rPr>
          <w:rFonts w:ascii="Times New Roman" w:hAnsi="Times New Roman"/>
          <w:sz w:val="36"/>
          <w:szCs w:val="36"/>
        </w:rPr>
        <w:t>TRACTOR BOUNTY (N</w:t>
      </w:r>
      <w:r w:rsidR="00346879">
        <w:rPr>
          <w:rFonts w:ascii="Times New Roman" w:hAnsi="Times New Roman"/>
          <w:sz w:val="36"/>
          <w:szCs w:val="36"/>
        </w:rPr>
        <w:t>o</w:t>
      </w:r>
      <w:r w:rsidRPr="00120D82">
        <w:rPr>
          <w:rFonts w:ascii="Times New Roman" w:hAnsi="Times New Roman"/>
          <w:sz w:val="36"/>
          <w:szCs w:val="36"/>
        </w:rPr>
        <w:t>. 2).</w:t>
      </w:r>
    </w:p>
    <w:p w:rsidR="00120D82" w:rsidRPr="00C27171" w:rsidRDefault="00120D82" w:rsidP="00C27171">
      <w:pPr>
        <w:pBdr>
          <w:bottom w:val="single" w:sz="4" w:space="1" w:color="auto"/>
        </w:pBdr>
        <w:spacing w:before="120" w:after="240" w:line="240" w:lineRule="auto"/>
        <w:ind w:left="3744" w:right="3744"/>
        <w:jc w:val="center"/>
        <w:rPr>
          <w:rFonts w:ascii="Times New Roman" w:hAnsi="Times New Roman"/>
          <w:sz w:val="10"/>
          <w:szCs w:val="36"/>
        </w:rPr>
      </w:pPr>
    </w:p>
    <w:p w:rsidR="00AB4275" w:rsidRPr="00120D82" w:rsidRDefault="001D5CBD" w:rsidP="00493CF0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120D82">
        <w:rPr>
          <w:rFonts w:ascii="Times New Roman" w:hAnsi="Times New Roman"/>
          <w:b/>
          <w:sz w:val="28"/>
        </w:rPr>
        <w:t>No. 80 of 1939.</w:t>
      </w:r>
    </w:p>
    <w:p w:rsidR="00AB4275" w:rsidRPr="00120D82" w:rsidRDefault="001D5CBD" w:rsidP="00F768C0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120D82">
        <w:rPr>
          <w:rFonts w:ascii="Times New Roman" w:hAnsi="Times New Roman"/>
          <w:sz w:val="26"/>
        </w:rPr>
        <w:t xml:space="preserve">An Act to amend the </w:t>
      </w:r>
      <w:r w:rsidRPr="00120D82">
        <w:rPr>
          <w:rFonts w:ascii="Times New Roman" w:hAnsi="Times New Roman"/>
          <w:i/>
          <w:sz w:val="26"/>
        </w:rPr>
        <w:t xml:space="preserve">Tractor Bounty Act </w:t>
      </w:r>
      <w:r w:rsidRPr="00120D82">
        <w:rPr>
          <w:rFonts w:ascii="Times New Roman" w:hAnsi="Times New Roman"/>
          <w:sz w:val="26"/>
        </w:rPr>
        <w:t>1939.</w:t>
      </w:r>
    </w:p>
    <w:p w:rsidR="00120D82" w:rsidRDefault="001D5CBD" w:rsidP="00F768C0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120D82">
        <w:rPr>
          <w:rFonts w:ascii="Times New Roman" w:hAnsi="Times New Roman"/>
          <w:sz w:val="26"/>
        </w:rPr>
        <w:t>[Assented to 15th December, 1939.]</w:t>
      </w:r>
    </w:p>
    <w:p w:rsidR="00AB4275" w:rsidRPr="00120D82" w:rsidRDefault="001D5CBD" w:rsidP="00F768C0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120D82">
        <w:rPr>
          <w:rFonts w:ascii="Times New Roman" w:hAnsi="Times New Roman"/>
          <w:sz w:val="26"/>
        </w:rPr>
        <w:t>[Date of commencement, 12th January, 1940.]</w:t>
      </w:r>
    </w:p>
    <w:p w:rsidR="00AB4275" w:rsidRPr="00346879" w:rsidRDefault="001D5CBD" w:rsidP="00493CF0">
      <w:pPr>
        <w:spacing w:after="0" w:line="240" w:lineRule="auto"/>
        <w:jc w:val="both"/>
        <w:rPr>
          <w:rFonts w:ascii="Times New Roman" w:hAnsi="Times New Roman"/>
        </w:rPr>
      </w:pPr>
      <w:r w:rsidRPr="00346879">
        <w:rPr>
          <w:rFonts w:ascii="Times New Roman" w:hAnsi="Times New Roman"/>
        </w:rPr>
        <w:t>BE it enacted by the King</w:t>
      </w:r>
      <w:r w:rsidR="005C75ED" w:rsidRPr="00346879">
        <w:rPr>
          <w:rFonts w:ascii="Times New Roman" w:hAnsi="Times New Roman"/>
        </w:rPr>
        <w:t>’</w:t>
      </w:r>
      <w:r w:rsidRPr="00346879">
        <w:rPr>
          <w:rFonts w:ascii="Times New Roman" w:hAnsi="Times New Roman"/>
        </w:rPr>
        <w:t>s Most Excellent Majesty, the Senate,</w:t>
      </w:r>
      <w:r w:rsidR="00FE7AE3" w:rsidRPr="00346879">
        <w:rPr>
          <w:rFonts w:ascii="Times New Roman" w:hAnsi="Times New Roman"/>
        </w:rPr>
        <w:t xml:space="preserve"> </w:t>
      </w:r>
      <w:r w:rsidRPr="00346879">
        <w:rPr>
          <w:rFonts w:ascii="Times New Roman" w:hAnsi="Times New Roman"/>
        </w:rPr>
        <w:t>and the House of Representatives of the Commonwealth of</w:t>
      </w:r>
      <w:r w:rsidR="00FE7AE3" w:rsidRPr="00346879">
        <w:rPr>
          <w:rFonts w:ascii="Times New Roman" w:hAnsi="Times New Roman"/>
        </w:rPr>
        <w:t xml:space="preserve"> </w:t>
      </w:r>
      <w:r w:rsidRPr="00346879">
        <w:rPr>
          <w:rFonts w:ascii="Times New Roman" w:hAnsi="Times New Roman"/>
        </w:rPr>
        <w:t>Australi</w:t>
      </w:r>
      <w:bookmarkStart w:id="0" w:name="_GoBack"/>
      <w:bookmarkEnd w:id="0"/>
      <w:r w:rsidRPr="00346879">
        <w:rPr>
          <w:rFonts w:ascii="Times New Roman" w:hAnsi="Times New Roman"/>
        </w:rPr>
        <w:t>a, as follows:—</w:t>
      </w:r>
    </w:p>
    <w:p w:rsidR="00AB4275" w:rsidRPr="00120D82" w:rsidRDefault="001D5CBD" w:rsidP="00493CF0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120D82">
        <w:rPr>
          <w:rFonts w:ascii="Times New Roman" w:hAnsi="Times New Roman"/>
          <w:b/>
          <w:sz w:val="20"/>
        </w:rPr>
        <w:t>Short title</w:t>
      </w:r>
      <w:r w:rsidR="003726F7">
        <w:rPr>
          <w:rFonts w:ascii="Times New Roman" w:hAnsi="Times New Roman"/>
          <w:b/>
          <w:sz w:val="20"/>
        </w:rPr>
        <w:t xml:space="preserve"> </w:t>
      </w:r>
      <w:r w:rsidRPr="00120D82">
        <w:rPr>
          <w:rFonts w:ascii="Times New Roman" w:hAnsi="Times New Roman"/>
          <w:b/>
          <w:sz w:val="20"/>
        </w:rPr>
        <w:t>and citation.</w:t>
      </w:r>
    </w:p>
    <w:p w:rsidR="00AB4275" w:rsidRPr="001D5CBD" w:rsidRDefault="001D5CBD" w:rsidP="00493CF0">
      <w:pPr>
        <w:tabs>
          <w:tab w:val="left" w:pos="720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D5CBD">
        <w:rPr>
          <w:rFonts w:ascii="Times New Roman" w:hAnsi="Times New Roman"/>
          <w:b/>
        </w:rPr>
        <w:t>1.</w:t>
      </w:r>
      <w:r w:rsidR="001513DD" w:rsidRPr="001513DD">
        <w:rPr>
          <w:rFonts w:ascii="Times New Roman" w:hAnsi="Times New Roman"/>
        </w:rPr>
        <w:t>—</w:t>
      </w:r>
      <w:r w:rsidRPr="001D5CBD">
        <w:rPr>
          <w:rFonts w:ascii="Times New Roman" w:hAnsi="Times New Roman"/>
        </w:rPr>
        <w:t>(1.)</w:t>
      </w:r>
      <w:r w:rsidR="003726F7">
        <w:rPr>
          <w:rFonts w:ascii="Times New Roman" w:hAnsi="Times New Roman"/>
        </w:rPr>
        <w:tab/>
      </w:r>
      <w:r w:rsidRPr="001D5CBD">
        <w:rPr>
          <w:rFonts w:ascii="Times New Roman" w:hAnsi="Times New Roman"/>
        </w:rPr>
        <w:t xml:space="preserve">This Act may be cited as the </w:t>
      </w:r>
      <w:r w:rsidRPr="001D5CBD">
        <w:rPr>
          <w:rFonts w:ascii="Times New Roman" w:hAnsi="Times New Roman"/>
          <w:i/>
        </w:rPr>
        <w:t xml:space="preserve">Tractor Bounty Act </w:t>
      </w:r>
      <w:r w:rsidRPr="00F768C0">
        <w:rPr>
          <w:rFonts w:ascii="Times New Roman" w:hAnsi="Times New Roman"/>
        </w:rPr>
        <w:t>(</w:t>
      </w:r>
      <w:r w:rsidRPr="001D5CBD">
        <w:rPr>
          <w:rFonts w:ascii="Times New Roman" w:hAnsi="Times New Roman"/>
          <w:i/>
        </w:rPr>
        <w:t xml:space="preserve">No. </w:t>
      </w:r>
      <w:r w:rsidRPr="001D5CBD">
        <w:rPr>
          <w:rFonts w:ascii="Times New Roman" w:hAnsi="Times New Roman"/>
        </w:rPr>
        <w:t>2)</w:t>
      </w:r>
      <w:r w:rsidR="00F768C0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1939.</w:t>
      </w:r>
    </w:p>
    <w:p w:rsidR="00AB4275" w:rsidRPr="001D5CBD" w:rsidRDefault="001D5CBD" w:rsidP="00493CF0">
      <w:pPr>
        <w:tabs>
          <w:tab w:val="left" w:pos="72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D5CBD">
        <w:rPr>
          <w:rFonts w:ascii="Times New Roman" w:hAnsi="Times New Roman"/>
        </w:rPr>
        <w:t>(2</w:t>
      </w:r>
      <w:r w:rsidR="00ED6104">
        <w:rPr>
          <w:rFonts w:ascii="Times New Roman" w:hAnsi="Times New Roman"/>
        </w:rPr>
        <w:t>.</w:t>
      </w:r>
      <w:r w:rsidRPr="001D5CBD">
        <w:rPr>
          <w:rFonts w:ascii="Times New Roman" w:hAnsi="Times New Roman"/>
        </w:rPr>
        <w:t>)</w:t>
      </w:r>
      <w:r w:rsidR="00ED6104">
        <w:rPr>
          <w:rFonts w:ascii="Times New Roman" w:hAnsi="Times New Roman"/>
        </w:rPr>
        <w:tab/>
      </w:r>
      <w:r w:rsidRPr="001D5CBD">
        <w:rPr>
          <w:rFonts w:ascii="Times New Roman" w:hAnsi="Times New Roman"/>
        </w:rPr>
        <w:t xml:space="preserve">The </w:t>
      </w:r>
      <w:r w:rsidRPr="001D5CBD">
        <w:rPr>
          <w:rFonts w:ascii="Times New Roman" w:hAnsi="Times New Roman"/>
          <w:i/>
        </w:rPr>
        <w:t xml:space="preserve">Tractor Bounty Act </w:t>
      </w:r>
      <w:r w:rsidR="00346879">
        <w:rPr>
          <w:rFonts w:ascii="Times New Roman" w:hAnsi="Times New Roman"/>
        </w:rPr>
        <w:t>1939</w:t>
      </w:r>
      <w:r w:rsidRPr="001D5CBD">
        <w:rPr>
          <w:rFonts w:ascii="Times New Roman" w:hAnsi="Times New Roman"/>
        </w:rPr>
        <w:t xml:space="preserve">, as amended by this Act, maybe cited as the </w:t>
      </w:r>
      <w:r w:rsidRPr="001D5CBD">
        <w:rPr>
          <w:rFonts w:ascii="Times New Roman" w:hAnsi="Times New Roman"/>
          <w:i/>
        </w:rPr>
        <w:t xml:space="preserve">Tractor Bounty Acts </w:t>
      </w:r>
      <w:r w:rsidRPr="001D5CBD">
        <w:rPr>
          <w:rFonts w:ascii="Times New Roman" w:hAnsi="Times New Roman"/>
        </w:rPr>
        <w:t>1939.</w:t>
      </w:r>
    </w:p>
    <w:p w:rsidR="00AB4275" w:rsidRPr="00120D82" w:rsidRDefault="00120D82" w:rsidP="00493CF0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120D82">
        <w:rPr>
          <w:rFonts w:ascii="Times New Roman" w:hAnsi="Times New Roman"/>
          <w:b/>
          <w:sz w:val="20"/>
        </w:rPr>
        <w:t>R</w:t>
      </w:r>
      <w:r w:rsidR="001D5CBD" w:rsidRPr="00120D82">
        <w:rPr>
          <w:rFonts w:ascii="Times New Roman" w:hAnsi="Times New Roman"/>
          <w:b/>
          <w:sz w:val="20"/>
        </w:rPr>
        <w:t>ates of</w:t>
      </w:r>
      <w:r w:rsidR="003B1455">
        <w:rPr>
          <w:rFonts w:ascii="Times New Roman" w:hAnsi="Times New Roman"/>
          <w:b/>
          <w:sz w:val="20"/>
        </w:rPr>
        <w:t xml:space="preserve"> </w:t>
      </w:r>
      <w:r w:rsidR="001D5CBD" w:rsidRPr="00120D82">
        <w:rPr>
          <w:rFonts w:ascii="Times New Roman" w:hAnsi="Times New Roman"/>
          <w:b/>
          <w:sz w:val="20"/>
        </w:rPr>
        <w:t>bounty.</w:t>
      </w:r>
    </w:p>
    <w:p w:rsidR="00AB4275" w:rsidRPr="001D5CBD" w:rsidRDefault="001D5CBD" w:rsidP="00493CF0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D5CBD">
        <w:rPr>
          <w:rFonts w:ascii="Times New Roman" w:hAnsi="Times New Roman"/>
          <w:b/>
        </w:rPr>
        <w:t>2.</w:t>
      </w:r>
      <w:r w:rsidR="00120D82">
        <w:rPr>
          <w:rFonts w:ascii="Times New Roman" w:hAnsi="Times New Roman"/>
          <w:b/>
        </w:rPr>
        <w:tab/>
      </w:r>
      <w:r w:rsidRPr="001D5CBD">
        <w:rPr>
          <w:rFonts w:ascii="Times New Roman" w:hAnsi="Times New Roman"/>
        </w:rPr>
        <w:t xml:space="preserve">Section seven of the </w:t>
      </w:r>
      <w:r w:rsidRPr="001D5CBD">
        <w:rPr>
          <w:rFonts w:ascii="Times New Roman" w:hAnsi="Times New Roman"/>
          <w:i/>
        </w:rPr>
        <w:t xml:space="preserve">Tractor Bounty Act </w:t>
      </w:r>
      <w:r w:rsidRPr="001D5CBD">
        <w:rPr>
          <w:rFonts w:ascii="Times New Roman" w:hAnsi="Times New Roman"/>
        </w:rPr>
        <w:t>1939 is amended by</w:t>
      </w:r>
      <w:r w:rsidR="003B1455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 xml:space="preserve">omitting from sub-section (6.) the words </w:t>
      </w:r>
      <w:r w:rsidR="00120D82">
        <w:rPr>
          <w:rFonts w:ascii="Times New Roman" w:hAnsi="Times New Roman"/>
        </w:rPr>
        <w:t>“</w:t>
      </w:r>
      <w:r w:rsidRPr="001D5CBD">
        <w:rPr>
          <w:rFonts w:ascii="Times New Roman" w:hAnsi="Times New Roman"/>
        </w:rPr>
        <w:t xml:space="preserve">equivalent to that </w:t>
      </w:r>
      <w:r w:rsidR="003B1455">
        <w:rPr>
          <w:rFonts w:ascii="Times New Roman" w:hAnsi="Times New Roman"/>
        </w:rPr>
        <w:t xml:space="preserve">increase </w:t>
      </w:r>
      <w:r w:rsidRPr="001D5CBD">
        <w:rPr>
          <w:rFonts w:ascii="Times New Roman" w:hAnsi="Times New Roman"/>
        </w:rPr>
        <w:t>or reduction</w:t>
      </w:r>
      <w:r w:rsidR="00120D82">
        <w:rPr>
          <w:rFonts w:ascii="Times New Roman" w:hAnsi="Times New Roman"/>
        </w:rPr>
        <w:t>”</w:t>
      </w:r>
      <w:r w:rsidRPr="001D5CBD">
        <w:rPr>
          <w:rFonts w:ascii="Times New Roman" w:hAnsi="Times New Roman"/>
        </w:rPr>
        <w:t xml:space="preserve"> and inserting in their stead the words </w:t>
      </w:r>
      <w:r w:rsidR="00120D82">
        <w:rPr>
          <w:rFonts w:ascii="Times New Roman" w:hAnsi="Times New Roman"/>
        </w:rPr>
        <w:t>“</w:t>
      </w:r>
      <w:r w:rsidRPr="001D5CBD">
        <w:rPr>
          <w:rFonts w:ascii="Times New Roman" w:hAnsi="Times New Roman"/>
        </w:rPr>
        <w:t>equivalent to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that reduction or increase</w:t>
      </w:r>
      <w:r w:rsidR="00120D82">
        <w:rPr>
          <w:rFonts w:ascii="Times New Roman" w:hAnsi="Times New Roman"/>
        </w:rPr>
        <w:t>”</w:t>
      </w:r>
      <w:r w:rsidRPr="001D5CBD">
        <w:rPr>
          <w:rFonts w:ascii="Times New Roman" w:hAnsi="Times New Roman"/>
        </w:rPr>
        <w:t>.</w:t>
      </w:r>
    </w:p>
    <w:p w:rsidR="00AB4275" w:rsidRPr="001D5CBD" w:rsidRDefault="001D5CBD" w:rsidP="00CE3795">
      <w:pPr>
        <w:tabs>
          <w:tab w:val="left" w:pos="72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1D5CBD">
        <w:rPr>
          <w:rFonts w:ascii="Times New Roman" w:hAnsi="Times New Roman"/>
          <w:b/>
        </w:rPr>
        <w:t>3.</w:t>
      </w:r>
      <w:r w:rsidR="00120D82">
        <w:rPr>
          <w:rFonts w:ascii="Times New Roman" w:hAnsi="Times New Roman"/>
          <w:b/>
        </w:rPr>
        <w:tab/>
      </w:r>
      <w:r w:rsidRPr="001D5CBD">
        <w:rPr>
          <w:rFonts w:ascii="Times New Roman" w:hAnsi="Times New Roman"/>
        </w:rPr>
        <w:t xml:space="preserve">After section nine of the </w:t>
      </w:r>
      <w:r w:rsidRPr="001D5CBD">
        <w:rPr>
          <w:rFonts w:ascii="Times New Roman" w:hAnsi="Times New Roman"/>
          <w:i/>
        </w:rPr>
        <w:t xml:space="preserve">Tractor Bounty Act </w:t>
      </w:r>
      <w:r w:rsidRPr="001D5CBD">
        <w:rPr>
          <w:rFonts w:ascii="Times New Roman" w:hAnsi="Times New Roman"/>
        </w:rPr>
        <w:t>1939 the following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section is inserted:—</w:t>
      </w:r>
    </w:p>
    <w:p w:rsidR="00AB4275" w:rsidRPr="00120D82" w:rsidRDefault="001D5CBD" w:rsidP="00493CF0">
      <w:pPr>
        <w:spacing w:before="120" w:after="60" w:line="240" w:lineRule="auto"/>
        <w:rPr>
          <w:rFonts w:ascii="Times New Roman" w:hAnsi="Times New Roman"/>
          <w:sz w:val="20"/>
        </w:rPr>
      </w:pPr>
      <w:r w:rsidRPr="00120D82">
        <w:rPr>
          <w:rFonts w:ascii="Times New Roman" w:hAnsi="Times New Roman"/>
          <w:b/>
          <w:sz w:val="20"/>
        </w:rPr>
        <w:t>Rates of wages</w:t>
      </w:r>
      <w:r w:rsidR="00FE7AE3">
        <w:rPr>
          <w:rFonts w:ascii="Times New Roman" w:hAnsi="Times New Roman"/>
          <w:b/>
          <w:sz w:val="20"/>
        </w:rPr>
        <w:t xml:space="preserve"> </w:t>
      </w:r>
      <w:r w:rsidRPr="00120D82">
        <w:rPr>
          <w:rFonts w:ascii="Times New Roman" w:hAnsi="Times New Roman"/>
          <w:b/>
          <w:sz w:val="20"/>
        </w:rPr>
        <w:t>and conditions</w:t>
      </w:r>
      <w:r w:rsidR="00FE7AE3">
        <w:rPr>
          <w:rFonts w:ascii="Times New Roman" w:hAnsi="Times New Roman"/>
          <w:b/>
          <w:sz w:val="20"/>
        </w:rPr>
        <w:t xml:space="preserve"> </w:t>
      </w:r>
      <w:r w:rsidRPr="00120D82">
        <w:rPr>
          <w:rFonts w:ascii="Times New Roman" w:hAnsi="Times New Roman"/>
          <w:b/>
          <w:sz w:val="20"/>
        </w:rPr>
        <w:t>of employment.</w:t>
      </w:r>
    </w:p>
    <w:p w:rsidR="00AB4275" w:rsidRPr="001D5CBD" w:rsidRDefault="00120D82" w:rsidP="00F768C0">
      <w:pPr>
        <w:tabs>
          <w:tab w:val="left" w:pos="720"/>
          <w:tab w:val="left" w:pos="16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D5CBD" w:rsidRPr="001D5CBD">
        <w:rPr>
          <w:rFonts w:ascii="Times New Roman" w:hAnsi="Times New Roman"/>
        </w:rPr>
        <w:t>9</w:t>
      </w:r>
      <w:r w:rsidR="001513DD">
        <w:rPr>
          <w:rFonts w:ascii="Times New Roman" w:hAnsi="Times New Roman"/>
          <w:smallCaps/>
        </w:rPr>
        <w:t>a</w:t>
      </w:r>
      <w:r w:rsidR="001D5CBD" w:rsidRPr="00493CF0">
        <w:rPr>
          <w:rFonts w:ascii="Times New Roman" w:hAnsi="Times New Roman"/>
        </w:rPr>
        <w:t>.—</w:t>
      </w:r>
      <w:r w:rsidR="001D5CBD" w:rsidRPr="001D5CBD">
        <w:rPr>
          <w:rFonts w:ascii="Times New Roman" w:hAnsi="Times New Roman"/>
        </w:rPr>
        <w:t>(1.)</w:t>
      </w:r>
      <w:r w:rsidR="00F768C0">
        <w:rPr>
          <w:rFonts w:ascii="Times New Roman" w:hAnsi="Times New Roman"/>
        </w:rPr>
        <w:tab/>
      </w:r>
      <w:r w:rsidR="001D5CBD" w:rsidRPr="001D5CBD">
        <w:rPr>
          <w:rFonts w:ascii="Times New Roman" w:hAnsi="Times New Roman"/>
        </w:rPr>
        <w:t>Where, in the locality where tractors in respect of the</w:t>
      </w:r>
      <w:r w:rsidR="00FE7AE3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production of which bounty is claimed are manufactured any standard</w:t>
      </w:r>
      <w:r w:rsidR="00FE7AE3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rates of wages or conditions of employment to be paid or observed</w:t>
      </w:r>
      <w:r w:rsidR="00FE7AE3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in respect of any persons employed in the manufacture of those</w:t>
      </w:r>
      <w:r w:rsidR="00FE7AE3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tractors have been—</w:t>
      </w:r>
    </w:p>
    <w:p w:rsidR="00AB4275" w:rsidRPr="001D5CBD" w:rsidRDefault="001D5CBD" w:rsidP="00F768C0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1D5CBD">
        <w:rPr>
          <w:rFonts w:ascii="Times New Roman" w:hAnsi="Times New Roman"/>
        </w:rPr>
        <w:t>(</w:t>
      </w:r>
      <w:r w:rsidRPr="001D5CBD">
        <w:rPr>
          <w:rFonts w:ascii="Times New Roman" w:hAnsi="Times New Roman"/>
          <w:i/>
        </w:rPr>
        <w:t>a</w:t>
      </w:r>
      <w:r w:rsidRPr="001D5CBD">
        <w:rPr>
          <w:rFonts w:ascii="Times New Roman" w:hAnsi="Times New Roman"/>
        </w:rPr>
        <w:t>) prescribed by any award, order or determination of the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Commonwealth Court of Conciliation and Arbitration or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of any other industrial authority of the Commonwealth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or of a State or Territory or in any industrial agreement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registered under any law of the Commonwealth, or of a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State or Territory; or</w:t>
      </w:r>
    </w:p>
    <w:p w:rsidR="00AB4275" w:rsidRPr="001D5CBD" w:rsidRDefault="001D5CBD" w:rsidP="00F768C0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1D5CBD">
        <w:rPr>
          <w:rFonts w:ascii="Times New Roman" w:hAnsi="Times New Roman"/>
        </w:rPr>
        <w:t>(</w:t>
      </w:r>
      <w:r w:rsidRPr="001D5CBD">
        <w:rPr>
          <w:rFonts w:ascii="Times New Roman" w:hAnsi="Times New Roman"/>
          <w:i/>
        </w:rPr>
        <w:t>b</w:t>
      </w:r>
      <w:r w:rsidRPr="001D5CBD">
        <w:rPr>
          <w:rFonts w:ascii="Times New Roman" w:hAnsi="Times New Roman"/>
        </w:rPr>
        <w:t>) declared to be fair and reasonable in accordance with the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provisions of sub-section (2.) of this section,</w:t>
      </w:r>
    </w:p>
    <w:p w:rsidR="004771E0" w:rsidRDefault="001D5CBD" w:rsidP="00346879">
      <w:pPr>
        <w:spacing w:after="0" w:line="240" w:lineRule="auto"/>
        <w:jc w:val="both"/>
        <w:rPr>
          <w:rFonts w:ascii="Times New Roman" w:hAnsi="Times New Roman"/>
        </w:rPr>
      </w:pPr>
      <w:r w:rsidRPr="001D5CBD">
        <w:rPr>
          <w:rFonts w:ascii="Times New Roman" w:hAnsi="Times New Roman"/>
        </w:rPr>
        <w:t>a manufacturer when making any claim for bounty in respect of the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production of any tractors shall certify to the Collector that the rates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of wages and the conditions of employment observed by him in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respect of the persons employed in the manufacture of tractors were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 xml:space="preserve">not less </w:t>
      </w:r>
      <w:proofErr w:type="spellStart"/>
      <w:r w:rsidRPr="001D5CBD">
        <w:rPr>
          <w:rFonts w:ascii="Times New Roman" w:hAnsi="Times New Roman"/>
        </w:rPr>
        <w:t>favourable</w:t>
      </w:r>
      <w:proofErr w:type="spellEnd"/>
      <w:r w:rsidRPr="001D5CBD">
        <w:rPr>
          <w:rFonts w:ascii="Times New Roman" w:hAnsi="Times New Roman"/>
        </w:rPr>
        <w:t xml:space="preserve"> to the persons so employed than the rates and</w:t>
      </w:r>
      <w:r w:rsidR="00FE7AE3">
        <w:rPr>
          <w:rFonts w:ascii="Times New Roman" w:hAnsi="Times New Roman"/>
        </w:rPr>
        <w:t xml:space="preserve"> </w:t>
      </w:r>
      <w:r w:rsidRPr="001D5CBD">
        <w:rPr>
          <w:rFonts w:ascii="Times New Roman" w:hAnsi="Times New Roman"/>
        </w:rPr>
        <w:t>conditions so prescribed or declared.</w:t>
      </w:r>
      <w:r w:rsidR="004771E0">
        <w:rPr>
          <w:rFonts w:ascii="Times New Roman" w:hAnsi="Times New Roman"/>
        </w:rPr>
        <w:br w:type="page"/>
      </w:r>
    </w:p>
    <w:p w:rsidR="00B250D7" w:rsidRDefault="00120D82" w:rsidP="00493CF0">
      <w:pPr>
        <w:tabs>
          <w:tab w:val="left" w:pos="720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1D5CBD" w:rsidRPr="001D5CBD">
        <w:rPr>
          <w:rFonts w:ascii="Times New Roman" w:hAnsi="Times New Roman"/>
        </w:rPr>
        <w:t>(2.)</w:t>
      </w:r>
      <w:r w:rsidR="00B250D7">
        <w:rPr>
          <w:rFonts w:ascii="Times New Roman" w:hAnsi="Times New Roman"/>
        </w:rPr>
        <w:tab/>
      </w:r>
      <w:r w:rsidR="001D5CBD" w:rsidRPr="001D5CBD">
        <w:rPr>
          <w:rFonts w:ascii="Times New Roman" w:hAnsi="Times New Roman"/>
        </w:rPr>
        <w:t>If, in the locality where tractors in respect of the production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of which bounty is claimed are manufactured, the rates of wages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and conditions of employment to be paid and observed in respect of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any persons employed in the manufacture of those tractors have not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been prescribed by any award, or</w:t>
      </w:r>
      <w:r w:rsidR="00DB3D49">
        <w:rPr>
          <w:rFonts w:ascii="Times New Roman" w:hAnsi="Times New Roman"/>
        </w:rPr>
        <w:t>der or determination of the Com</w:t>
      </w:r>
      <w:r w:rsidR="001D5CBD" w:rsidRPr="001D5CBD">
        <w:rPr>
          <w:rFonts w:ascii="Times New Roman" w:hAnsi="Times New Roman"/>
        </w:rPr>
        <w:t>monwealth Court of Conciliation and Arbitration or of any other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industrial authority of the Commonwealth or of a State or Territory or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in any industrial agreement registered under any law of the Common-wealth, or of a State or Territory, the Minister may make application to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the Chief Judge or a Judge of the Commonwealth Court of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Conciliation and Arbitration for a declaration as to what rates of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wages and conditions of employment are fair and reasonable for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persons employed in the manufacture of tractors in that locality.</w:t>
      </w:r>
    </w:p>
    <w:p w:rsidR="00AB4275" w:rsidRPr="001D5CBD" w:rsidRDefault="00120D82" w:rsidP="00493CF0">
      <w:pPr>
        <w:tabs>
          <w:tab w:val="left" w:pos="720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D5CBD" w:rsidRPr="001D5CBD">
        <w:rPr>
          <w:rFonts w:ascii="Times New Roman" w:hAnsi="Times New Roman"/>
        </w:rPr>
        <w:t>(3.)</w:t>
      </w:r>
      <w:r w:rsidR="00B250D7">
        <w:rPr>
          <w:rFonts w:ascii="Times New Roman" w:hAnsi="Times New Roman"/>
        </w:rPr>
        <w:tab/>
      </w:r>
      <w:r w:rsidR="001D5CBD" w:rsidRPr="001D5CBD">
        <w:rPr>
          <w:rFonts w:ascii="Times New Roman" w:hAnsi="Times New Roman"/>
        </w:rPr>
        <w:t>If the Minister finds that the rates of wages paid to, or the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conditions of employment, or any of them, observed in respect of,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persons employed in the manufacture of tractors upon which bounty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 xml:space="preserve">is claimed were less </w:t>
      </w:r>
      <w:proofErr w:type="spellStart"/>
      <w:r w:rsidR="001D5CBD" w:rsidRPr="001D5CBD">
        <w:rPr>
          <w:rFonts w:ascii="Times New Roman" w:hAnsi="Times New Roman"/>
        </w:rPr>
        <w:t>favourable</w:t>
      </w:r>
      <w:proofErr w:type="spellEnd"/>
      <w:r w:rsidR="001D5CBD" w:rsidRPr="001D5CBD">
        <w:rPr>
          <w:rFonts w:ascii="Times New Roman" w:hAnsi="Times New Roman"/>
        </w:rPr>
        <w:t xml:space="preserve"> to those persons than the rates and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conditions prescribed or declared as specified in paragraph (</w:t>
      </w:r>
      <w:r w:rsidR="001D5CBD" w:rsidRPr="001D5CBD">
        <w:rPr>
          <w:rFonts w:ascii="Times New Roman" w:hAnsi="Times New Roman"/>
          <w:i/>
        </w:rPr>
        <w:t>a</w:t>
      </w:r>
      <w:r w:rsidR="001D5CBD" w:rsidRPr="001D5CBD">
        <w:rPr>
          <w:rFonts w:ascii="Times New Roman" w:hAnsi="Times New Roman"/>
        </w:rPr>
        <w:t>) or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paragraph (</w:t>
      </w:r>
      <w:r w:rsidR="001D5CBD" w:rsidRPr="001D5CBD">
        <w:rPr>
          <w:rFonts w:ascii="Times New Roman" w:hAnsi="Times New Roman"/>
          <w:i/>
        </w:rPr>
        <w:t>b</w:t>
      </w:r>
      <w:r w:rsidR="001D5CBD" w:rsidRPr="001D5CBD">
        <w:rPr>
          <w:rFonts w:ascii="Times New Roman" w:hAnsi="Times New Roman"/>
        </w:rPr>
        <w:t>),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as the case may be, of sub-section (1.) of this section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he may direct that the whole or any part of any bounty shall not be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payable and that whole or part, as the case may be, shall there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upon</w:t>
      </w:r>
      <w:r w:rsidR="00DB3D49">
        <w:rPr>
          <w:rFonts w:ascii="Times New Roman" w:hAnsi="Times New Roman"/>
        </w:rPr>
        <w:t xml:space="preserve"> </w:t>
      </w:r>
      <w:r w:rsidR="001D5CBD" w:rsidRPr="001D5CBD">
        <w:rPr>
          <w:rFonts w:ascii="Times New Roman" w:hAnsi="Times New Roman"/>
        </w:rPr>
        <w:t>not be payable.</w:t>
      </w:r>
      <w:r>
        <w:rPr>
          <w:rFonts w:ascii="Times New Roman" w:hAnsi="Times New Roman"/>
        </w:rPr>
        <w:t>”</w:t>
      </w:r>
      <w:r w:rsidR="001D5CBD" w:rsidRPr="001D5CBD">
        <w:rPr>
          <w:rFonts w:ascii="Times New Roman" w:hAnsi="Times New Roman"/>
        </w:rPr>
        <w:t>.</w:t>
      </w:r>
    </w:p>
    <w:sectPr w:rsidR="00AB4275" w:rsidRPr="001D5CBD" w:rsidSect="005F4500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E3" w:rsidRDefault="00F07DE3" w:rsidP="00E24203">
      <w:pPr>
        <w:spacing w:after="0" w:line="240" w:lineRule="auto"/>
      </w:pPr>
      <w:r>
        <w:separator/>
      </w:r>
    </w:p>
  </w:endnote>
  <w:endnote w:type="continuationSeparator" w:id="0">
    <w:p w:rsidR="00F07DE3" w:rsidRDefault="00F07DE3" w:rsidP="00E2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E3" w:rsidRDefault="00F07DE3" w:rsidP="00E24203">
      <w:pPr>
        <w:spacing w:after="0" w:line="240" w:lineRule="auto"/>
      </w:pPr>
      <w:r>
        <w:separator/>
      </w:r>
    </w:p>
  </w:footnote>
  <w:footnote w:type="continuationSeparator" w:id="0">
    <w:p w:rsidR="00F07DE3" w:rsidRDefault="00F07DE3" w:rsidP="00E2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03" w:rsidRPr="001219A6" w:rsidRDefault="00E24203">
    <w:pPr>
      <w:pStyle w:val="Header"/>
      <w:rPr>
        <w:rFonts w:ascii="Times New Roman" w:hAnsi="Times New Roman"/>
        <w:sz w:val="20"/>
      </w:rPr>
    </w:pPr>
    <w:r w:rsidRPr="001219A6">
      <w:rPr>
        <w:rFonts w:ascii="Times New Roman" w:hAnsi="Times New Roman"/>
        <w:sz w:val="20"/>
      </w:rPr>
      <w:t>1939.</w:t>
    </w:r>
    <w:r w:rsidRPr="001219A6">
      <w:rPr>
        <w:rFonts w:ascii="Times New Roman" w:hAnsi="Times New Roman"/>
        <w:sz w:val="20"/>
      </w:rPr>
      <w:ptab w:relativeTo="margin" w:alignment="center" w:leader="none"/>
    </w:r>
    <w:r w:rsidRPr="001219A6">
      <w:rPr>
        <w:rFonts w:ascii="Times New Roman" w:hAnsi="Times New Roman"/>
        <w:i/>
        <w:sz w:val="20"/>
      </w:rPr>
      <w:t xml:space="preserve">Tractor Bounty </w:t>
    </w:r>
    <w:r w:rsidRPr="001219A6">
      <w:rPr>
        <w:rFonts w:ascii="Times New Roman" w:hAnsi="Times New Roman"/>
        <w:sz w:val="20"/>
      </w:rPr>
      <w:t>(</w:t>
    </w:r>
    <w:r w:rsidRPr="001219A6">
      <w:rPr>
        <w:rFonts w:ascii="Times New Roman" w:hAnsi="Times New Roman"/>
        <w:i/>
        <w:sz w:val="20"/>
      </w:rPr>
      <w:t>No.2</w:t>
    </w:r>
    <w:r w:rsidRPr="001219A6">
      <w:rPr>
        <w:rFonts w:ascii="Times New Roman" w:hAnsi="Times New Roman"/>
        <w:sz w:val="20"/>
      </w:rPr>
      <w:t>)</w:t>
    </w:r>
    <w:r w:rsidR="001219A6">
      <w:rPr>
        <w:rFonts w:ascii="Times New Roman" w:hAnsi="Times New Roman"/>
        <w:sz w:val="20"/>
      </w:rPr>
      <w:t>.</w:t>
    </w:r>
    <w:r w:rsidRPr="001219A6">
      <w:rPr>
        <w:rFonts w:ascii="Times New Roman" w:hAnsi="Times New Roman"/>
        <w:sz w:val="20"/>
      </w:rPr>
      <w:ptab w:relativeTo="margin" w:alignment="right" w:leader="none"/>
    </w:r>
    <w:r w:rsidRPr="001219A6">
      <w:rPr>
        <w:rFonts w:ascii="Times New Roman" w:hAnsi="Times New Roman"/>
        <w:sz w:val="20"/>
      </w:rPr>
      <w:t>No.80.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0559"/>
    <w:rsid w:val="00120D82"/>
    <w:rsid w:val="001219A6"/>
    <w:rsid w:val="001513DD"/>
    <w:rsid w:val="001D5CBD"/>
    <w:rsid w:val="001E3683"/>
    <w:rsid w:val="002503AB"/>
    <w:rsid w:val="002E3853"/>
    <w:rsid w:val="00346879"/>
    <w:rsid w:val="003726F7"/>
    <w:rsid w:val="003B1455"/>
    <w:rsid w:val="004771E0"/>
    <w:rsid w:val="00493CF0"/>
    <w:rsid w:val="005C75ED"/>
    <w:rsid w:val="005F4500"/>
    <w:rsid w:val="005F4764"/>
    <w:rsid w:val="007B0559"/>
    <w:rsid w:val="008640B2"/>
    <w:rsid w:val="009809BC"/>
    <w:rsid w:val="009C5E95"/>
    <w:rsid w:val="00B250D7"/>
    <w:rsid w:val="00C27171"/>
    <w:rsid w:val="00CE3795"/>
    <w:rsid w:val="00DB3D49"/>
    <w:rsid w:val="00E24203"/>
    <w:rsid w:val="00ED6104"/>
    <w:rsid w:val="00F07DE3"/>
    <w:rsid w:val="00F768C0"/>
    <w:rsid w:val="00FE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809B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809B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9809B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9809B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9809B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809B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9809B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9809B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9809B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9809B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9809BC"/>
    <w:rPr>
      <w:rFonts w:ascii="Cambria" w:eastAsia="Cambria" w:hAnsi="Cambria" w:cs="Cambria"/>
      <w:b w:val="0"/>
      <w:bCs w:val="0"/>
      <w:i w:val="0"/>
      <w:iCs w:val="0"/>
      <w:smallCaps w:val="0"/>
      <w:spacing w:val="-10"/>
      <w:sz w:val="32"/>
      <w:szCs w:val="32"/>
    </w:rPr>
  </w:style>
  <w:style w:type="character" w:customStyle="1" w:styleId="CharStyle2">
    <w:name w:val="CharStyle2"/>
    <w:basedOn w:val="DefaultParagraphFont"/>
    <w:rsid w:val="0098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3">
    <w:name w:val="CharStyle3"/>
    <w:basedOn w:val="DefaultParagraphFont"/>
    <w:rsid w:val="009809BC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9809B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9809B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98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8">
    <w:name w:val="CharStyle8"/>
    <w:basedOn w:val="DefaultParagraphFont"/>
    <w:rsid w:val="009809B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9809B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9809B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3">
    <w:name w:val="CharStyle13"/>
    <w:basedOn w:val="DefaultParagraphFont"/>
    <w:rsid w:val="009809BC"/>
    <w:rPr>
      <w:rFonts w:ascii="Century Schoolbook" w:eastAsia="Century Schoolbook" w:hAnsi="Century Schoolbook" w:cs="Century Schoolbook"/>
      <w:b/>
      <w:bCs/>
      <w:i w:val="0"/>
      <w:iCs w:val="0"/>
      <w:smallCaps/>
      <w:spacing w:val="10"/>
      <w:sz w:val="16"/>
      <w:szCs w:val="16"/>
    </w:rPr>
  </w:style>
  <w:style w:type="character" w:customStyle="1" w:styleId="CharStyle14">
    <w:name w:val="CharStyle14"/>
    <w:basedOn w:val="DefaultParagraphFont"/>
    <w:rsid w:val="0098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24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203"/>
  </w:style>
  <w:style w:type="paragraph" w:styleId="Footer">
    <w:name w:val="footer"/>
    <w:basedOn w:val="Normal"/>
    <w:link w:val="FooterChar"/>
    <w:uiPriority w:val="99"/>
    <w:semiHidden/>
    <w:unhideWhenUsed/>
    <w:rsid w:val="00E24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203"/>
  </w:style>
  <w:style w:type="paragraph" w:styleId="BalloonText">
    <w:name w:val="Balloon Text"/>
    <w:basedOn w:val="Normal"/>
    <w:link w:val="BalloonTextChar"/>
    <w:uiPriority w:val="99"/>
    <w:semiHidden/>
    <w:unhideWhenUsed/>
    <w:rsid w:val="00E2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23</cp:revision>
  <dcterms:created xsi:type="dcterms:W3CDTF">2017-04-11T10:10:00Z</dcterms:created>
  <dcterms:modified xsi:type="dcterms:W3CDTF">2017-11-07T21:24:00Z</dcterms:modified>
</cp:coreProperties>
</file>