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F6" w:rsidRPr="003A6A5E" w:rsidRDefault="00A05752" w:rsidP="003A6A5E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</w:rPr>
      </w:pPr>
      <w:r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FLOUR TAX (No</w:t>
      </w:r>
      <w:r w:rsidR="00BE135B" w:rsidRPr="003A6A5E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. 1).</w:t>
      </w:r>
    </w:p>
    <w:p w:rsidR="003A6A5E" w:rsidRPr="00C515A4" w:rsidRDefault="003A6A5E" w:rsidP="009A0A72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eastAsia="Century Schoolbook" w:hAnsi="Times New Roman" w:cs="Times New Roman"/>
          <w:bCs/>
          <w:szCs w:val="28"/>
          <w:lang w:val="en-US" w:eastAsia="en-US"/>
        </w:rPr>
      </w:pPr>
    </w:p>
    <w:p w:rsidR="001229F6" w:rsidRPr="003A6A5E" w:rsidRDefault="00BE135B" w:rsidP="003A6A5E">
      <w:pPr>
        <w:spacing w:before="120" w:after="12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3A6A5E">
        <w:rPr>
          <w:rFonts w:ascii="Times New Roman" w:eastAsia="Century Schoolbook" w:hAnsi="Times New Roman" w:cs="Times New Roman"/>
          <w:b/>
          <w:bCs/>
          <w:sz w:val="28"/>
          <w:szCs w:val="28"/>
          <w:lang w:val="en-US" w:eastAsia="en-US"/>
        </w:rPr>
        <w:t>No. 67 of 1935.</w:t>
      </w:r>
    </w:p>
    <w:p w:rsidR="001229F6" w:rsidRPr="003A6A5E" w:rsidRDefault="00BE135B" w:rsidP="005757CF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3A6A5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3A6A5E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Flour Tax Act</w:t>
      </w:r>
      <w:r w:rsidRPr="003A6A5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 (</w:t>
      </w:r>
      <w:r w:rsidRPr="003A6A5E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3A6A5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1) 1934.</w:t>
      </w:r>
    </w:p>
    <w:p w:rsidR="001229F6" w:rsidRPr="003A6A5E" w:rsidRDefault="00BE135B" w:rsidP="00B24C6E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3A6A5E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9th December, 1935.]</w:t>
      </w:r>
    </w:p>
    <w:p w:rsidR="001229F6" w:rsidRPr="00A05752" w:rsidRDefault="00BE135B" w:rsidP="00C515A4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A05752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1229F6" w:rsidRPr="00A54F58" w:rsidRDefault="00BE135B" w:rsidP="00A54F58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20"/>
        </w:rPr>
      </w:pPr>
      <w:r w:rsidRPr="00A54F58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1229F6" w:rsidRPr="00B47D42" w:rsidRDefault="00BE135B" w:rsidP="00326644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B47D42">
        <w:rPr>
          <w:rFonts w:ascii="Times New Roman" w:eastAsia="Tahoma" w:hAnsi="Times New Roman" w:cs="Times New Roman"/>
          <w:b/>
          <w:bCs/>
          <w:lang w:val="en-US" w:eastAsia="en-US"/>
        </w:rPr>
        <w:t>1.</w:t>
      </w:r>
      <w:r w:rsidRPr="00B47D42">
        <w:rPr>
          <w:rFonts w:ascii="Times New Roman" w:eastAsia="Tahoma" w:hAnsi="Times New Roman" w:cs="Times New Roman"/>
          <w:lang w:val="en-US" w:eastAsia="en-US"/>
        </w:rPr>
        <w:t>—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>(1.)</w:t>
      </w:r>
      <w:r w:rsidR="00A54F58">
        <w:rPr>
          <w:rFonts w:ascii="Times New Roman" w:eastAsia="Century Schoolbook" w:hAnsi="Times New Roman" w:cs="Times New Roman"/>
          <w:lang w:val="en-US" w:eastAsia="en-US"/>
        </w:rPr>
        <w:tab/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>Fl</w:t>
      </w:r>
      <w:bookmarkStart w:id="0" w:name="_GoBack"/>
      <w:bookmarkEnd w:id="0"/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>our Tax Act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>1) 1935.</w:t>
      </w:r>
    </w:p>
    <w:p w:rsidR="00A54F58" w:rsidRDefault="00BE135B" w:rsidP="0032664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B47D42">
        <w:rPr>
          <w:rFonts w:ascii="Times New Roman" w:eastAsia="Century Schoolbook" w:hAnsi="Times New Roman" w:cs="Times New Roman"/>
          <w:lang w:val="en-US" w:eastAsia="en-US"/>
        </w:rPr>
        <w:t>(2.)</w:t>
      </w:r>
      <w:r w:rsidR="00A54F58">
        <w:rPr>
          <w:rFonts w:ascii="Times New Roman" w:eastAsia="Century Schoolbook" w:hAnsi="Times New Roman" w:cs="Times New Roman"/>
          <w:lang w:val="en-US" w:eastAsia="en-US"/>
        </w:rPr>
        <w:tab/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>Flour Tax Act</w:t>
      </w:r>
      <w:r w:rsidRPr="00BE135B">
        <w:rPr>
          <w:rFonts w:ascii="Times New Roman" w:eastAsia="Century Schoolbook" w:hAnsi="Times New Roman" w:cs="Times New Roman"/>
          <w:iCs/>
          <w:lang w:val="en-US" w:eastAsia="en-US"/>
        </w:rPr>
        <w:t xml:space="preserve"> (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="00A05752">
        <w:rPr>
          <w:rFonts w:ascii="Times New Roman" w:eastAsia="Century Schoolbook" w:hAnsi="Times New Roman" w:cs="Times New Roman"/>
          <w:lang w:val="en-US" w:eastAsia="en-US"/>
        </w:rPr>
        <w:t>1) 1934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1229F6" w:rsidRPr="00B47D42" w:rsidRDefault="00BE135B" w:rsidP="0032664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B47D42">
        <w:rPr>
          <w:rFonts w:ascii="Times New Roman" w:eastAsia="Century Schoolbook" w:hAnsi="Times New Roman" w:cs="Times New Roman"/>
          <w:lang w:val="en-US" w:eastAsia="en-US"/>
        </w:rPr>
        <w:t>(3.)</w:t>
      </w:r>
      <w:r w:rsidR="00A54F58">
        <w:rPr>
          <w:rFonts w:ascii="Times New Roman" w:eastAsia="Century Schoolbook" w:hAnsi="Times New Roman" w:cs="Times New Roman"/>
          <w:lang w:val="en-US" w:eastAsia="en-US"/>
        </w:rPr>
        <w:tab/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Flour Tax </w:t>
      </w:r>
      <w:r w:rsidRPr="00B47D42">
        <w:rPr>
          <w:rFonts w:ascii="Times New Roman" w:eastAsia="Tahoma" w:hAnsi="Times New Roman" w:cs="Times New Roman"/>
          <w:i/>
          <w:iCs/>
          <w:lang w:val="en-US" w:eastAsia="en-US"/>
        </w:rPr>
        <w:t>Act</w:t>
      </w:r>
      <w:r w:rsidR="00A54F58">
        <w:rPr>
          <w:rFonts w:ascii="Times New Roman" w:eastAsia="Tahoma" w:hAnsi="Times New Roman" w:cs="Times New Roman"/>
          <w:i/>
          <w:iCs/>
          <w:lang w:val="en-US" w:eastAsia="en-US"/>
        </w:rPr>
        <w:t xml:space="preserve"> 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>(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No. 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>1) 1934–1935.</w:t>
      </w:r>
    </w:p>
    <w:p w:rsidR="001229F6" w:rsidRPr="00326644" w:rsidRDefault="00BE135B" w:rsidP="00326644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20"/>
        </w:rPr>
      </w:pPr>
      <w:r w:rsidRPr="0032664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Imposition of tax.</w:t>
      </w:r>
    </w:p>
    <w:p w:rsidR="001229F6" w:rsidRPr="00B47D42" w:rsidRDefault="00BE135B" w:rsidP="00326644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B47D42">
        <w:rPr>
          <w:rFonts w:ascii="Times New Roman" w:eastAsia="Tahoma" w:hAnsi="Times New Roman" w:cs="Times New Roman"/>
          <w:b/>
          <w:bCs/>
          <w:lang w:val="en-US" w:eastAsia="en-US"/>
        </w:rPr>
        <w:t>2.</w:t>
      </w:r>
      <w:r w:rsidR="00326644">
        <w:rPr>
          <w:rFonts w:ascii="Times New Roman" w:eastAsia="Tahoma" w:hAnsi="Times New Roman" w:cs="Times New Roman"/>
          <w:b/>
          <w:bCs/>
          <w:lang w:val="en-US" w:eastAsia="en-US"/>
        </w:rPr>
        <w:tab/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Section three of the Principal Act is amended by omitting the words “the seventh day of January, One thousand nine hundred and thirty-six” (wherever occurring) and inserting in their stead the words “a date fixed by proclamation under section thirty-two </w:t>
      </w:r>
      <w:r w:rsidRPr="00B47D42">
        <w:rPr>
          <w:rFonts w:ascii="Times New Roman" w:eastAsia="Century Schoolbook" w:hAnsi="Times New Roman" w:cs="Times New Roman"/>
          <w:smallCaps/>
          <w:lang w:val="en-US" w:eastAsia="en-US"/>
        </w:rPr>
        <w:t>a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 xml:space="preserve"> of the </w:t>
      </w:r>
      <w:r w:rsidRPr="00B47D4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Flour Tax Assessment Act </w:t>
      </w:r>
      <w:r w:rsidRPr="00B47D42">
        <w:rPr>
          <w:rFonts w:ascii="Times New Roman" w:eastAsia="Century Schoolbook" w:hAnsi="Times New Roman" w:cs="Times New Roman"/>
          <w:lang w:val="en-US" w:eastAsia="en-US"/>
        </w:rPr>
        <w:t>1934–1935”.</w:t>
      </w:r>
    </w:p>
    <w:p w:rsidR="00850198" w:rsidRPr="00B47D42" w:rsidRDefault="00850198" w:rsidP="009A0A72">
      <w:pPr>
        <w:pStyle w:val="Style12"/>
        <w:pBdr>
          <w:bottom w:val="single" w:sz="4" w:space="1" w:color="auto"/>
        </w:pBdr>
        <w:ind w:left="3600" w:right="3600"/>
        <w:jc w:val="center"/>
        <w:rPr>
          <w:rFonts w:ascii="Times New Roman" w:hAnsi="Times New Roman" w:cs="Times New Roman"/>
          <w:sz w:val="22"/>
          <w:szCs w:val="22"/>
        </w:rPr>
      </w:pPr>
    </w:p>
    <w:sectPr w:rsidR="00850198" w:rsidRPr="00B47D42" w:rsidSect="00412011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00" w:rsidRDefault="00EF4600" w:rsidP="00412011">
      <w:pPr>
        <w:spacing w:after="0" w:line="240" w:lineRule="auto"/>
      </w:pPr>
      <w:r>
        <w:separator/>
      </w:r>
    </w:p>
  </w:endnote>
  <w:endnote w:type="continuationSeparator" w:id="0">
    <w:p w:rsidR="00EF4600" w:rsidRDefault="00EF4600" w:rsidP="0041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00" w:rsidRDefault="00EF4600" w:rsidP="00412011">
      <w:pPr>
        <w:spacing w:after="0" w:line="240" w:lineRule="auto"/>
      </w:pPr>
      <w:r>
        <w:separator/>
      </w:r>
    </w:p>
  </w:footnote>
  <w:footnote w:type="continuationSeparator" w:id="0">
    <w:p w:rsidR="00EF4600" w:rsidRDefault="00EF4600" w:rsidP="0041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B5E"/>
    <w:rsid w:val="002866C0"/>
    <w:rsid w:val="00326644"/>
    <w:rsid w:val="003A6A5E"/>
    <w:rsid w:val="0040576A"/>
    <w:rsid w:val="00412011"/>
    <w:rsid w:val="005650E8"/>
    <w:rsid w:val="005757CF"/>
    <w:rsid w:val="005F2AF8"/>
    <w:rsid w:val="00757B56"/>
    <w:rsid w:val="00773F51"/>
    <w:rsid w:val="00777A58"/>
    <w:rsid w:val="007D082A"/>
    <w:rsid w:val="00850198"/>
    <w:rsid w:val="00884103"/>
    <w:rsid w:val="009A0A72"/>
    <w:rsid w:val="009C5649"/>
    <w:rsid w:val="00A05752"/>
    <w:rsid w:val="00A420A7"/>
    <w:rsid w:val="00A54F58"/>
    <w:rsid w:val="00A862AA"/>
    <w:rsid w:val="00AF52CA"/>
    <w:rsid w:val="00B24C6E"/>
    <w:rsid w:val="00B3763A"/>
    <w:rsid w:val="00B47D42"/>
    <w:rsid w:val="00BA0C70"/>
    <w:rsid w:val="00BE135B"/>
    <w:rsid w:val="00C515A4"/>
    <w:rsid w:val="00C818DE"/>
    <w:rsid w:val="00DA2B5E"/>
    <w:rsid w:val="00DC1452"/>
    <w:rsid w:val="00E25557"/>
    <w:rsid w:val="00EF4600"/>
    <w:rsid w:val="00FC5E2F"/>
    <w:rsid w:val="00FD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AF52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F52CA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3">
    <w:name w:val="CharStyle3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7">
    <w:name w:val="CharStyle7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AF52CA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basedOn w:val="DefaultParagraphFont"/>
    <w:rsid w:val="00AF52C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4">
    <w:name w:val="CharStyle14"/>
    <w:basedOn w:val="DefaultParagraphFont"/>
    <w:rsid w:val="00AF52CA"/>
    <w:rPr>
      <w:rFonts w:ascii="Tahoma" w:eastAsia="Tahoma" w:hAnsi="Tahoma" w:cs="Tahoma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AF52CA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AF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AF52CA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011"/>
  </w:style>
  <w:style w:type="paragraph" w:styleId="Footer">
    <w:name w:val="footer"/>
    <w:basedOn w:val="Normal"/>
    <w:link w:val="FooterChar"/>
    <w:uiPriority w:val="99"/>
    <w:unhideWhenUsed/>
    <w:rsid w:val="0041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011"/>
  </w:style>
  <w:style w:type="paragraph" w:styleId="BalloonText">
    <w:name w:val="Balloon Text"/>
    <w:basedOn w:val="Normal"/>
    <w:link w:val="BalloonTextChar"/>
    <w:uiPriority w:val="99"/>
    <w:semiHidden/>
    <w:unhideWhenUsed/>
    <w:rsid w:val="004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2017-04-06T12:29:00Z</dcterms:created>
  <dcterms:modified xsi:type="dcterms:W3CDTF">2017-10-08T21:46:00Z</dcterms:modified>
</cp:coreProperties>
</file>