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3" w:rsidRPr="00DE0166" w:rsidRDefault="00212D53" w:rsidP="009A6DA9">
      <w:pPr>
        <w:jc w:val="center"/>
        <w:rPr>
          <w:rFonts w:ascii="Times New Roman" w:eastAsia="Century Schoolbook" w:hAnsi="Times New Roman" w:cs="Times New Roman"/>
          <w:sz w:val="36"/>
          <w:lang w:val="en-US" w:eastAsia="en-US"/>
        </w:rPr>
      </w:pPr>
      <w:r w:rsidRPr="00DE0166">
        <w:rPr>
          <w:rFonts w:ascii="Times New Roman" w:eastAsia="Century Schoolbook" w:hAnsi="Times New Roman" w:cs="Times New Roman"/>
          <w:sz w:val="36"/>
          <w:lang w:val="en-US" w:eastAsia="en-US"/>
        </w:rPr>
        <w:t>SEAT OF GOVERNMENT (ADMINISTRATION).</w:t>
      </w:r>
    </w:p>
    <w:p w:rsidR="00723F41" w:rsidRPr="00DE0166" w:rsidRDefault="00723F41" w:rsidP="00F724FD">
      <w:pPr>
        <w:pBdr>
          <w:bottom w:val="single" w:sz="4" w:space="1" w:color="auto"/>
        </w:pBdr>
        <w:ind w:left="3888" w:right="3888"/>
        <w:jc w:val="center"/>
        <w:rPr>
          <w:rFonts w:ascii="Times New Roman" w:eastAsia="Century Schoolbook" w:hAnsi="Times New Roman" w:cs="Times New Roman"/>
          <w:sz w:val="36"/>
        </w:rPr>
      </w:pPr>
    </w:p>
    <w:p w:rsidR="00EB4813" w:rsidRPr="00DE0166" w:rsidRDefault="00212D53" w:rsidP="00F724FD">
      <w:pPr>
        <w:spacing w:before="120" w:after="120"/>
        <w:jc w:val="center"/>
        <w:rPr>
          <w:rFonts w:ascii="Times New Roman" w:eastAsia="Century Schoolbook" w:hAnsi="Times New Roman" w:cs="Times New Roman"/>
          <w:sz w:val="28"/>
        </w:rPr>
      </w:pPr>
      <w:r w:rsidRPr="00DE0166">
        <w:rPr>
          <w:rFonts w:ascii="Times New Roman" w:eastAsia="Century Schoolbook" w:hAnsi="Times New Roman" w:cs="Times New Roman"/>
          <w:b/>
          <w:bCs/>
          <w:sz w:val="28"/>
          <w:lang w:val="en-US" w:eastAsia="en-US"/>
        </w:rPr>
        <w:t>No. 39 of 1935.</w:t>
      </w:r>
    </w:p>
    <w:p w:rsidR="00EB4813" w:rsidRPr="00DE0166" w:rsidRDefault="00212D53" w:rsidP="00F724FD">
      <w:pPr>
        <w:ind w:left="1296" w:hanging="576"/>
        <w:rPr>
          <w:rFonts w:ascii="Times New Roman" w:eastAsia="Century Schoolbook" w:hAnsi="Times New Roman" w:cs="Times New Roman"/>
          <w:sz w:val="26"/>
        </w:rPr>
      </w:pPr>
      <w:r w:rsidRPr="00DE0166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An Act to amend the </w:t>
      </w:r>
      <w:r w:rsidRPr="00DE0166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 xml:space="preserve">Seat of Government </w:t>
      </w:r>
      <w:r w:rsidRPr="00DE0166">
        <w:rPr>
          <w:rFonts w:ascii="Times New Roman" w:eastAsia="Century Schoolbook" w:hAnsi="Times New Roman" w:cs="Times New Roman"/>
          <w:sz w:val="26"/>
          <w:lang w:val="en-US" w:eastAsia="en-US"/>
        </w:rPr>
        <w:t>(</w:t>
      </w:r>
      <w:r w:rsidRPr="00DE0166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>Administration</w:t>
      </w:r>
      <w:r w:rsidRPr="00DE0166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) </w:t>
      </w:r>
      <w:r w:rsidRPr="00DE0166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 xml:space="preserve">Act </w:t>
      </w:r>
      <w:r w:rsidRPr="00DE0166">
        <w:rPr>
          <w:rFonts w:ascii="Times New Roman" w:eastAsia="Century Schoolbook" w:hAnsi="Times New Roman" w:cs="Times New Roman"/>
          <w:sz w:val="26"/>
          <w:lang w:val="en-US" w:eastAsia="en-US"/>
        </w:rPr>
        <w:t>1930–1934.</w:t>
      </w:r>
    </w:p>
    <w:p w:rsidR="00EB4813" w:rsidRPr="00DE0166" w:rsidRDefault="00212D53" w:rsidP="00F724FD">
      <w:pPr>
        <w:spacing w:before="120" w:after="120"/>
        <w:jc w:val="right"/>
        <w:rPr>
          <w:rFonts w:ascii="Times New Roman" w:eastAsia="Century Schoolbook" w:hAnsi="Times New Roman" w:cs="Times New Roman"/>
          <w:sz w:val="26"/>
        </w:rPr>
      </w:pPr>
      <w:r w:rsidRPr="00DE0166">
        <w:rPr>
          <w:rFonts w:ascii="Times New Roman" w:eastAsia="Century Schoolbook" w:hAnsi="Times New Roman" w:cs="Times New Roman"/>
          <w:sz w:val="26"/>
          <w:lang w:val="en-US" w:eastAsia="en-US"/>
        </w:rPr>
        <w:t>[Assented to 25th October, 1935.]</w:t>
      </w:r>
    </w:p>
    <w:p w:rsidR="00EB4813" w:rsidRPr="00FC4B5B" w:rsidRDefault="00212D53" w:rsidP="00DE0166">
      <w:pPr>
        <w:rPr>
          <w:rFonts w:ascii="Times New Roman" w:eastAsia="Century Schoolbook" w:hAnsi="Times New Roman" w:cs="Times New Roman"/>
        </w:rPr>
      </w:pPr>
      <w:r w:rsidRPr="00FC4B5B">
        <w:rPr>
          <w:rFonts w:ascii="Times New Roman" w:eastAsia="Century Schoolbook" w:hAnsi="Times New Roman" w:cs="Times New Roman"/>
          <w:lang w:val="en-US" w:eastAsia="en-US"/>
        </w:rPr>
        <w:t>BE it enacted by the King’s Most Excellent Majesty, the Senate, and the House of Representatives of the Commonwealth of Australia, as follow:—</w:t>
      </w:r>
    </w:p>
    <w:p w:rsidR="00EB4813" w:rsidRPr="00DE0166" w:rsidRDefault="00212D53" w:rsidP="00F8663B">
      <w:pPr>
        <w:spacing w:before="120" w:after="60"/>
        <w:rPr>
          <w:rFonts w:ascii="Times New Roman" w:eastAsia="Century Schoolbook" w:hAnsi="Times New Roman" w:cs="Times New Roman"/>
          <w:sz w:val="20"/>
        </w:rPr>
      </w:pPr>
      <w:r w:rsidRPr="00DE0166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Short title and citation.</w:t>
      </w:r>
    </w:p>
    <w:p w:rsidR="00EB4813" w:rsidRPr="00DE0166" w:rsidRDefault="00212D53" w:rsidP="00F8663B">
      <w:pPr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Bookman Old Style" w:hAnsi="Times New Roman" w:cs="Times New Roman"/>
          <w:b/>
          <w:bCs/>
          <w:lang w:val="en-US" w:eastAsia="en-US"/>
        </w:rPr>
        <w:t>1.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>—(1.)</w:t>
      </w:r>
      <w:r w:rsidR="0039761F">
        <w:rPr>
          <w:rFonts w:ascii="Times New Roman" w:eastAsia="Century Schoolbook" w:hAnsi="Times New Roman" w:cs="Times New Roman"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This Act may be cited as the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Seal of Government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Administration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>1935.</w:t>
      </w:r>
    </w:p>
    <w:p w:rsidR="00EB4813" w:rsidRPr="00DE0166" w:rsidRDefault="00212D53" w:rsidP="0039761F">
      <w:pPr>
        <w:tabs>
          <w:tab w:val="left" w:pos="990"/>
        </w:tabs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Century Schoolbook" w:hAnsi="Times New Roman" w:cs="Times New Roman"/>
          <w:lang w:val="en-US" w:eastAsia="en-US"/>
        </w:rPr>
        <w:t>(2.)</w:t>
      </w:r>
      <w:r w:rsidR="0039761F">
        <w:rPr>
          <w:rFonts w:ascii="Times New Roman" w:eastAsia="Century Schoolbook" w:hAnsi="Times New Roman" w:cs="Times New Roman"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The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Seat of Government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Administration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="00FC4B5B">
        <w:rPr>
          <w:rFonts w:ascii="Times New Roman" w:eastAsia="Century Schoolbook" w:hAnsi="Times New Roman" w:cs="Times New Roman"/>
          <w:lang w:val="en-US" w:eastAsia="en-US"/>
        </w:rPr>
        <w:t>1930–1934</w:t>
      </w:r>
      <w:bookmarkStart w:id="0" w:name="_GoBack"/>
      <w:bookmarkEnd w:id="0"/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 is in this Act referred to as the Principal Act.</w:t>
      </w:r>
    </w:p>
    <w:p w:rsidR="00EB4813" w:rsidRPr="00DE0166" w:rsidRDefault="00212D53" w:rsidP="0039761F">
      <w:pPr>
        <w:tabs>
          <w:tab w:val="left" w:pos="990"/>
        </w:tabs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Century Schoolbook" w:hAnsi="Times New Roman" w:cs="Times New Roman"/>
          <w:lang w:val="en-US" w:eastAsia="en-US"/>
        </w:rPr>
        <w:t>(3.)</w:t>
      </w:r>
      <w:r w:rsidR="0039761F">
        <w:rPr>
          <w:rFonts w:ascii="Times New Roman" w:eastAsia="Century Schoolbook" w:hAnsi="Times New Roman" w:cs="Times New Roman"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The Principal Act, as amended by this Act, may be cited as </w:t>
      </w:r>
      <w:r w:rsidR="003C7F3A">
        <w:rPr>
          <w:rFonts w:ascii="Times New Roman" w:eastAsia="Century Schoolbook" w:hAnsi="Times New Roman" w:cs="Times New Roman"/>
          <w:lang w:val="en-US" w:eastAsia="en-US"/>
        </w:rPr>
        <w:t>t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>he</w:t>
      </w:r>
      <w:r w:rsidR="003C7F3A">
        <w:rPr>
          <w:rFonts w:ascii="Times New Roman" w:eastAsia="Century Schoolbook" w:hAnsi="Times New Roman" w:cs="Times New Roman"/>
          <w:lang w:val="en-US" w:eastAsia="en-US"/>
        </w:rPr>
        <w:t xml:space="preserve">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Seat of Government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Administration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Act</w:t>
      </w:r>
      <w:r w:rsidR="003C7F3A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 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>1930–1935.</w:t>
      </w:r>
    </w:p>
    <w:p w:rsidR="00EB4813" w:rsidRPr="00DE0166" w:rsidRDefault="00212D53" w:rsidP="00F8663B">
      <w:pPr>
        <w:spacing w:before="120" w:after="60"/>
        <w:rPr>
          <w:rFonts w:ascii="Times New Roman" w:eastAsia="Century Schoolbook" w:hAnsi="Times New Roman" w:cs="Times New Roman"/>
          <w:sz w:val="20"/>
        </w:rPr>
      </w:pPr>
      <w:r w:rsidRPr="00DE0166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Commencement.</w:t>
      </w:r>
    </w:p>
    <w:p w:rsidR="00EB4813" w:rsidRPr="00DE0166" w:rsidRDefault="00212D53" w:rsidP="0039761F">
      <w:pPr>
        <w:tabs>
          <w:tab w:val="left" w:pos="900"/>
        </w:tabs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Bookman Old Style" w:hAnsi="Times New Roman" w:cs="Times New Roman"/>
          <w:b/>
          <w:bCs/>
          <w:lang w:val="en-US" w:eastAsia="en-US"/>
        </w:rPr>
        <w:t>2.</w:t>
      </w:r>
      <w:r w:rsidR="0039761F">
        <w:rPr>
          <w:rFonts w:ascii="Times New Roman" w:eastAsia="Bookman Old Style" w:hAnsi="Times New Roman" w:cs="Times New Roman"/>
          <w:b/>
          <w:bCs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This Act shall be deemed to have commenced on the date of commencement of the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Seat of Government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>Administration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DE0166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DE0166">
        <w:rPr>
          <w:rFonts w:ascii="Times New Roman" w:eastAsia="Century Schoolbook" w:hAnsi="Times New Roman" w:cs="Times New Roman"/>
          <w:lang w:val="en-US" w:eastAsia="en-US"/>
        </w:rPr>
        <w:t>1930.</w:t>
      </w:r>
    </w:p>
    <w:p w:rsidR="00EB4813" w:rsidRPr="00DE0166" w:rsidRDefault="00212D53" w:rsidP="00F8663B">
      <w:pPr>
        <w:spacing w:before="120" w:after="60"/>
        <w:rPr>
          <w:rFonts w:ascii="Times New Roman" w:eastAsia="Century Schoolbook" w:hAnsi="Times New Roman" w:cs="Times New Roman"/>
          <w:sz w:val="20"/>
        </w:rPr>
      </w:pPr>
      <w:r w:rsidRPr="00DE0166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Continuance of By-laws under repealed Act</w:t>
      </w:r>
    </w:p>
    <w:p w:rsidR="00EB4813" w:rsidRPr="00DE0166" w:rsidRDefault="00212D53" w:rsidP="0039761F">
      <w:pPr>
        <w:tabs>
          <w:tab w:val="left" w:pos="900"/>
        </w:tabs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Bookman Old Style" w:hAnsi="Times New Roman" w:cs="Times New Roman"/>
          <w:b/>
          <w:bCs/>
          <w:lang w:val="en-US" w:eastAsia="en-US"/>
        </w:rPr>
        <w:t>3.</w:t>
      </w:r>
      <w:r w:rsidR="0039761F">
        <w:rPr>
          <w:rFonts w:ascii="Times New Roman" w:eastAsia="Bookman Old Style" w:hAnsi="Times New Roman" w:cs="Times New Roman"/>
          <w:b/>
          <w:bCs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>Section fourteen of the Principal Act is amended by inserting in sub-section (1.), after the word “amendments”, the words “(if any)”.</w:t>
      </w:r>
    </w:p>
    <w:p w:rsidR="00EB4813" w:rsidRPr="00DE0166" w:rsidRDefault="00212D53" w:rsidP="00AE5328">
      <w:pPr>
        <w:spacing w:before="120" w:after="60"/>
        <w:rPr>
          <w:rFonts w:ascii="Times New Roman" w:eastAsia="Century Schoolbook" w:hAnsi="Times New Roman" w:cs="Times New Roman"/>
          <w:sz w:val="20"/>
        </w:rPr>
      </w:pPr>
      <w:r w:rsidRPr="00DE0166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Schedule.</w:t>
      </w:r>
    </w:p>
    <w:p w:rsidR="00EB4813" w:rsidRPr="00DE0166" w:rsidRDefault="00212D53" w:rsidP="00AE5328">
      <w:pPr>
        <w:ind w:firstLine="432"/>
        <w:rPr>
          <w:rFonts w:ascii="Times New Roman" w:eastAsia="Century Schoolbook" w:hAnsi="Times New Roman" w:cs="Times New Roman"/>
        </w:rPr>
      </w:pPr>
      <w:r w:rsidRPr="00DE0166">
        <w:rPr>
          <w:rFonts w:ascii="Times New Roman" w:eastAsia="Bookman Old Style" w:hAnsi="Times New Roman" w:cs="Times New Roman"/>
          <w:b/>
          <w:bCs/>
          <w:lang w:val="en-US" w:eastAsia="en-US"/>
        </w:rPr>
        <w:t>4.</w:t>
      </w:r>
      <w:r w:rsidR="0039761F">
        <w:rPr>
          <w:rFonts w:ascii="Times New Roman" w:eastAsia="Bookman Old Style" w:hAnsi="Times New Roman" w:cs="Times New Roman"/>
          <w:b/>
          <w:bCs/>
          <w:lang w:val="en-US" w:eastAsia="en-US"/>
        </w:rPr>
        <w:tab/>
      </w:r>
      <w:r w:rsidRPr="00DE0166">
        <w:rPr>
          <w:rFonts w:ascii="Times New Roman" w:eastAsia="Century Schoolbook" w:hAnsi="Times New Roman" w:cs="Times New Roman"/>
          <w:lang w:val="en-US" w:eastAsia="en-US"/>
        </w:rPr>
        <w:t>The Schedule to the Principal Act is repealed and the following Schedule inserted in its stead:—</w:t>
      </w:r>
    </w:p>
    <w:p w:rsidR="00EB4813" w:rsidRPr="00DE0166" w:rsidRDefault="00212D53" w:rsidP="002428A8">
      <w:pPr>
        <w:spacing w:before="120" w:after="120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r w:rsidRPr="00DE0166">
        <w:rPr>
          <w:rFonts w:ascii="Times New Roman" w:eastAsia="Century Schoolbook" w:hAnsi="Times New Roman" w:cs="Times New Roman"/>
          <w:sz w:val="24"/>
          <w:szCs w:val="24"/>
          <w:lang w:val="en-US" w:eastAsia="en-US"/>
        </w:rPr>
        <w:t>“THE SCHEDULE.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3"/>
        <w:gridCol w:w="5364"/>
      </w:tblGrid>
      <w:tr w:rsidR="00EB4813" w:rsidRPr="00DE0166" w:rsidTr="00DE0166">
        <w:trPr>
          <w:trHeight w:val="20"/>
        </w:trPr>
        <w:tc>
          <w:tcPr>
            <w:tcW w:w="2055" w:type="pct"/>
            <w:tcBorders>
              <w:top w:val="single" w:sz="6" w:space="0" w:color="auto"/>
              <w:right w:val="single" w:sz="6" w:space="0" w:color="auto"/>
            </w:tcBorders>
          </w:tcPr>
          <w:p w:rsidR="00EB4813" w:rsidRPr="00DE0166" w:rsidRDefault="00212D53" w:rsidP="00404A25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First Column.</w:t>
            </w:r>
          </w:p>
        </w:tc>
        <w:tc>
          <w:tcPr>
            <w:tcW w:w="2945" w:type="pct"/>
            <w:tcBorders>
              <w:top w:val="single" w:sz="6" w:space="0" w:color="auto"/>
              <w:left w:val="single" w:sz="6" w:space="0" w:color="auto"/>
            </w:tcBorders>
          </w:tcPr>
          <w:p w:rsidR="00EB4813" w:rsidRPr="00DE0166" w:rsidRDefault="00212D53" w:rsidP="00404A25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Second Column.</w:t>
            </w:r>
          </w:p>
        </w:tc>
      </w:tr>
      <w:tr w:rsidR="00EB4813" w:rsidRPr="00DE0166" w:rsidTr="00DE0166">
        <w:trPr>
          <w:trHeight w:val="218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212D53" w:rsidP="009A08D2">
            <w:pPr>
              <w:tabs>
                <w:tab w:val="left" w:leader="dot" w:pos="3514"/>
              </w:tabs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Accommodation By-laws</w:t>
            </w:r>
            <w:r w:rsidR="009A08D2"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ab/>
            </w: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385F02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</w:p>
        </w:tc>
      </w:tr>
      <w:tr w:rsidR="00DE0166" w:rsidRPr="00DE0166" w:rsidTr="00DE0166">
        <w:trPr>
          <w:trHeight w:val="530"/>
        </w:trPr>
        <w:tc>
          <w:tcPr>
            <w:tcW w:w="2055" w:type="pct"/>
            <w:tcBorders>
              <w:right w:val="single" w:sz="6" w:space="0" w:color="auto"/>
            </w:tcBorders>
          </w:tcPr>
          <w:p w:rsidR="00DE0166" w:rsidRPr="00DE0166" w:rsidRDefault="00DE0166" w:rsidP="009A08D2">
            <w:pPr>
              <w:tabs>
                <w:tab w:val="left" w:leader="dot" w:pos="3514"/>
              </w:tabs>
              <w:rPr>
                <w:rFonts w:ascii="Times New Roman" w:eastAsia="Century Schoolbook" w:hAnsi="Times New Roman" w:cs="Times New Roman"/>
                <w:lang w:val="en-US" w:eastAsia="en-US"/>
              </w:rPr>
            </w:pPr>
            <w:r w:rsidRPr="00DE0166">
              <w:rPr>
                <w:rFonts w:ascii="Times New Roman" w:eastAsia="Century Schoolbook" w:hAnsi="Times New Roman" w:cs="Times New Roman"/>
                <w:i/>
                <w:iCs/>
                <w:lang w:val="en-US" w:eastAsia="en-US"/>
              </w:rPr>
              <w:t>Protection of Lands By-laws</w:t>
            </w:r>
            <w:r w:rsidRPr="00DE0166">
              <w:rPr>
                <w:rFonts w:ascii="Times New Roman" w:eastAsia="Century Schoolbook" w:hAnsi="Times New Roman" w:cs="Times New Roman"/>
                <w:i/>
                <w:iCs/>
                <w:lang w:val="en-US" w:eastAsia="en-US"/>
              </w:rPr>
              <w:tab/>
            </w: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DE0166" w:rsidRPr="00DE0166" w:rsidRDefault="00DE0166" w:rsidP="00DE0166">
            <w:pPr>
              <w:ind w:left="432" w:hanging="432"/>
              <w:rPr>
                <w:rFonts w:ascii="Times New Roman" w:eastAsia="Century Schoolbook" w:hAnsi="Times New Roman" w:cs="Times New Roman"/>
                <w:lang w:val="en-US" w:eastAsia="en-US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from By-law No. 2 the definition of ‘Lands’, insert the definition ‘“Lands” means lands, vested in the Commonwealth;’.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385F02" w:rsidP="009A08D2">
            <w:pPr>
              <w:tabs>
                <w:tab w:val="left" w:pos="3514"/>
              </w:tabs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By-laws Nos. 3 to 11 (both inclusive) omit ‘Commission’ (wherever occurring), insert ‘Minister’.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385F02" w:rsidP="009A08D2">
            <w:pPr>
              <w:tabs>
                <w:tab w:val="left" w:pos="3514"/>
              </w:tabs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from By-law No. 3 ‘its’, insert ‘his’.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385F02" w:rsidP="009A08D2">
            <w:pPr>
              <w:tabs>
                <w:tab w:val="left" w:pos="3514"/>
              </w:tabs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from By-law No. 4 ‘it’, insert ‘he’.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212D53" w:rsidP="009A08D2">
            <w:pPr>
              <w:tabs>
                <w:tab w:val="left" w:leader="dot" w:pos="3514"/>
              </w:tabs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Public Bathing By-laws</w:t>
            </w:r>
            <w:r w:rsidR="009A08D2"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ab/>
            </w: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from By-law No. 2 the definition of ‘the Commission’.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385F02" w:rsidP="009A08D2">
            <w:pPr>
              <w:tabs>
                <w:tab w:val="left" w:pos="3514"/>
              </w:tabs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By-laws Nos. 3 to 12 (both inclusive) omit ‘Commission’ (wherever occurring), insert ‘Minister’.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right w:val="single" w:sz="6" w:space="0" w:color="auto"/>
            </w:tcBorders>
          </w:tcPr>
          <w:p w:rsidR="00EB4813" w:rsidRPr="00DE0166" w:rsidRDefault="00385F02" w:rsidP="009A08D2">
            <w:pPr>
              <w:tabs>
                <w:tab w:val="left" w:pos="3514"/>
              </w:tabs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2945" w:type="pct"/>
            <w:tcBorders>
              <w:left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from By-law No. 3 ‘its’, insert ‘his’.</w:t>
            </w:r>
          </w:p>
        </w:tc>
      </w:tr>
      <w:tr w:rsidR="00EB4813" w:rsidRPr="00DE0166" w:rsidTr="00DE0166">
        <w:trPr>
          <w:trHeight w:val="20"/>
        </w:trPr>
        <w:tc>
          <w:tcPr>
            <w:tcW w:w="2055" w:type="pct"/>
            <w:tcBorders>
              <w:bottom w:val="single" w:sz="6" w:space="0" w:color="auto"/>
              <w:right w:val="single" w:sz="6" w:space="0" w:color="auto"/>
            </w:tcBorders>
          </w:tcPr>
          <w:p w:rsidR="00EB4813" w:rsidRPr="00DE0166" w:rsidRDefault="00212D53" w:rsidP="009A08D2">
            <w:pPr>
              <w:tabs>
                <w:tab w:val="left" w:leader="dot" w:pos="3514"/>
              </w:tabs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Transportation By-laws</w:t>
            </w:r>
            <w:r w:rsidR="009A08D2"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ab/>
            </w:r>
          </w:p>
        </w:tc>
        <w:tc>
          <w:tcPr>
            <w:tcW w:w="2945" w:type="pct"/>
            <w:tcBorders>
              <w:left w:val="single" w:sz="6" w:space="0" w:color="auto"/>
              <w:bottom w:val="single" w:sz="6" w:space="0" w:color="auto"/>
            </w:tcBorders>
          </w:tcPr>
          <w:p w:rsidR="00EB4813" w:rsidRPr="00DE0166" w:rsidRDefault="00212D53" w:rsidP="00DE0166">
            <w:pPr>
              <w:ind w:left="432" w:hanging="432"/>
              <w:rPr>
                <w:rFonts w:ascii="Times New Roman" w:eastAsia="Century Schoolbook" w:hAnsi="Times New Roman" w:cs="Times New Roman"/>
              </w:rPr>
            </w:pPr>
            <w:r w:rsidRPr="00DE0166">
              <w:rPr>
                <w:rFonts w:ascii="Times New Roman" w:eastAsia="Century Schoolbook" w:hAnsi="Times New Roman" w:cs="Times New Roman"/>
                <w:lang w:val="en-US" w:eastAsia="en-US"/>
              </w:rPr>
              <w:t>Omit ‘Commission’ (wherever occurring) insert ‘Commonwealth’.”.</w:t>
            </w:r>
          </w:p>
        </w:tc>
      </w:tr>
    </w:tbl>
    <w:p w:rsidR="00EB4813" w:rsidRPr="00DE0166" w:rsidRDefault="00385F02" w:rsidP="00FC4B5B">
      <w:pPr>
        <w:pStyle w:val="Style35"/>
        <w:jc w:val="center"/>
        <w:rPr>
          <w:rFonts w:ascii="Times New Roman" w:hAnsi="Times New Roman" w:cs="Times New Roman"/>
          <w:sz w:val="22"/>
          <w:szCs w:val="22"/>
        </w:rPr>
      </w:pPr>
    </w:p>
    <w:sectPr w:rsidR="00EB4813" w:rsidRPr="00DE0166" w:rsidSect="008D4E40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7" w:rsidRDefault="001A1957" w:rsidP="008D4E40">
      <w:r>
        <w:separator/>
      </w:r>
    </w:p>
  </w:endnote>
  <w:endnote w:type="continuationSeparator" w:id="0">
    <w:p w:rsidR="001A1957" w:rsidRDefault="001A1957" w:rsidP="008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7" w:rsidRDefault="001A1957" w:rsidP="008D4E40">
      <w:r>
        <w:separator/>
      </w:r>
    </w:p>
  </w:footnote>
  <w:footnote w:type="continuationSeparator" w:id="0">
    <w:p w:rsidR="001A1957" w:rsidRDefault="001A1957" w:rsidP="008D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990"/>
    <w:rsid w:val="00011C7E"/>
    <w:rsid w:val="001A1957"/>
    <w:rsid w:val="001C4990"/>
    <w:rsid w:val="00212D53"/>
    <w:rsid w:val="002428A8"/>
    <w:rsid w:val="00385F02"/>
    <w:rsid w:val="0039761F"/>
    <w:rsid w:val="003C7F3A"/>
    <w:rsid w:val="003D37B9"/>
    <w:rsid w:val="00404A25"/>
    <w:rsid w:val="007066B6"/>
    <w:rsid w:val="00723F41"/>
    <w:rsid w:val="008C7544"/>
    <w:rsid w:val="008D4E40"/>
    <w:rsid w:val="009A08D2"/>
    <w:rsid w:val="009A6DA9"/>
    <w:rsid w:val="00A77B82"/>
    <w:rsid w:val="00AE5328"/>
    <w:rsid w:val="00BF138B"/>
    <w:rsid w:val="00DB366D"/>
    <w:rsid w:val="00DE0166"/>
    <w:rsid w:val="00F40CA6"/>
    <w:rsid w:val="00F724FD"/>
    <w:rsid w:val="00F85508"/>
    <w:rsid w:val="00F8663B"/>
    <w:rsid w:val="00FC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5">
    <w:name w:val="Style35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">
    <w:name w:val="Style31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">
    <w:name w:val="Style20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">
    <w:name w:val="Style18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">
    <w:name w:val="Style19"/>
    <w:basedOn w:val="Normal"/>
    <w:rsid w:val="003D37B9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1">
    <w:name w:val="CharStyle1"/>
    <w:basedOn w:val="DefaultParagraphFont"/>
    <w:rsid w:val="003D37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DefaultParagraphFont"/>
    <w:rsid w:val="003D37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4"/>
      <w:szCs w:val="24"/>
    </w:rPr>
  </w:style>
  <w:style w:type="character" w:customStyle="1" w:styleId="CharStyle3">
    <w:name w:val="CharStyle3"/>
    <w:basedOn w:val="DefaultParagraphFont"/>
    <w:rsid w:val="003D37B9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3D37B9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8">
    <w:name w:val="CharStyle8"/>
    <w:basedOn w:val="DefaultParagraphFont"/>
    <w:rsid w:val="003D37B9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9">
    <w:name w:val="CharStyle9"/>
    <w:basedOn w:val="DefaultParagraphFont"/>
    <w:rsid w:val="003D37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13">
    <w:name w:val="CharStyle13"/>
    <w:basedOn w:val="DefaultParagraphFont"/>
    <w:rsid w:val="003D37B9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6">
    <w:name w:val="CharStyle16"/>
    <w:basedOn w:val="DefaultParagraphFont"/>
    <w:rsid w:val="003D37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3D37B9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basedOn w:val="DefaultParagraphFont"/>
    <w:rsid w:val="003D37B9"/>
    <w:rPr>
      <w:rFonts w:ascii="Century Schoolbook" w:eastAsia="Century Schoolbook" w:hAnsi="Century Schoolbook" w:cs="Century Schoolbook"/>
      <w:b/>
      <w:bCs/>
      <w:i/>
      <w:iCs/>
      <w:smallCaps w:val="0"/>
      <w:sz w:val="12"/>
      <w:szCs w:val="12"/>
    </w:rPr>
  </w:style>
  <w:style w:type="character" w:customStyle="1" w:styleId="CharStyle21">
    <w:name w:val="CharStyle21"/>
    <w:basedOn w:val="DefaultParagraphFont"/>
    <w:rsid w:val="003D37B9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22">
    <w:name w:val="CharStyle22"/>
    <w:basedOn w:val="DefaultParagraphFont"/>
    <w:rsid w:val="003D37B9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8D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40"/>
  </w:style>
  <w:style w:type="paragraph" w:styleId="Footer">
    <w:name w:val="footer"/>
    <w:basedOn w:val="Normal"/>
    <w:link w:val="FooterChar"/>
    <w:uiPriority w:val="99"/>
    <w:unhideWhenUsed/>
    <w:rsid w:val="008D4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40"/>
  </w:style>
  <w:style w:type="paragraph" w:styleId="BalloonText">
    <w:name w:val="Balloon Text"/>
    <w:basedOn w:val="Normal"/>
    <w:link w:val="BalloonTextChar"/>
    <w:uiPriority w:val="99"/>
    <w:semiHidden/>
    <w:unhideWhenUsed/>
    <w:rsid w:val="008D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8A97-139D-423C-AD27-AA2268B3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24</cp:revision>
  <dcterms:created xsi:type="dcterms:W3CDTF">2017-04-05T10:26:00Z</dcterms:created>
  <dcterms:modified xsi:type="dcterms:W3CDTF">2017-09-25T23:08:00Z</dcterms:modified>
</cp:coreProperties>
</file>