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699" w:rsidRDefault="00175078" w:rsidP="00B02DB6">
      <w:pPr>
        <w:spacing w:after="0" w:line="240" w:lineRule="auto"/>
        <w:jc w:val="center"/>
        <w:rPr>
          <w:rFonts w:ascii="Times New Roman" w:eastAsia="Book Antiqua" w:hAnsi="Times New Roman" w:cs="Times New Roman"/>
          <w:sz w:val="36"/>
          <w:lang w:val="en-US" w:eastAsia="en-US"/>
        </w:rPr>
      </w:pPr>
      <w:r w:rsidRPr="00B02DB6">
        <w:rPr>
          <w:rFonts w:ascii="Times New Roman" w:eastAsia="Book Antiqua" w:hAnsi="Times New Roman" w:cs="Times New Roman"/>
          <w:sz w:val="36"/>
          <w:lang w:val="en-US" w:eastAsia="en-US"/>
        </w:rPr>
        <w:t>PORT AUGUSTA TO RED HILL RAILWAY</w:t>
      </w:r>
      <w:r w:rsidR="004F7256">
        <w:rPr>
          <w:rFonts w:ascii="Times New Roman" w:eastAsia="Book Antiqua" w:hAnsi="Times New Roman" w:cs="Times New Roman"/>
          <w:sz w:val="36"/>
          <w:lang w:val="en-US" w:eastAsia="en-US"/>
        </w:rPr>
        <w:t>.</w:t>
      </w:r>
    </w:p>
    <w:p w:rsidR="001E6E4D" w:rsidRPr="00B02DB6" w:rsidRDefault="001E6E4D" w:rsidP="0072532B">
      <w:pPr>
        <w:pBdr>
          <w:bottom w:val="single" w:sz="4" w:space="1" w:color="auto"/>
        </w:pBdr>
        <w:spacing w:before="120" w:after="120" w:line="240" w:lineRule="auto"/>
        <w:ind w:left="3888" w:right="3888"/>
        <w:jc w:val="center"/>
        <w:rPr>
          <w:rFonts w:ascii="Times New Roman" w:eastAsia="Book Antiqua" w:hAnsi="Times New Roman" w:cs="Times New Roman"/>
          <w:sz w:val="36"/>
        </w:rPr>
      </w:pPr>
    </w:p>
    <w:p w:rsidR="00DC7699" w:rsidRPr="00A51048" w:rsidRDefault="00175078" w:rsidP="0072532B">
      <w:pPr>
        <w:spacing w:before="120" w:after="120" w:line="240" w:lineRule="auto"/>
        <w:jc w:val="center"/>
        <w:rPr>
          <w:rFonts w:ascii="Times New Roman" w:eastAsia="Book Antiqua" w:hAnsi="Times New Roman" w:cs="Times New Roman"/>
          <w:sz w:val="28"/>
        </w:rPr>
      </w:pPr>
      <w:r w:rsidRPr="00A51048">
        <w:rPr>
          <w:rFonts w:ascii="Times New Roman" w:eastAsia="Book Antiqua" w:hAnsi="Times New Roman" w:cs="Times New Roman"/>
          <w:b/>
          <w:bCs/>
          <w:sz w:val="28"/>
          <w:lang w:val="en-US" w:eastAsia="en-US"/>
        </w:rPr>
        <w:t>No. 25 of 1935.</w:t>
      </w:r>
    </w:p>
    <w:p w:rsidR="00DC7699" w:rsidRPr="00A51048" w:rsidRDefault="00175078" w:rsidP="002B079B">
      <w:pPr>
        <w:spacing w:after="0" w:line="240" w:lineRule="auto"/>
        <w:ind w:left="1296" w:hanging="576"/>
        <w:jc w:val="both"/>
        <w:rPr>
          <w:rFonts w:ascii="Times New Roman" w:eastAsia="Book Antiqua" w:hAnsi="Times New Roman" w:cs="Times New Roman"/>
          <w:sz w:val="26"/>
        </w:rPr>
      </w:pPr>
      <w:r w:rsidRPr="00A51048">
        <w:rPr>
          <w:rFonts w:ascii="Times New Roman" w:eastAsia="Book Antiqua" w:hAnsi="Times New Roman" w:cs="Times New Roman"/>
          <w:spacing w:val="10"/>
          <w:sz w:val="26"/>
          <w:lang w:val="en-US" w:eastAsia="en-US"/>
        </w:rPr>
        <w:t xml:space="preserve">An Act to amend the </w:t>
      </w:r>
      <w:r w:rsidRPr="00A51048">
        <w:rPr>
          <w:rFonts w:ascii="Times New Roman" w:eastAsia="Book Antiqua" w:hAnsi="Times New Roman" w:cs="Times New Roman"/>
          <w:i/>
          <w:iCs/>
          <w:sz w:val="26"/>
          <w:lang w:val="en-US" w:eastAsia="en-US"/>
        </w:rPr>
        <w:t xml:space="preserve">Port Augusta to Red Hill Railway Act </w:t>
      </w:r>
      <w:r w:rsidRPr="00A51048">
        <w:rPr>
          <w:rFonts w:ascii="Times New Roman" w:eastAsia="Book Antiqua" w:hAnsi="Times New Roman" w:cs="Times New Roman"/>
          <w:spacing w:val="10"/>
          <w:sz w:val="26"/>
          <w:lang w:val="en-US" w:eastAsia="en-US"/>
        </w:rPr>
        <w:t>1930.</w:t>
      </w:r>
    </w:p>
    <w:p w:rsidR="00DC7699" w:rsidRPr="00A51048" w:rsidRDefault="00175078" w:rsidP="002B079B">
      <w:pPr>
        <w:spacing w:before="120" w:after="120" w:line="240" w:lineRule="auto"/>
        <w:jc w:val="right"/>
        <w:rPr>
          <w:rFonts w:ascii="Times New Roman" w:eastAsia="Book Antiqua" w:hAnsi="Times New Roman" w:cs="Times New Roman"/>
          <w:sz w:val="26"/>
        </w:rPr>
      </w:pPr>
      <w:r w:rsidRPr="00A51048">
        <w:rPr>
          <w:rFonts w:ascii="Times New Roman" w:eastAsia="Book Antiqua" w:hAnsi="Times New Roman" w:cs="Times New Roman"/>
          <w:sz w:val="26"/>
          <w:lang w:val="en-US" w:eastAsia="en-US"/>
        </w:rPr>
        <w:t>[Assented to 13th April, 1935.]</w:t>
      </w:r>
    </w:p>
    <w:p w:rsidR="00DC7699" w:rsidRPr="001A6DEA" w:rsidRDefault="00175078" w:rsidP="001A6DEA">
      <w:pPr>
        <w:spacing w:before="120" w:after="60" w:line="240" w:lineRule="auto"/>
        <w:jc w:val="both"/>
        <w:rPr>
          <w:rFonts w:ascii="Times New Roman" w:eastAsia="Book Antiqua" w:hAnsi="Times New Roman" w:cs="Times New Roman"/>
          <w:b/>
          <w:sz w:val="20"/>
        </w:rPr>
      </w:pPr>
      <w:r w:rsidRPr="001A6DEA">
        <w:rPr>
          <w:rFonts w:ascii="Times New Roman" w:eastAsia="Book Antiqua" w:hAnsi="Times New Roman" w:cs="Times New Roman"/>
          <w:b/>
          <w:bCs/>
          <w:sz w:val="20"/>
          <w:lang w:val="en-US" w:eastAsia="en-US"/>
        </w:rPr>
        <w:t>Preamble.</w:t>
      </w:r>
    </w:p>
    <w:p w:rsidR="00DC7699" w:rsidRPr="00175078" w:rsidRDefault="00175078" w:rsidP="001A6DEA">
      <w:pPr>
        <w:spacing w:after="60" w:line="240" w:lineRule="auto"/>
        <w:jc w:val="both"/>
        <w:rPr>
          <w:rFonts w:ascii="Times New Roman" w:eastAsia="Book Antiqua" w:hAnsi="Times New Roman" w:cs="Times New Roman"/>
        </w:rPr>
      </w:pPr>
      <w:r w:rsidRPr="00175078">
        <w:rPr>
          <w:rFonts w:ascii="Times New Roman" w:eastAsia="Book Antiqua" w:hAnsi="Times New Roman" w:cs="Times New Roman"/>
          <w:lang w:val="en-US" w:eastAsia="en-US"/>
        </w:rPr>
        <w:t xml:space="preserve">WHEREAS by the </w:t>
      </w:r>
      <w:r w:rsidRPr="00175078">
        <w:rPr>
          <w:rFonts w:ascii="Times New Roman" w:eastAsia="Book Antiqua" w:hAnsi="Times New Roman" w:cs="Times New Roman"/>
          <w:i/>
          <w:iCs/>
          <w:lang w:val="en-US" w:eastAsia="en-US"/>
        </w:rPr>
        <w:t xml:space="preserve">Port Augusta to Red Hill Railway Act </w:t>
      </w:r>
      <w:r w:rsidRPr="00175078">
        <w:rPr>
          <w:rFonts w:ascii="Times New Roman" w:eastAsia="Book Antiqua" w:hAnsi="Times New Roman" w:cs="Times New Roman"/>
          <w:lang w:val="en-US" w:eastAsia="en-US"/>
        </w:rPr>
        <w:t xml:space="preserve">1930 the Commonwealth Railways Commissioner appointed under the </w:t>
      </w:r>
      <w:r w:rsidRPr="00175078">
        <w:rPr>
          <w:rFonts w:ascii="Times New Roman" w:eastAsia="Book Antiqua" w:hAnsi="Times New Roman" w:cs="Times New Roman"/>
          <w:i/>
          <w:iCs/>
          <w:lang w:val="en-US" w:eastAsia="en-US"/>
        </w:rPr>
        <w:t xml:space="preserve">Commonwealth Railways Act </w:t>
      </w:r>
      <w:r w:rsidRPr="00175078">
        <w:rPr>
          <w:rFonts w:ascii="Times New Roman" w:eastAsia="Book Antiqua" w:hAnsi="Times New Roman" w:cs="Times New Roman"/>
          <w:lang w:val="en-US" w:eastAsia="en-US"/>
        </w:rPr>
        <w:t>1917–1925 was empowered to construct a railway from Port Augusta to Red Hill in the State of South Australia:</w:t>
      </w:r>
    </w:p>
    <w:p w:rsidR="00DC7699" w:rsidRPr="00175078" w:rsidRDefault="00175078" w:rsidP="001A6DEA">
      <w:pPr>
        <w:spacing w:after="60" w:line="240" w:lineRule="auto"/>
        <w:ind w:firstLine="288"/>
        <w:jc w:val="both"/>
        <w:rPr>
          <w:rFonts w:ascii="Times New Roman" w:eastAsia="Book Antiqua" w:hAnsi="Times New Roman" w:cs="Times New Roman"/>
        </w:rPr>
      </w:pPr>
      <w:r w:rsidRPr="00175078">
        <w:rPr>
          <w:rFonts w:ascii="Times New Roman" w:eastAsia="Book Antiqua" w:hAnsi="Times New Roman" w:cs="Times New Roman"/>
          <w:smallCaps/>
          <w:lang w:val="en-US" w:eastAsia="en-US"/>
        </w:rPr>
        <w:t xml:space="preserve">And Whereas </w:t>
      </w:r>
      <w:r w:rsidRPr="00175078">
        <w:rPr>
          <w:rFonts w:ascii="Times New Roman" w:eastAsia="Book Antiqua" w:hAnsi="Times New Roman" w:cs="Times New Roman"/>
          <w:lang w:val="en-US" w:eastAsia="en-US"/>
        </w:rPr>
        <w:t xml:space="preserve">by the preamble to the </w:t>
      </w:r>
      <w:r w:rsidRPr="00175078">
        <w:rPr>
          <w:rFonts w:ascii="Times New Roman" w:eastAsia="Book Antiqua" w:hAnsi="Times New Roman" w:cs="Times New Roman"/>
          <w:i/>
          <w:iCs/>
          <w:lang w:val="en-US" w:eastAsia="en-US"/>
        </w:rPr>
        <w:t xml:space="preserve">Port Augusta to Red Hill Railway Act </w:t>
      </w:r>
      <w:r w:rsidRPr="00175078">
        <w:rPr>
          <w:rFonts w:ascii="Times New Roman" w:eastAsia="Book Antiqua" w:hAnsi="Times New Roman" w:cs="Times New Roman"/>
          <w:lang w:val="en-US" w:eastAsia="en-US"/>
        </w:rPr>
        <w:t>1930 it was among other things recited that doubts had arisen as to whether the consent of the said State to the construction of the said railway by the Commonwealth was still in full force and effect:</w:t>
      </w:r>
    </w:p>
    <w:p w:rsidR="00DC7699" w:rsidRPr="00175078" w:rsidRDefault="00175078" w:rsidP="001A6DEA">
      <w:pPr>
        <w:spacing w:after="60" w:line="240" w:lineRule="auto"/>
        <w:ind w:firstLine="288"/>
        <w:jc w:val="both"/>
        <w:rPr>
          <w:rFonts w:ascii="Times New Roman" w:eastAsia="Book Antiqua" w:hAnsi="Times New Roman" w:cs="Times New Roman"/>
        </w:rPr>
      </w:pPr>
      <w:r w:rsidRPr="00175078">
        <w:rPr>
          <w:rFonts w:ascii="Times New Roman" w:eastAsia="Book Antiqua" w:hAnsi="Times New Roman" w:cs="Times New Roman"/>
          <w:smallCaps/>
          <w:lang w:val="en-US" w:eastAsia="en-US"/>
        </w:rPr>
        <w:t xml:space="preserve">And Whereas </w:t>
      </w:r>
      <w:r w:rsidRPr="00175078">
        <w:rPr>
          <w:rFonts w:ascii="Times New Roman" w:eastAsia="Book Antiqua" w:hAnsi="Times New Roman" w:cs="Times New Roman"/>
          <w:lang w:val="en-US" w:eastAsia="en-US"/>
        </w:rPr>
        <w:t xml:space="preserve">it was provided by the said Act that a proclamation fixing the date of the commencement of the said Act should not issue until the Governor-General, by notification published in the </w:t>
      </w:r>
      <w:r w:rsidRPr="00175078">
        <w:rPr>
          <w:rFonts w:ascii="Times New Roman" w:eastAsia="Book Antiqua" w:hAnsi="Times New Roman" w:cs="Times New Roman"/>
          <w:i/>
          <w:iCs/>
          <w:lang w:val="en-US" w:eastAsia="en-US"/>
        </w:rPr>
        <w:t xml:space="preserve">Gazette, </w:t>
      </w:r>
      <w:r w:rsidRPr="00175078">
        <w:rPr>
          <w:rFonts w:ascii="Times New Roman" w:eastAsia="Book Antiqua" w:hAnsi="Times New Roman" w:cs="Times New Roman"/>
          <w:lang w:val="en-US" w:eastAsia="en-US"/>
        </w:rPr>
        <w:t>declared that all such doubts had been removed:</w:t>
      </w:r>
    </w:p>
    <w:p w:rsidR="00DC7699" w:rsidRPr="00175078" w:rsidRDefault="00175078" w:rsidP="001A6DEA">
      <w:pPr>
        <w:spacing w:after="60" w:line="240" w:lineRule="auto"/>
        <w:ind w:firstLine="288"/>
        <w:jc w:val="both"/>
        <w:rPr>
          <w:rFonts w:ascii="Times New Roman" w:eastAsia="Book Antiqua" w:hAnsi="Times New Roman" w:cs="Times New Roman"/>
        </w:rPr>
      </w:pPr>
      <w:r w:rsidRPr="00175078">
        <w:rPr>
          <w:rFonts w:ascii="Times New Roman" w:eastAsia="Book Antiqua" w:hAnsi="Times New Roman" w:cs="Times New Roman"/>
          <w:smallCaps/>
          <w:lang w:val="en-US" w:eastAsia="en-US"/>
        </w:rPr>
        <w:t xml:space="preserve">And Whereas </w:t>
      </w:r>
      <w:r w:rsidRPr="00175078">
        <w:rPr>
          <w:rFonts w:ascii="Times New Roman" w:eastAsia="Book Antiqua" w:hAnsi="Times New Roman" w:cs="Times New Roman"/>
          <w:lang w:val="en-US" w:eastAsia="en-US"/>
        </w:rPr>
        <w:t>all such doubts have now been removed and there is now no doubt that the consent of the said State to the construction of the said railway by the Commonwealth is still in full force and effect:</w:t>
      </w:r>
    </w:p>
    <w:p w:rsidR="00DC7699" w:rsidRPr="00175078" w:rsidRDefault="00175078" w:rsidP="0012132A">
      <w:pPr>
        <w:spacing w:after="0" w:line="240" w:lineRule="auto"/>
        <w:ind w:firstLine="288"/>
        <w:jc w:val="both"/>
        <w:rPr>
          <w:rFonts w:ascii="Times New Roman" w:eastAsia="Book Antiqua" w:hAnsi="Times New Roman" w:cs="Times New Roman"/>
        </w:rPr>
      </w:pPr>
      <w:r w:rsidRPr="00175078">
        <w:rPr>
          <w:rFonts w:ascii="Times New Roman" w:eastAsia="Book Antiqua" w:hAnsi="Times New Roman" w:cs="Times New Roman"/>
          <w:smallCaps/>
          <w:lang w:val="en-US" w:eastAsia="en-US"/>
        </w:rPr>
        <w:t xml:space="preserve">Be </w:t>
      </w:r>
      <w:r w:rsidRPr="00175078">
        <w:rPr>
          <w:rFonts w:ascii="Times New Roman" w:eastAsia="Book Antiqua" w:hAnsi="Times New Roman" w:cs="Times New Roman"/>
          <w:lang w:val="en-US" w:eastAsia="en-US"/>
        </w:rPr>
        <w:t>it therefore enacted by the King’s Most Excellent Majesty, the Senate, and the House of Representatives of the Commonwealth of Australia, as follows:—</w:t>
      </w:r>
    </w:p>
    <w:p w:rsidR="00DC7699" w:rsidRPr="001A6DEA" w:rsidRDefault="00175078" w:rsidP="001A6DEA">
      <w:pPr>
        <w:spacing w:before="120" w:after="60" w:line="240" w:lineRule="auto"/>
        <w:jc w:val="both"/>
        <w:rPr>
          <w:rFonts w:ascii="Times New Roman" w:eastAsia="Book Antiqua" w:hAnsi="Times New Roman" w:cs="Times New Roman"/>
          <w:b/>
          <w:sz w:val="20"/>
        </w:rPr>
      </w:pPr>
      <w:r w:rsidRPr="001A6DEA">
        <w:rPr>
          <w:rFonts w:ascii="Times New Roman" w:eastAsia="Book Antiqua" w:hAnsi="Times New Roman" w:cs="Times New Roman"/>
          <w:b/>
          <w:bCs/>
          <w:sz w:val="20"/>
          <w:lang w:val="en-US" w:eastAsia="en-US"/>
        </w:rPr>
        <w:t>Short title and citation.</w:t>
      </w:r>
    </w:p>
    <w:p w:rsidR="00DC7699" w:rsidRPr="00175078" w:rsidRDefault="00175078" w:rsidP="001A6DEA">
      <w:pPr>
        <w:tabs>
          <w:tab w:val="left" w:pos="1080"/>
        </w:tabs>
        <w:spacing w:after="0" w:line="240" w:lineRule="auto"/>
        <w:ind w:firstLine="288"/>
        <w:jc w:val="both"/>
        <w:rPr>
          <w:rFonts w:ascii="Times New Roman" w:eastAsia="Book Antiqua" w:hAnsi="Times New Roman" w:cs="Times New Roman"/>
        </w:rPr>
      </w:pPr>
      <w:r w:rsidRPr="00175078">
        <w:rPr>
          <w:rFonts w:ascii="Times New Roman" w:eastAsia="Book Antiqua" w:hAnsi="Times New Roman" w:cs="Times New Roman"/>
          <w:b/>
          <w:bCs/>
          <w:smallCaps/>
          <w:lang w:val="en-US" w:eastAsia="en-US"/>
        </w:rPr>
        <w:t>1.</w:t>
      </w:r>
      <w:r w:rsidRPr="00175078">
        <w:rPr>
          <w:rFonts w:ascii="Times New Roman" w:eastAsia="Book Antiqua" w:hAnsi="Times New Roman" w:cs="Times New Roman"/>
          <w:lang w:val="en-US" w:eastAsia="en-US"/>
        </w:rPr>
        <w:t>—(1.)</w:t>
      </w:r>
      <w:r w:rsidR="001A6DEA">
        <w:rPr>
          <w:rFonts w:ascii="Times New Roman" w:eastAsia="Book Antiqua" w:hAnsi="Times New Roman" w:cs="Times New Roman"/>
          <w:lang w:val="en-US" w:eastAsia="en-US"/>
        </w:rPr>
        <w:tab/>
      </w:r>
      <w:r w:rsidRPr="00175078">
        <w:rPr>
          <w:rFonts w:ascii="Times New Roman" w:eastAsia="Book Antiqua" w:hAnsi="Times New Roman" w:cs="Times New Roman"/>
          <w:lang w:val="en-US" w:eastAsia="en-US"/>
        </w:rPr>
        <w:t xml:space="preserve">This Act may be cited as the </w:t>
      </w:r>
      <w:r w:rsidRPr="00175078">
        <w:rPr>
          <w:rFonts w:ascii="Times New Roman" w:eastAsia="Book Antiqua" w:hAnsi="Times New Roman" w:cs="Times New Roman"/>
          <w:i/>
          <w:iCs/>
          <w:lang w:val="en-US" w:eastAsia="en-US"/>
        </w:rPr>
        <w:t xml:space="preserve">Port Augusta to Red Hill Railway Act </w:t>
      </w:r>
      <w:r w:rsidRPr="00175078">
        <w:rPr>
          <w:rFonts w:ascii="Times New Roman" w:eastAsia="Book Antiqua" w:hAnsi="Times New Roman" w:cs="Times New Roman"/>
          <w:lang w:val="en-US" w:eastAsia="en-US"/>
        </w:rPr>
        <w:t>1935.</w:t>
      </w:r>
    </w:p>
    <w:p w:rsidR="00DC7699" w:rsidRPr="00175078" w:rsidRDefault="00175078" w:rsidP="0012132A">
      <w:pPr>
        <w:spacing w:after="0" w:line="240" w:lineRule="auto"/>
        <w:ind w:firstLine="288"/>
        <w:jc w:val="both"/>
        <w:rPr>
          <w:rFonts w:ascii="Times New Roman" w:eastAsia="Book Antiqua" w:hAnsi="Times New Roman" w:cs="Times New Roman"/>
        </w:rPr>
      </w:pPr>
      <w:r w:rsidRPr="00175078">
        <w:rPr>
          <w:rFonts w:ascii="Times New Roman" w:eastAsia="Book Antiqua" w:hAnsi="Times New Roman" w:cs="Times New Roman"/>
          <w:lang w:val="en-US" w:eastAsia="en-US"/>
        </w:rPr>
        <w:t>(2.)</w:t>
      </w:r>
      <w:r w:rsidR="001A6DEA">
        <w:rPr>
          <w:rFonts w:ascii="Times New Roman" w:eastAsia="Book Antiqua" w:hAnsi="Times New Roman" w:cs="Times New Roman"/>
          <w:lang w:val="en-US" w:eastAsia="en-US"/>
        </w:rPr>
        <w:tab/>
      </w:r>
      <w:r w:rsidRPr="00175078">
        <w:rPr>
          <w:rFonts w:ascii="Times New Roman" w:eastAsia="Book Antiqua" w:hAnsi="Times New Roman" w:cs="Times New Roman"/>
          <w:lang w:val="en-US" w:eastAsia="en-US"/>
        </w:rPr>
        <w:t xml:space="preserve">The </w:t>
      </w:r>
      <w:r w:rsidRPr="00175078">
        <w:rPr>
          <w:rFonts w:ascii="Times New Roman" w:eastAsia="Book Antiqua" w:hAnsi="Times New Roman" w:cs="Times New Roman"/>
          <w:i/>
          <w:iCs/>
          <w:lang w:val="en-US" w:eastAsia="en-US"/>
        </w:rPr>
        <w:t xml:space="preserve">Port Augusta to Red Hill Railway Act </w:t>
      </w:r>
      <w:r w:rsidRPr="00175078">
        <w:rPr>
          <w:rFonts w:ascii="Times New Roman" w:eastAsia="Book Antiqua" w:hAnsi="Times New Roman" w:cs="Times New Roman"/>
          <w:lang w:val="en-US" w:eastAsia="en-US"/>
        </w:rPr>
        <w:t>1930* is in this Act referred to as the Principal Act.</w:t>
      </w:r>
    </w:p>
    <w:p w:rsidR="00865161" w:rsidRDefault="00175078" w:rsidP="0012132A">
      <w:pPr>
        <w:spacing w:after="0" w:line="240" w:lineRule="auto"/>
        <w:ind w:firstLine="288"/>
        <w:jc w:val="both"/>
        <w:rPr>
          <w:rFonts w:ascii="Times New Roman" w:eastAsia="Book Antiqua" w:hAnsi="Times New Roman" w:cs="Times New Roman"/>
        </w:rPr>
      </w:pPr>
      <w:r w:rsidRPr="00175078">
        <w:rPr>
          <w:rFonts w:ascii="Times New Roman" w:eastAsia="Book Antiqua" w:hAnsi="Times New Roman" w:cs="Times New Roman"/>
          <w:lang w:val="en-US" w:eastAsia="en-US"/>
        </w:rPr>
        <w:t>(3.)</w:t>
      </w:r>
      <w:r w:rsidR="001A6DEA">
        <w:rPr>
          <w:rFonts w:ascii="Times New Roman" w:eastAsia="Book Antiqua" w:hAnsi="Times New Roman" w:cs="Times New Roman"/>
          <w:lang w:val="en-US" w:eastAsia="en-US"/>
        </w:rPr>
        <w:tab/>
      </w:r>
      <w:r w:rsidRPr="00175078">
        <w:rPr>
          <w:rFonts w:ascii="Times New Roman" w:eastAsia="Book Antiqua" w:hAnsi="Times New Roman" w:cs="Times New Roman"/>
          <w:lang w:val="en-US" w:eastAsia="en-US"/>
        </w:rPr>
        <w:t xml:space="preserve">The Principal Act, as amended by this Act, may be cited as the </w:t>
      </w:r>
      <w:r w:rsidRPr="00175078">
        <w:rPr>
          <w:rFonts w:ascii="Times New Roman" w:eastAsia="Book Antiqua" w:hAnsi="Times New Roman" w:cs="Times New Roman"/>
          <w:i/>
          <w:iCs/>
          <w:lang w:val="en-US" w:eastAsia="en-US"/>
        </w:rPr>
        <w:t xml:space="preserve">Port Augusta to Red Hill Railway Act </w:t>
      </w:r>
      <w:r w:rsidRPr="00175078">
        <w:rPr>
          <w:rFonts w:ascii="Times New Roman" w:eastAsia="Book Antiqua" w:hAnsi="Times New Roman" w:cs="Times New Roman"/>
          <w:lang w:val="en-US" w:eastAsia="en-US"/>
        </w:rPr>
        <w:t>1930–1935.</w:t>
      </w:r>
    </w:p>
    <w:p w:rsidR="00DC7699" w:rsidRPr="001A6DEA" w:rsidRDefault="00175078" w:rsidP="001A6DEA">
      <w:pPr>
        <w:spacing w:before="120" w:after="60" w:line="240" w:lineRule="auto"/>
        <w:jc w:val="both"/>
        <w:rPr>
          <w:rFonts w:ascii="Times New Roman" w:eastAsia="Book Antiqua" w:hAnsi="Times New Roman" w:cs="Times New Roman"/>
          <w:b/>
          <w:sz w:val="20"/>
        </w:rPr>
      </w:pPr>
      <w:r w:rsidRPr="001A6DEA">
        <w:rPr>
          <w:rFonts w:ascii="Times New Roman" w:eastAsia="Book Antiqua" w:hAnsi="Times New Roman" w:cs="Times New Roman"/>
          <w:b/>
          <w:bCs/>
          <w:sz w:val="20"/>
          <w:lang w:val="en-US" w:eastAsia="en-US"/>
        </w:rPr>
        <w:t>Commencement</w:t>
      </w:r>
    </w:p>
    <w:p w:rsidR="00DC7699" w:rsidRPr="00175078" w:rsidRDefault="00175078" w:rsidP="0012132A">
      <w:pPr>
        <w:spacing w:after="0" w:line="240" w:lineRule="auto"/>
        <w:ind w:firstLine="288"/>
        <w:jc w:val="both"/>
        <w:rPr>
          <w:rFonts w:ascii="Times New Roman" w:eastAsia="Book Antiqua" w:hAnsi="Times New Roman" w:cs="Times New Roman"/>
        </w:rPr>
      </w:pPr>
      <w:r w:rsidRPr="00175078">
        <w:rPr>
          <w:rFonts w:ascii="Times New Roman" w:eastAsia="Book Antiqua" w:hAnsi="Times New Roman" w:cs="Times New Roman"/>
          <w:b/>
          <w:bCs/>
          <w:smallCaps/>
          <w:lang w:val="en-US" w:eastAsia="en-US"/>
        </w:rPr>
        <w:t>2.</w:t>
      </w:r>
      <w:r w:rsidR="001A6DEA">
        <w:rPr>
          <w:rFonts w:ascii="Times New Roman" w:eastAsia="Book Antiqua" w:hAnsi="Times New Roman" w:cs="Times New Roman"/>
          <w:b/>
          <w:bCs/>
          <w:smallCaps/>
          <w:lang w:val="en-US" w:eastAsia="en-US"/>
        </w:rPr>
        <w:tab/>
      </w:r>
      <w:r w:rsidRPr="00175078">
        <w:rPr>
          <w:rFonts w:ascii="Times New Roman" w:eastAsia="Book Antiqua" w:hAnsi="Times New Roman" w:cs="Times New Roman"/>
          <w:lang w:val="en-US" w:eastAsia="en-US"/>
        </w:rPr>
        <w:t>Section two of the Principal Act is repealed.</w:t>
      </w:r>
    </w:p>
    <w:p w:rsidR="00DC7699" w:rsidRPr="001A6DEA" w:rsidRDefault="00175078" w:rsidP="001A6DEA">
      <w:pPr>
        <w:spacing w:before="120" w:after="60" w:line="240" w:lineRule="auto"/>
        <w:jc w:val="both"/>
        <w:rPr>
          <w:rFonts w:ascii="Times New Roman" w:eastAsia="Book Antiqua" w:hAnsi="Times New Roman" w:cs="Times New Roman"/>
          <w:b/>
          <w:sz w:val="20"/>
        </w:rPr>
      </w:pPr>
      <w:r w:rsidRPr="001A6DEA">
        <w:rPr>
          <w:rFonts w:ascii="Times New Roman" w:eastAsia="Book Antiqua" w:hAnsi="Times New Roman" w:cs="Times New Roman"/>
          <w:b/>
          <w:bCs/>
          <w:sz w:val="20"/>
          <w:lang w:val="en-US" w:eastAsia="en-US"/>
        </w:rPr>
        <w:t>Co</w:t>
      </w:r>
      <w:r w:rsidR="00865161" w:rsidRPr="001A6DEA">
        <w:rPr>
          <w:rFonts w:ascii="Times New Roman" w:eastAsia="Book Antiqua" w:hAnsi="Times New Roman" w:cs="Times New Roman"/>
          <w:b/>
          <w:bCs/>
          <w:sz w:val="20"/>
          <w:lang w:val="en-US" w:eastAsia="en-US"/>
        </w:rPr>
        <w:t>s</w:t>
      </w:r>
      <w:r w:rsidRPr="001A6DEA">
        <w:rPr>
          <w:rFonts w:ascii="Times New Roman" w:eastAsia="Book Antiqua" w:hAnsi="Times New Roman" w:cs="Times New Roman"/>
          <w:b/>
          <w:bCs/>
          <w:sz w:val="20"/>
          <w:lang w:val="en-US" w:eastAsia="en-US"/>
        </w:rPr>
        <w:t>t of railway.</w:t>
      </w:r>
    </w:p>
    <w:p w:rsidR="00DC7699" w:rsidRDefault="00175078" w:rsidP="0012132A">
      <w:pPr>
        <w:spacing w:after="0" w:line="240" w:lineRule="auto"/>
        <w:ind w:firstLine="288"/>
        <w:jc w:val="both"/>
        <w:rPr>
          <w:rFonts w:ascii="Times New Roman" w:eastAsia="Book Antiqua" w:hAnsi="Times New Roman" w:cs="Times New Roman"/>
          <w:lang w:val="en-US" w:eastAsia="en-US"/>
        </w:rPr>
      </w:pPr>
      <w:r w:rsidRPr="00175078">
        <w:rPr>
          <w:rFonts w:ascii="Times New Roman" w:eastAsia="Book Antiqua" w:hAnsi="Times New Roman" w:cs="Times New Roman"/>
          <w:b/>
          <w:bCs/>
          <w:smallCaps/>
          <w:lang w:val="en-US" w:eastAsia="en-US"/>
        </w:rPr>
        <w:t>3.</w:t>
      </w:r>
      <w:r w:rsidR="001A6DEA">
        <w:rPr>
          <w:rFonts w:ascii="Times New Roman" w:eastAsia="Book Antiqua" w:hAnsi="Times New Roman" w:cs="Times New Roman"/>
          <w:b/>
          <w:bCs/>
          <w:smallCaps/>
          <w:lang w:val="en-US" w:eastAsia="en-US"/>
        </w:rPr>
        <w:tab/>
      </w:r>
      <w:r w:rsidRPr="00175078">
        <w:rPr>
          <w:rFonts w:ascii="Times New Roman" w:eastAsia="Book Antiqua" w:hAnsi="Times New Roman" w:cs="Times New Roman"/>
          <w:lang w:val="en-US" w:eastAsia="en-US"/>
        </w:rPr>
        <w:t>Section five of the Principal Act is amended by omitting the words “exclusive of rolling stock, shall not exceed Seven hundred and thirty-five thousand pounds” and inserting in their stead the words “inclusive of rolling stock, shall not exceed Seven hundred and eighty-nine thousand two hundred and fifty pounds”.</w:t>
      </w:r>
    </w:p>
    <w:p w:rsidR="001A6DEA" w:rsidRPr="00175078" w:rsidRDefault="001A6DEA" w:rsidP="002C1B9D">
      <w:pPr>
        <w:spacing w:after="0" w:line="240" w:lineRule="auto"/>
        <w:jc w:val="center"/>
        <w:rPr>
          <w:rFonts w:ascii="Times New Roman" w:eastAsia="Book Antiqua" w:hAnsi="Times New Roman" w:cs="Times New Roman"/>
        </w:rPr>
      </w:pPr>
    </w:p>
    <w:p w:rsidR="00DC7699" w:rsidRPr="00175078" w:rsidRDefault="00565D41" w:rsidP="00175078">
      <w:pPr>
        <w:spacing w:after="0" w:line="240" w:lineRule="auto"/>
        <w:jc w:val="both"/>
        <w:rPr>
          <w:rFonts w:ascii="Times New Roman" w:eastAsia="Book Antiqua" w:hAnsi="Times New Roman" w:cs="Times New Roman"/>
        </w:rPr>
        <w:sectPr w:rsidR="00DC7699" w:rsidRPr="00175078" w:rsidSect="00B02DB6">
          <w:headerReference w:type="even" r:id="rId7"/>
          <w:headerReference w:type="default" r:id="rId8"/>
          <w:pgSz w:w="11906" w:h="16838" w:code="9"/>
          <w:pgMar w:top="1440" w:right="1440" w:bottom="1440" w:left="1440" w:header="708" w:footer="708" w:gutter="0"/>
          <w:cols w:space="708"/>
          <w:docGrid w:linePitch="360"/>
        </w:sectPr>
      </w:pPr>
    </w:p>
    <w:p w:rsidR="00DC7699" w:rsidRPr="00175078" w:rsidRDefault="00175078" w:rsidP="00DE0918">
      <w:pPr>
        <w:spacing w:after="0" w:line="240" w:lineRule="auto"/>
        <w:ind w:firstLine="288"/>
        <w:jc w:val="both"/>
        <w:rPr>
          <w:rFonts w:ascii="Times New Roman" w:eastAsia="Book Antiqua" w:hAnsi="Times New Roman" w:cs="Times New Roman"/>
        </w:rPr>
      </w:pPr>
      <w:r w:rsidRPr="00175078">
        <w:rPr>
          <w:rFonts w:ascii="Times New Roman" w:eastAsia="Book Antiqua" w:hAnsi="Times New Roman" w:cs="Times New Roman"/>
          <w:b/>
          <w:bCs/>
          <w:smallCaps/>
          <w:lang w:val="en-US" w:eastAsia="en-US"/>
        </w:rPr>
        <w:lastRenderedPageBreak/>
        <w:t>4.</w:t>
      </w:r>
      <w:r w:rsidR="009432FA">
        <w:rPr>
          <w:rFonts w:ascii="Times New Roman" w:eastAsia="Book Antiqua" w:hAnsi="Times New Roman" w:cs="Times New Roman"/>
          <w:b/>
          <w:bCs/>
          <w:smallCaps/>
          <w:lang w:val="en-US" w:eastAsia="en-US"/>
        </w:rPr>
        <w:tab/>
      </w:r>
      <w:r w:rsidRPr="00175078">
        <w:rPr>
          <w:rFonts w:ascii="Times New Roman" w:eastAsia="Book Antiqua" w:hAnsi="Times New Roman" w:cs="Times New Roman"/>
          <w:lang w:val="en-US" w:eastAsia="en-US"/>
        </w:rPr>
        <w:t>Section eleven of the Principal Act is repealed and the following</w:t>
      </w:r>
      <w:r w:rsidR="00565D41">
        <w:rPr>
          <w:rFonts w:ascii="Times New Roman" w:eastAsia="Book Antiqua" w:hAnsi="Times New Roman" w:cs="Times New Roman"/>
          <w:lang w:val="en-US" w:eastAsia="en-US"/>
        </w:rPr>
        <w:t xml:space="preserve"> section inserted in its stead:</w:t>
      </w:r>
      <w:bookmarkStart w:id="0" w:name="_GoBack"/>
      <w:bookmarkEnd w:id="0"/>
      <w:r w:rsidRPr="00175078">
        <w:rPr>
          <w:rFonts w:ascii="Times New Roman" w:eastAsia="Book Antiqua" w:hAnsi="Times New Roman" w:cs="Times New Roman"/>
          <w:lang w:val="en-US" w:eastAsia="en-US"/>
        </w:rPr>
        <w:t>—</w:t>
      </w:r>
    </w:p>
    <w:p w:rsidR="00D13DB9" w:rsidRPr="009432FA" w:rsidRDefault="00D13DB9" w:rsidP="009432FA">
      <w:pPr>
        <w:spacing w:before="120" w:after="60" w:line="240" w:lineRule="auto"/>
        <w:jc w:val="both"/>
        <w:rPr>
          <w:rFonts w:ascii="Times New Roman" w:eastAsia="Book Antiqua" w:hAnsi="Times New Roman" w:cs="Times New Roman"/>
          <w:b/>
          <w:sz w:val="20"/>
          <w:lang w:val="en-US" w:eastAsia="en-US"/>
        </w:rPr>
      </w:pPr>
      <w:r w:rsidRPr="009432FA">
        <w:rPr>
          <w:rFonts w:ascii="Times New Roman" w:eastAsia="Book Antiqua" w:hAnsi="Times New Roman" w:cs="Times New Roman"/>
          <w:b/>
          <w:bCs/>
          <w:sz w:val="20"/>
          <w:lang w:val="en-US" w:eastAsia="en-US"/>
        </w:rPr>
        <w:t>Appropriation of moneys</w:t>
      </w:r>
    </w:p>
    <w:p w:rsidR="00DC7699" w:rsidRPr="00175078" w:rsidRDefault="00175078" w:rsidP="009432FA">
      <w:pPr>
        <w:spacing w:after="120" w:line="240" w:lineRule="auto"/>
        <w:ind w:firstLine="288"/>
        <w:jc w:val="both"/>
        <w:rPr>
          <w:rFonts w:ascii="Times New Roman" w:eastAsia="Book Antiqua" w:hAnsi="Times New Roman" w:cs="Times New Roman"/>
        </w:rPr>
      </w:pPr>
      <w:r w:rsidRPr="00175078">
        <w:rPr>
          <w:rFonts w:ascii="Times New Roman" w:eastAsia="Book Antiqua" w:hAnsi="Times New Roman" w:cs="Times New Roman"/>
          <w:lang w:val="en-US" w:eastAsia="en-US"/>
        </w:rPr>
        <w:t>“11.</w:t>
      </w:r>
      <w:r w:rsidR="009432FA">
        <w:rPr>
          <w:rFonts w:ascii="Times New Roman" w:eastAsia="Book Antiqua" w:hAnsi="Times New Roman" w:cs="Times New Roman"/>
          <w:lang w:val="en-US" w:eastAsia="en-US"/>
        </w:rPr>
        <w:tab/>
      </w:r>
      <w:r w:rsidRPr="00175078">
        <w:rPr>
          <w:rFonts w:ascii="Times New Roman" w:eastAsia="Book Antiqua" w:hAnsi="Times New Roman" w:cs="Times New Roman"/>
          <w:lang w:val="en-US" w:eastAsia="en-US"/>
        </w:rPr>
        <w:t>There shall be payable out of the proceeds of any loan raised under the authority of any Loan Act all moneys necessary for—</w:t>
      </w:r>
    </w:p>
    <w:p w:rsidR="00DC7699" w:rsidRPr="00175078" w:rsidRDefault="00175078" w:rsidP="009432FA">
      <w:pPr>
        <w:spacing w:after="0" w:line="240" w:lineRule="auto"/>
        <w:ind w:left="1152" w:hanging="576"/>
        <w:jc w:val="both"/>
        <w:rPr>
          <w:rFonts w:ascii="Times New Roman" w:eastAsia="Book Antiqua" w:hAnsi="Times New Roman" w:cs="Times New Roman"/>
        </w:rPr>
      </w:pPr>
      <w:r w:rsidRPr="00175078">
        <w:rPr>
          <w:rFonts w:ascii="Times New Roman" w:eastAsia="Book Antiqua" w:hAnsi="Times New Roman" w:cs="Times New Roman"/>
          <w:lang w:val="en-US" w:eastAsia="en-US"/>
        </w:rPr>
        <w:t>(</w:t>
      </w:r>
      <w:r w:rsidRPr="00175078">
        <w:rPr>
          <w:rFonts w:ascii="Times New Roman" w:eastAsia="Book Antiqua" w:hAnsi="Times New Roman" w:cs="Times New Roman"/>
          <w:i/>
          <w:iCs/>
          <w:lang w:val="en-US" w:eastAsia="en-US"/>
        </w:rPr>
        <w:t>a</w:t>
      </w:r>
      <w:r w:rsidRPr="00175078">
        <w:rPr>
          <w:rFonts w:ascii="Times New Roman" w:eastAsia="Book Antiqua" w:hAnsi="Times New Roman" w:cs="Times New Roman"/>
          <w:lang w:val="en-US" w:eastAsia="en-US"/>
        </w:rPr>
        <w:t>) the payment of the cost of the railway up to and including the time of the opening of the railway for traffic; and</w:t>
      </w:r>
    </w:p>
    <w:p w:rsidR="00DC7699" w:rsidRDefault="00175078" w:rsidP="009432FA">
      <w:pPr>
        <w:pStyle w:val="Style7"/>
        <w:ind w:left="1152" w:hanging="576"/>
        <w:jc w:val="both"/>
        <w:rPr>
          <w:rFonts w:ascii="Times New Roman" w:hAnsi="Times New Roman" w:cs="Times New Roman"/>
          <w:sz w:val="22"/>
          <w:szCs w:val="22"/>
          <w:lang w:val="en-US" w:eastAsia="en-US"/>
        </w:rPr>
      </w:pPr>
      <w:r w:rsidRPr="00175078">
        <w:rPr>
          <w:rFonts w:ascii="Times New Roman" w:hAnsi="Times New Roman" w:cs="Times New Roman"/>
          <w:sz w:val="22"/>
          <w:szCs w:val="22"/>
          <w:lang w:val="en-US" w:eastAsia="en-US"/>
        </w:rPr>
        <w:t>(</w:t>
      </w:r>
      <w:r w:rsidRPr="00175078">
        <w:rPr>
          <w:rFonts w:ascii="Times New Roman" w:hAnsi="Times New Roman" w:cs="Times New Roman"/>
          <w:i/>
          <w:iCs/>
          <w:sz w:val="22"/>
          <w:szCs w:val="22"/>
          <w:lang w:val="en-US" w:eastAsia="en-US"/>
        </w:rPr>
        <w:t>b</w:t>
      </w:r>
      <w:r w:rsidRPr="00175078">
        <w:rPr>
          <w:rFonts w:ascii="Times New Roman" w:hAnsi="Times New Roman" w:cs="Times New Roman"/>
          <w:sz w:val="22"/>
          <w:szCs w:val="22"/>
          <w:lang w:val="en-US" w:eastAsia="en-US"/>
        </w:rPr>
        <w:t>) the purchase of rolling stock.”.</w:t>
      </w:r>
    </w:p>
    <w:p w:rsidR="00780443" w:rsidRPr="00175078" w:rsidRDefault="00780443" w:rsidP="0016449E">
      <w:pPr>
        <w:pStyle w:val="Style7"/>
        <w:pBdr>
          <w:bottom w:val="single" w:sz="4" w:space="1" w:color="auto"/>
        </w:pBdr>
        <w:spacing w:before="600"/>
        <w:ind w:left="3600" w:right="3024" w:hanging="576"/>
        <w:jc w:val="center"/>
        <w:rPr>
          <w:rFonts w:ascii="Times New Roman" w:hAnsi="Times New Roman" w:cs="Times New Roman"/>
          <w:sz w:val="22"/>
          <w:szCs w:val="22"/>
        </w:rPr>
      </w:pPr>
    </w:p>
    <w:sectPr w:rsidR="00780443" w:rsidRPr="00175078" w:rsidSect="0017507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B31" w:rsidRDefault="00902B31" w:rsidP="00B02DB6">
      <w:pPr>
        <w:spacing w:after="0" w:line="240" w:lineRule="auto"/>
      </w:pPr>
      <w:r>
        <w:separator/>
      </w:r>
    </w:p>
  </w:endnote>
  <w:endnote w:type="continuationSeparator" w:id="0">
    <w:p w:rsidR="00902B31" w:rsidRDefault="00902B31" w:rsidP="00B0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B31" w:rsidRDefault="00902B31" w:rsidP="00B02DB6">
      <w:pPr>
        <w:spacing w:after="0" w:line="240" w:lineRule="auto"/>
      </w:pPr>
      <w:r>
        <w:separator/>
      </w:r>
    </w:p>
  </w:footnote>
  <w:footnote w:type="continuationSeparator" w:id="0">
    <w:p w:rsidR="00902B31" w:rsidRDefault="00902B31" w:rsidP="00B02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76" w:rsidRPr="00DE0918" w:rsidRDefault="000A6A76" w:rsidP="001A6DEA">
    <w:pPr>
      <w:pStyle w:val="Header"/>
      <w:tabs>
        <w:tab w:val="clear" w:pos="9360"/>
        <w:tab w:val="right" w:pos="8640"/>
      </w:tabs>
      <w:rPr>
        <w:rFonts w:ascii="Times New Roman" w:hAnsi="Times New Roman" w:cs="Times New Roman"/>
        <w:sz w:val="20"/>
        <w:szCs w:val="20"/>
      </w:rPr>
    </w:pPr>
    <w:r w:rsidRPr="00DE0918">
      <w:rPr>
        <w:rFonts w:ascii="Times New Roman" w:eastAsia="Book Antiqua" w:hAnsi="Times New Roman" w:cs="Times New Roman"/>
        <w:sz w:val="20"/>
        <w:szCs w:val="20"/>
        <w:lang w:val="en-US" w:eastAsia="en-US"/>
      </w:rPr>
      <w:t>No. 25.</w:t>
    </w:r>
    <w:r w:rsidRPr="00DE0918">
      <w:rPr>
        <w:rFonts w:ascii="Times New Roman" w:hAnsi="Times New Roman" w:cs="Times New Roman"/>
        <w:sz w:val="20"/>
        <w:szCs w:val="20"/>
      </w:rPr>
      <w:ptab w:relativeTo="margin" w:alignment="center" w:leader="none"/>
    </w:r>
    <w:r w:rsidRPr="00DE0918">
      <w:rPr>
        <w:rFonts w:ascii="Times New Roman" w:eastAsia="Book Antiqua" w:hAnsi="Times New Roman" w:cs="Times New Roman"/>
        <w:i/>
        <w:iCs/>
        <w:sz w:val="20"/>
        <w:szCs w:val="20"/>
        <w:lang w:val="en-US" w:eastAsia="en-US"/>
      </w:rPr>
      <w:t>Port Augusta to Red Hill Railway.</w:t>
    </w:r>
    <w:r w:rsidR="001A6DEA">
      <w:rPr>
        <w:rFonts w:ascii="Times New Roman" w:eastAsia="Book Antiqua" w:hAnsi="Times New Roman" w:cs="Times New Roman"/>
        <w:i/>
        <w:iCs/>
        <w:sz w:val="20"/>
        <w:szCs w:val="20"/>
        <w:lang w:val="en-US" w:eastAsia="en-US"/>
      </w:rPr>
      <w:tab/>
    </w:r>
    <w:r w:rsidRPr="00DE0918">
      <w:rPr>
        <w:rFonts w:ascii="Times New Roman" w:eastAsia="Times New Roman" w:hAnsi="Times New Roman" w:cs="Times New Roman"/>
        <w:sz w:val="20"/>
        <w:szCs w:val="20"/>
        <w:lang w:val="en-US" w:eastAsia="en-US"/>
      </w:rPr>
      <w:t>1935</w:t>
    </w:r>
    <w:r w:rsidRPr="00DE0918">
      <w:rPr>
        <w:rFonts w:ascii="Times New Roman" w:eastAsia="Book Antiqua" w:hAnsi="Times New Roman" w:cs="Times New Roman"/>
        <w:sz w:val="20"/>
        <w:szCs w:val="20"/>
        <w:lang w:val="en-US" w:eastAsia="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B6" w:rsidRPr="00DE0918" w:rsidRDefault="00B02DB6" w:rsidP="005E4BA3">
    <w:pPr>
      <w:pStyle w:val="Header"/>
      <w:tabs>
        <w:tab w:val="clear" w:pos="9360"/>
        <w:tab w:val="right" w:pos="8640"/>
      </w:tabs>
      <w:rPr>
        <w:rFonts w:ascii="Times New Roman" w:hAnsi="Times New Roman" w:cs="Times New Roman"/>
        <w:sz w:val="20"/>
        <w:szCs w:val="20"/>
      </w:rPr>
    </w:pPr>
    <w:r w:rsidRPr="00DE0918">
      <w:rPr>
        <w:rFonts w:ascii="Times New Roman" w:eastAsia="Book Antiqua" w:hAnsi="Times New Roman" w:cs="Times New Roman"/>
        <w:sz w:val="20"/>
        <w:szCs w:val="20"/>
        <w:lang w:val="en-US" w:eastAsia="en-US"/>
      </w:rPr>
      <w:t>1935.</w:t>
    </w:r>
    <w:r w:rsidRPr="00DE0918">
      <w:rPr>
        <w:rFonts w:ascii="Times New Roman" w:hAnsi="Times New Roman" w:cs="Times New Roman"/>
        <w:sz w:val="20"/>
        <w:szCs w:val="20"/>
      </w:rPr>
      <w:ptab w:relativeTo="margin" w:alignment="center" w:leader="none"/>
    </w:r>
    <w:r w:rsidRPr="00DE0918">
      <w:rPr>
        <w:rFonts w:ascii="Times New Roman" w:eastAsia="Book Antiqua" w:hAnsi="Times New Roman" w:cs="Times New Roman"/>
        <w:i/>
        <w:iCs/>
        <w:sz w:val="20"/>
        <w:szCs w:val="20"/>
        <w:lang w:val="en-US" w:eastAsia="en-US"/>
      </w:rPr>
      <w:t>Port Augusta to Red Hill Railway</w:t>
    </w:r>
    <w:r w:rsidR="007D5339">
      <w:rPr>
        <w:rFonts w:ascii="Times New Roman" w:hAnsi="Times New Roman" w:cs="Times New Roman"/>
        <w:sz w:val="20"/>
        <w:szCs w:val="20"/>
      </w:rPr>
      <w:t>.</w:t>
    </w:r>
    <w:r w:rsidR="005E4BA3">
      <w:rPr>
        <w:rFonts w:ascii="Times New Roman" w:hAnsi="Times New Roman" w:cs="Times New Roman"/>
        <w:sz w:val="20"/>
        <w:szCs w:val="20"/>
      </w:rPr>
      <w:tab/>
    </w:r>
    <w:r w:rsidRPr="00DE0918">
      <w:rPr>
        <w:rFonts w:ascii="Times New Roman" w:eastAsia="Book Antiqua" w:hAnsi="Times New Roman" w:cs="Times New Roman"/>
        <w:sz w:val="20"/>
        <w:szCs w:val="20"/>
        <w:lang w:val="en-US" w:eastAsia="en-US"/>
      </w:rPr>
      <w:t>No. 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A4BD5"/>
    <w:rsid w:val="000258B6"/>
    <w:rsid w:val="000A6A76"/>
    <w:rsid w:val="000F2BA7"/>
    <w:rsid w:val="0012132A"/>
    <w:rsid w:val="0016449E"/>
    <w:rsid w:val="00175078"/>
    <w:rsid w:val="001A6DEA"/>
    <w:rsid w:val="001C54C2"/>
    <w:rsid w:val="001E6E4D"/>
    <w:rsid w:val="00201DD9"/>
    <w:rsid w:val="002B079B"/>
    <w:rsid w:val="002B55F5"/>
    <w:rsid w:val="002C1B9D"/>
    <w:rsid w:val="004F7256"/>
    <w:rsid w:val="00510AE8"/>
    <w:rsid w:val="00510FCA"/>
    <w:rsid w:val="00565D41"/>
    <w:rsid w:val="005E4BA3"/>
    <w:rsid w:val="0067509C"/>
    <w:rsid w:val="006F303B"/>
    <w:rsid w:val="0072532B"/>
    <w:rsid w:val="00750B77"/>
    <w:rsid w:val="00762139"/>
    <w:rsid w:val="00776E15"/>
    <w:rsid w:val="00780443"/>
    <w:rsid w:val="007D5339"/>
    <w:rsid w:val="00817E02"/>
    <w:rsid w:val="00865161"/>
    <w:rsid w:val="008A4BD5"/>
    <w:rsid w:val="00902B31"/>
    <w:rsid w:val="009432FA"/>
    <w:rsid w:val="00A13686"/>
    <w:rsid w:val="00A51048"/>
    <w:rsid w:val="00AE51C1"/>
    <w:rsid w:val="00AE5219"/>
    <w:rsid w:val="00B02DB6"/>
    <w:rsid w:val="00C234C5"/>
    <w:rsid w:val="00CA35B9"/>
    <w:rsid w:val="00CB4B27"/>
    <w:rsid w:val="00D13DB9"/>
    <w:rsid w:val="00DE0918"/>
    <w:rsid w:val="00E04425"/>
    <w:rsid w:val="00E35F8C"/>
    <w:rsid w:val="00E6475D"/>
    <w:rsid w:val="00F17CFD"/>
    <w:rsid w:val="00F672A1"/>
    <w:rsid w:val="00F81272"/>
    <w:rsid w:val="00F97883"/>
    <w:rsid w:val="00FE0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A35B9"/>
    <w:pPr>
      <w:spacing w:after="0" w:line="240" w:lineRule="auto"/>
    </w:pPr>
    <w:rPr>
      <w:rFonts w:ascii="Book Antiqua" w:eastAsia="Book Antiqua" w:hAnsi="Book Antiqua" w:cs="Book Antiqua"/>
      <w:sz w:val="20"/>
      <w:szCs w:val="20"/>
    </w:rPr>
  </w:style>
  <w:style w:type="paragraph" w:customStyle="1" w:styleId="Style1">
    <w:name w:val="Style1"/>
    <w:basedOn w:val="Normal"/>
    <w:rsid w:val="00CA35B9"/>
    <w:pPr>
      <w:spacing w:after="0" w:line="240" w:lineRule="auto"/>
    </w:pPr>
    <w:rPr>
      <w:rFonts w:ascii="Book Antiqua" w:eastAsia="Book Antiqua" w:hAnsi="Book Antiqua" w:cs="Book Antiqua"/>
      <w:sz w:val="20"/>
      <w:szCs w:val="20"/>
    </w:rPr>
  </w:style>
  <w:style w:type="paragraph" w:customStyle="1" w:styleId="Style2">
    <w:name w:val="Style2"/>
    <w:basedOn w:val="Normal"/>
    <w:rsid w:val="00CA35B9"/>
    <w:pPr>
      <w:spacing w:after="0" w:line="240" w:lineRule="auto"/>
    </w:pPr>
    <w:rPr>
      <w:rFonts w:ascii="Book Antiqua" w:eastAsia="Book Antiqua" w:hAnsi="Book Antiqua" w:cs="Book Antiqua"/>
      <w:sz w:val="20"/>
      <w:szCs w:val="20"/>
    </w:rPr>
  </w:style>
  <w:style w:type="paragraph" w:customStyle="1" w:styleId="Style3">
    <w:name w:val="Style3"/>
    <w:basedOn w:val="Normal"/>
    <w:rsid w:val="00CA35B9"/>
    <w:pPr>
      <w:spacing w:after="0" w:line="240" w:lineRule="auto"/>
    </w:pPr>
    <w:rPr>
      <w:rFonts w:ascii="Book Antiqua" w:eastAsia="Book Antiqua" w:hAnsi="Book Antiqua" w:cs="Book Antiqua"/>
      <w:sz w:val="20"/>
      <w:szCs w:val="20"/>
    </w:rPr>
  </w:style>
  <w:style w:type="paragraph" w:customStyle="1" w:styleId="Style4">
    <w:name w:val="Style4"/>
    <w:basedOn w:val="Normal"/>
    <w:rsid w:val="00CA35B9"/>
    <w:pPr>
      <w:spacing w:after="0" w:line="240" w:lineRule="auto"/>
    </w:pPr>
    <w:rPr>
      <w:rFonts w:ascii="Book Antiqua" w:eastAsia="Book Antiqua" w:hAnsi="Book Antiqua" w:cs="Book Antiqua"/>
      <w:sz w:val="20"/>
      <w:szCs w:val="20"/>
    </w:rPr>
  </w:style>
  <w:style w:type="paragraph" w:customStyle="1" w:styleId="Style19">
    <w:name w:val="Style19"/>
    <w:basedOn w:val="Normal"/>
    <w:rsid w:val="00CA35B9"/>
    <w:pPr>
      <w:spacing w:after="0" w:line="240" w:lineRule="auto"/>
    </w:pPr>
    <w:rPr>
      <w:rFonts w:ascii="Book Antiqua" w:eastAsia="Book Antiqua" w:hAnsi="Book Antiqua" w:cs="Book Antiqua"/>
      <w:sz w:val="20"/>
      <w:szCs w:val="20"/>
    </w:rPr>
  </w:style>
  <w:style w:type="paragraph" w:customStyle="1" w:styleId="Style6">
    <w:name w:val="Style6"/>
    <w:basedOn w:val="Normal"/>
    <w:rsid w:val="00CA35B9"/>
    <w:pPr>
      <w:spacing w:after="0" w:line="240" w:lineRule="auto"/>
    </w:pPr>
    <w:rPr>
      <w:rFonts w:ascii="Book Antiqua" w:eastAsia="Book Antiqua" w:hAnsi="Book Antiqua" w:cs="Book Antiqua"/>
      <w:sz w:val="20"/>
      <w:szCs w:val="20"/>
    </w:rPr>
  </w:style>
  <w:style w:type="paragraph" w:customStyle="1" w:styleId="Style7">
    <w:name w:val="Style7"/>
    <w:basedOn w:val="Normal"/>
    <w:rsid w:val="00CA35B9"/>
    <w:pPr>
      <w:spacing w:after="0" w:line="240" w:lineRule="auto"/>
    </w:pPr>
    <w:rPr>
      <w:rFonts w:ascii="Book Antiqua" w:eastAsia="Book Antiqua" w:hAnsi="Book Antiqua" w:cs="Book Antiqua"/>
      <w:sz w:val="20"/>
      <w:szCs w:val="20"/>
    </w:rPr>
  </w:style>
  <w:style w:type="paragraph" w:customStyle="1" w:styleId="Style11">
    <w:name w:val="Style11"/>
    <w:basedOn w:val="Normal"/>
    <w:rsid w:val="00CA35B9"/>
    <w:pPr>
      <w:spacing w:after="0" w:line="240" w:lineRule="auto"/>
    </w:pPr>
    <w:rPr>
      <w:rFonts w:ascii="Book Antiqua" w:eastAsia="Book Antiqua" w:hAnsi="Book Antiqua" w:cs="Book Antiqua"/>
      <w:sz w:val="20"/>
      <w:szCs w:val="20"/>
    </w:rPr>
  </w:style>
  <w:style w:type="character" w:customStyle="1" w:styleId="CharStyle0">
    <w:name w:val="CharStyle0"/>
    <w:basedOn w:val="DefaultParagraphFont"/>
    <w:rsid w:val="00CA35B9"/>
    <w:rPr>
      <w:rFonts w:ascii="Book Antiqua" w:eastAsia="Book Antiqua" w:hAnsi="Book Antiqua" w:cs="Book Antiqua"/>
      <w:b w:val="0"/>
      <w:bCs w:val="0"/>
      <w:i w:val="0"/>
      <w:iCs w:val="0"/>
      <w:smallCaps w:val="0"/>
      <w:sz w:val="28"/>
      <w:szCs w:val="28"/>
    </w:rPr>
  </w:style>
  <w:style w:type="character" w:customStyle="1" w:styleId="CharStyle1">
    <w:name w:val="CharStyle1"/>
    <w:basedOn w:val="DefaultParagraphFont"/>
    <w:rsid w:val="00CA35B9"/>
    <w:rPr>
      <w:rFonts w:ascii="Book Antiqua" w:eastAsia="Book Antiqua" w:hAnsi="Book Antiqua" w:cs="Book Antiqua"/>
      <w:b/>
      <w:bCs/>
      <w:i w:val="0"/>
      <w:iCs w:val="0"/>
      <w:smallCaps w:val="0"/>
      <w:sz w:val="22"/>
      <w:szCs w:val="22"/>
    </w:rPr>
  </w:style>
  <w:style w:type="character" w:customStyle="1" w:styleId="CharStyle3">
    <w:name w:val="CharStyle3"/>
    <w:basedOn w:val="DefaultParagraphFont"/>
    <w:rsid w:val="00CA35B9"/>
    <w:rPr>
      <w:rFonts w:ascii="Book Antiqua" w:eastAsia="Book Antiqua" w:hAnsi="Book Antiqua" w:cs="Book Antiqua"/>
      <w:b/>
      <w:bCs/>
      <w:i w:val="0"/>
      <w:iCs w:val="0"/>
      <w:smallCaps w:val="0"/>
      <w:spacing w:val="10"/>
      <w:sz w:val="24"/>
      <w:szCs w:val="24"/>
    </w:rPr>
  </w:style>
  <w:style w:type="character" w:customStyle="1" w:styleId="CharStyle4">
    <w:name w:val="CharStyle4"/>
    <w:basedOn w:val="DefaultParagraphFont"/>
    <w:rsid w:val="00CA35B9"/>
    <w:rPr>
      <w:rFonts w:ascii="Book Antiqua" w:eastAsia="Book Antiqua" w:hAnsi="Book Antiqua" w:cs="Book Antiqua"/>
      <w:b/>
      <w:bCs/>
      <w:i/>
      <w:iCs/>
      <w:smallCaps w:val="0"/>
      <w:sz w:val="24"/>
      <w:szCs w:val="24"/>
    </w:rPr>
  </w:style>
  <w:style w:type="character" w:customStyle="1" w:styleId="CharStyle5">
    <w:name w:val="CharStyle5"/>
    <w:basedOn w:val="DefaultParagraphFont"/>
    <w:rsid w:val="00CA35B9"/>
    <w:rPr>
      <w:rFonts w:ascii="Book Antiqua" w:eastAsia="Book Antiqua" w:hAnsi="Book Antiqua" w:cs="Book Antiqua"/>
      <w:b/>
      <w:bCs/>
      <w:i w:val="0"/>
      <w:iCs w:val="0"/>
      <w:smallCaps w:val="0"/>
      <w:sz w:val="20"/>
      <w:szCs w:val="20"/>
    </w:rPr>
  </w:style>
  <w:style w:type="character" w:customStyle="1" w:styleId="CharStyle6">
    <w:name w:val="CharStyle6"/>
    <w:basedOn w:val="DefaultParagraphFont"/>
    <w:rsid w:val="00CA35B9"/>
    <w:rPr>
      <w:rFonts w:ascii="Book Antiqua" w:eastAsia="Book Antiqua" w:hAnsi="Book Antiqua" w:cs="Book Antiqua"/>
      <w:b w:val="0"/>
      <w:bCs w:val="0"/>
      <w:i w:val="0"/>
      <w:iCs w:val="0"/>
      <w:smallCaps w:val="0"/>
      <w:sz w:val="56"/>
      <w:szCs w:val="56"/>
    </w:rPr>
  </w:style>
  <w:style w:type="character" w:customStyle="1" w:styleId="CharStyle7">
    <w:name w:val="CharStyle7"/>
    <w:basedOn w:val="DefaultParagraphFont"/>
    <w:rsid w:val="00CA35B9"/>
    <w:rPr>
      <w:rFonts w:ascii="Book Antiqua" w:eastAsia="Book Antiqua" w:hAnsi="Book Antiqua" w:cs="Book Antiqua"/>
      <w:b w:val="0"/>
      <w:bCs w:val="0"/>
      <w:i w:val="0"/>
      <w:iCs w:val="0"/>
      <w:smallCaps w:val="0"/>
      <w:sz w:val="18"/>
      <w:szCs w:val="18"/>
    </w:rPr>
  </w:style>
  <w:style w:type="character" w:customStyle="1" w:styleId="CharStyle13">
    <w:name w:val="CharStyle13"/>
    <w:basedOn w:val="DefaultParagraphFont"/>
    <w:rsid w:val="00CA35B9"/>
    <w:rPr>
      <w:rFonts w:ascii="Book Antiqua" w:eastAsia="Book Antiqua" w:hAnsi="Book Antiqua" w:cs="Book Antiqua"/>
      <w:b/>
      <w:bCs/>
      <w:i w:val="0"/>
      <w:iCs w:val="0"/>
      <w:smallCaps w:val="0"/>
      <w:sz w:val="12"/>
      <w:szCs w:val="12"/>
    </w:rPr>
  </w:style>
  <w:style w:type="character" w:customStyle="1" w:styleId="CharStyle15">
    <w:name w:val="CharStyle15"/>
    <w:basedOn w:val="DefaultParagraphFont"/>
    <w:rsid w:val="00CA35B9"/>
    <w:rPr>
      <w:rFonts w:ascii="Book Antiqua" w:eastAsia="Book Antiqua" w:hAnsi="Book Antiqua" w:cs="Book Antiqua"/>
      <w:b w:val="0"/>
      <w:bCs w:val="0"/>
      <w:i/>
      <w:iCs/>
      <w:smallCaps w:val="0"/>
      <w:sz w:val="18"/>
      <w:szCs w:val="18"/>
    </w:rPr>
  </w:style>
  <w:style w:type="character" w:customStyle="1" w:styleId="CharStyle20">
    <w:name w:val="CharStyle20"/>
    <w:basedOn w:val="DefaultParagraphFont"/>
    <w:rsid w:val="00CA35B9"/>
    <w:rPr>
      <w:rFonts w:ascii="Book Antiqua" w:eastAsia="Book Antiqua" w:hAnsi="Book Antiqua" w:cs="Book Antiqua"/>
      <w:b/>
      <w:bCs/>
      <w:i w:val="0"/>
      <w:iCs w:val="0"/>
      <w:smallCaps w:val="0"/>
      <w:sz w:val="12"/>
      <w:szCs w:val="12"/>
    </w:rPr>
  </w:style>
  <w:style w:type="character" w:customStyle="1" w:styleId="CharStyle28">
    <w:name w:val="CharStyle28"/>
    <w:basedOn w:val="DefaultParagraphFont"/>
    <w:rsid w:val="00CA35B9"/>
    <w:rPr>
      <w:rFonts w:ascii="Book Antiqua" w:eastAsia="Book Antiqua" w:hAnsi="Book Antiqua" w:cs="Book Antiqua"/>
      <w:b/>
      <w:bCs/>
      <w:i w:val="0"/>
      <w:iCs w:val="0"/>
      <w:smallCaps/>
      <w:sz w:val="18"/>
      <w:szCs w:val="18"/>
    </w:rPr>
  </w:style>
  <w:style w:type="character" w:customStyle="1" w:styleId="CharStyle32">
    <w:name w:val="CharStyle32"/>
    <w:basedOn w:val="DefaultParagraphFont"/>
    <w:rsid w:val="00CA35B9"/>
    <w:rPr>
      <w:rFonts w:ascii="Book Antiqua" w:eastAsia="Book Antiqua" w:hAnsi="Book Antiqua" w:cs="Book Antiqua"/>
      <w:b/>
      <w:bCs/>
      <w:i w:val="0"/>
      <w:iCs w:val="0"/>
      <w:smallCaps w:val="0"/>
      <w:sz w:val="18"/>
      <w:szCs w:val="18"/>
    </w:rPr>
  </w:style>
  <w:style w:type="paragraph" w:styleId="Header">
    <w:name w:val="header"/>
    <w:basedOn w:val="Normal"/>
    <w:link w:val="HeaderChar"/>
    <w:uiPriority w:val="99"/>
    <w:semiHidden/>
    <w:unhideWhenUsed/>
    <w:rsid w:val="00B02D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DB6"/>
  </w:style>
  <w:style w:type="paragraph" w:styleId="Footer">
    <w:name w:val="footer"/>
    <w:basedOn w:val="Normal"/>
    <w:link w:val="FooterChar"/>
    <w:uiPriority w:val="99"/>
    <w:semiHidden/>
    <w:unhideWhenUsed/>
    <w:rsid w:val="00B02D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2DB6"/>
  </w:style>
  <w:style w:type="paragraph" w:styleId="BalloonText">
    <w:name w:val="Balloon Text"/>
    <w:basedOn w:val="Normal"/>
    <w:link w:val="BalloonTextChar"/>
    <w:uiPriority w:val="99"/>
    <w:semiHidden/>
    <w:unhideWhenUsed/>
    <w:rsid w:val="00B02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DB6"/>
    <w:rPr>
      <w:rFonts w:ascii="Tahoma" w:hAnsi="Tahoma" w:cs="Tahoma"/>
      <w:sz w:val="16"/>
      <w:szCs w:val="16"/>
    </w:rPr>
  </w:style>
  <w:style w:type="paragraph" w:styleId="ListParagraph">
    <w:name w:val="List Paragraph"/>
    <w:basedOn w:val="Normal"/>
    <w:uiPriority w:val="34"/>
    <w:qFormat/>
    <w:rsid w:val="001A6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48</cp:revision>
  <dcterms:created xsi:type="dcterms:W3CDTF">2017-04-05T05:14:00Z</dcterms:created>
  <dcterms:modified xsi:type="dcterms:W3CDTF">2017-09-21T22:37:00Z</dcterms:modified>
</cp:coreProperties>
</file>