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CF" w:rsidRDefault="002D0FCF" w:rsidP="001E5A21">
      <w:pPr>
        <w:pStyle w:val="Style1"/>
        <w:widowControl/>
        <w:pBdr>
          <w:top w:val="single" w:sz="4" w:space="1" w:color="auto"/>
        </w:pBdr>
        <w:spacing w:before="8520"/>
        <w:ind w:left="3744" w:right="3744"/>
        <w:jc w:val="center"/>
        <w:rPr>
          <w:rStyle w:val="FontStyle11"/>
          <w:rFonts w:ascii="Times New Roman" w:hAnsi="Times New Roman" w:cs="Times New Roman"/>
          <w:spacing w:val="0"/>
          <w:sz w:val="36"/>
          <w:szCs w:val="36"/>
          <w:lang w:val="en-US" w:eastAsia="en-US"/>
        </w:rPr>
      </w:pPr>
    </w:p>
    <w:p w:rsidR="00440CB5" w:rsidRDefault="00440CB5" w:rsidP="002D0FCF">
      <w:pPr>
        <w:pStyle w:val="Style1"/>
        <w:widowControl/>
        <w:jc w:val="center"/>
        <w:rPr>
          <w:rStyle w:val="FontStyle11"/>
          <w:rFonts w:ascii="Times New Roman" w:hAnsi="Times New Roman" w:cs="Times New Roman"/>
          <w:spacing w:val="0"/>
          <w:sz w:val="36"/>
          <w:szCs w:val="36"/>
          <w:lang w:val="en-US" w:eastAsia="en-US"/>
        </w:rPr>
      </w:pPr>
      <w:r w:rsidRPr="002D0FCF">
        <w:rPr>
          <w:rStyle w:val="FontStyle11"/>
          <w:rFonts w:ascii="Times New Roman" w:hAnsi="Times New Roman" w:cs="Times New Roman"/>
          <w:spacing w:val="0"/>
          <w:sz w:val="36"/>
          <w:szCs w:val="36"/>
          <w:lang w:val="en-US" w:eastAsia="en-US"/>
        </w:rPr>
        <w:t>EXCISE.</w:t>
      </w:r>
    </w:p>
    <w:p w:rsidR="002D0FCF" w:rsidRPr="001C2C1A" w:rsidRDefault="002D0FCF" w:rsidP="002D0FCF">
      <w:pPr>
        <w:pStyle w:val="Style1"/>
        <w:widowControl/>
        <w:pBdr>
          <w:bottom w:val="single" w:sz="4" w:space="1" w:color="auto"/>
        </w:pBdr>
        <w:ind w:left="4032" w:right="4032"/>
        <w:jc w:val="center"/>
        <w:rPr>
          <w:rStyle w:val="FontStyle11"/>
          <w:rFonts w:ascii="Times New Roman" w:hAnsi="Times New Roman" w:cs="Times New Roman"/>
          <w:spacing w:val="0"/>
          <w:sz w:val="18"/>
          <w:szCs w:val="18"/>
          <w:lang w:val="en-US" w:eastAsia="en-US"/>
        </w:rPr>
      </w:pPr>
    </w:p>
    <w:p w:rsidR="00440CB5" w:rsidRPr="002D0FCF" w:rsidRDefault="00440CB5" w:rsidP="002D0FCF">
      <w:pPr>
        <w:pStyle w:val="Style2"/>
        <w:widowControl/>
        <w:spacing w:before="240"/>
        <w:jc w:val="center"/>
        <w:rPr>
          <w:rStyle w:val="FontStyle12"/>
          <w:rFonts w:ascii="Times New Roman" w:hAnsi="Times New Roman" w:cs="Times New Roman"/>
          <w:spacing w:val="0"/>
          <w:sz w:val="28"/>
          <w:szCs w:val="28"/>
          <w:lang w:val="en-US" w:eastAsia="en-US"/>
        </w:rPr>
      </w:pPr>
      <w:r w:rsidRPr="002D0FCF">
        <w:rPr>
          <w:rStyle w:val="FontStyle12"/>
          <w:rFonts w:ascii="Times New Roman" w:hAnsi="Times New Roman" w:cs="Times New Roman"/>
          <w:spacing w:val="0"/>
          <w:sz w:val="28"/>
          <w:szCs w:val="28"/>
          <w:lang w:val="en-US" w:eastAsia="en-US"/>
        </w:rPr>
        <w:t>No. 44 of 1934.</w:t>
      </w:r>
    </w:p>
    <w:p w:rsidR="00440CB5" w:rsidRPr="002D0FCF" w:rsidRDefault="002E4F45" w:rsidP="00944628">
      <w:pPr>
        <w:pStyle w:val="Style3"/>
        <w:widowControl/>
        <w:spacing w:before="120"/>
        <w:jc w:val="center"/>
        <w:rPr>
          <w:rStyle w:val="FontStyle14"/>
          <w:i/>
          <w:iCs/>
          <w:spacing w:val="0"/>
          <w:lang w:val="en-US" w:eastAsia="en-US"/>
        </w:rPr>
      </w:pPr>
      <w:r w:rsidRPr="002D0FCF">
        <w:rPr>
          <w:rStyle w:val="FontStyle14"/>
          <w:spacing w:val="0"/>
          <w:lang w:val="en-US" w:eastAsia="en-US"/>
        </w:rPr>
        <w:t>An Act to amend Part XI.</w:t>
      </w:r>
      <w:r w:rsidRPr="002D0FCF">
        <w:rPr>
          <w:rStyle w:val="FontStyle14"/>
          <w:spacing w:val="0"/>
          <w:lang w:val="es-ES_tradnl" w:eastAsia="en-US"/>
        </w:rPr>
        <w:t xml:space="preserve"> of</w:t>
      </w:r>
      <w:r w:rsidR="00440CB5" w:rsidRPr="002D0FCF">
        <w:rPr>
          <w:rStyle w:val="FontStyle14"/>
          <w:spacing w:val="0"/>
          <w:lang w:val="en-US" w:eastAsia="en-US"/>
        </w:rPr>
        <w:t xml:space="preserve"> the </w:t>
      </w:r>
      <w:r w:rsidR="00440CB5" w:rsidRPr="002D0FCF">
        <w:rPr>
          <w:rStyle w:val="FontStyle13"/>
          <w:rFonts w:ascii="Times New Roman" w:hAnsi="Times New Roman" w:cs="Times New Roman"/>
          <w:sz w:val="26"/>
          <w:szCs w:val="26"/>
          <w:lang w:val="en-US" w:eastAsia="en-US"/>
        </w:rPr>
        <w:t>Excise Act</w:t>
      </w:r>
      <w:r w:rsidR="002D325E">
        <w:rPr>
          <w:rStyle w:val="FontStyle13"/>
          <w:rFonts w:ascii="Times New Roman" w:hAnsi="Times New Roman" w:cs="Times New Roman"/>
          <w:sz w:val="26"/>
          <w:szCs w:val="26"/>
          <w:lang w:val="en-US" w:eastAsia="en-US"/>
        </w:rPr>
        <w:t xml:space="preserve"> </w:t>
      </w:r>
      <w:r w:rsidR="00440CB5" w:rsidRPr="002D0FCF">
        <w:rPr>
          <w:rStyle w:val="FontStyle14"/>
          <w:spacing w:val="0"/>
          <w:lang w:val="en-US" w:eastAsia="en-US"/>
        </w:rPr>
        <w:t>1901</w:t>
      </w:r>
      <w:r w:rsidRPr="002D0FCF">
        <w:rPr>
          <w:rStyle w:val="FontStyle14"/>
          <w:rFonts w:eastAsia="Arial Unicode MS"/>
          <w:spacing w:val="0"/>
          <w:lang w:val="en-US" w:eastAsia="en-US"/>
        </w:rPr>
        <w:t>–</w:t>
      </w:r>
      <w:r w:rsidR="00440CB5" w:rsidRPr="002D0FCF">
        <w:rPr>
          <w:rStyle w:val="FontStyle14"/>
          <w:spacing w:val="0"/>
          <w:lang w:val="en-US" w:eastAsia="en-US"/>
        </w:rPr>
        <w:t>1923.</w:t>
      </w:r>
    </w:p>
    <w:p w:rsidR="00440CB5" w:rsidRPr="002D0FCF" w:rsidRDefault="00440CB5" w:rsidP="002D0FCF">
      <w:pPr>
        <w:pStyle w:val="Style5"/>
        <w:widowControl/>
        <w:spacing w:before="120" w:after="120"/>
        <w:jc w:val="right"/>
        <w:rPr>
          <w:rStyle w:val="FontStyle15"/>
          <w:rFonts w:ascii="Times New Roman" w:hAnsi="Times New Roman" w:cs="Times New Roman"/>
          <w:sz w:val="26"/>
          <w:szCs w:val="26"/>
          <w:lang w:val="en-US" w:eastAsia="en-US"/>
        </w:rPr>
      </w:pPr>
      <w:r w:rsidRPr="002D0FCF">
        <w:rPr>
          <w:rStyle w:val="FontStyle15"/>
          <w:rFonts w:ascii="Times New Roman" w:hAnsi="Times New Roman" w:cs="Times New Roman"/>
          <w:b w:val="0"/>
          <w:sz w:val="26"/>
          <w:szCs w:val="26"/>
          <w:lang w:val="en-US" w:eastAsia="en-US"/>
        </w:rPr>
        <w:t>[Assented to 4th August, 1934.]</w:t>
      </w:r>
    </w:p>
    <w:p w:rsidR="00440CB5" w:rsidRPr="00567A6B" w:rsidRDefault="002E4F45" w:rsidP="00944628">
      <w:pPr>
        <w:pStyle w:val="Style6"/>
        <w:widowControl/>
        <w:spacing w:line="240" w:lineRule="auto"/>
        <w:jc w:val="both"/>
        <w:rPr>
          <w:rStyle w:val="FontStyle22"/>
          <w:rFonts w:ascii="Times New Roman" w:hAnsi="Times New Roman" w:cs="Times New Roman"/>
          <w:sz w:val="22"/>
          <w:szCs w:val="22"/>
          <w:lang w:val="en-US" w:eastAsia="en-US"/>
        </w:rPr>
      </w:pPr>
      <w:r w:rsidRPr="00567A6B">
        <w:rPr>
          <w:rStyle w:val="FontStyle22"/>
          <w:rFonts w:ascii="Times New Roman" w:hAnsi="Times New Roman" w:cs="Times New Roman"/>
          <w:sz w:val="22"/>
          <w:szCs w:val="22"/>
          <w:lang w:val="en-US" w:eastAsia="en-US"/>
        </w:rPr>
        <w:t>B</w:t>
      </w:r>
      <w:r w:rsidR="00440CB5" w:rsidRPr="00567A6B">
        <w:rPr>
          <w:rStyle w:val="FontStyle22"/>
          <w:rFonts w:ascii="Times New Roman" w:hAnsi="Times New Roman" w:cs="Times New Roman"/>
          <w:sz w:val="22"/>
          <w:szCs w:val="22"/>
          <w:lang w:val="en-US" w:eastAsia="en-US"/>
        </w:rPr>
        <w:t>E it enacted by the King</w:t>
      </w:r>
      <w:r w:rsidR="00B06CA4">
        <w:rPr>
          <w:rStyle w:val="FontStyle22"/>
          <w:rFonts w:ascii="Times New Roman" w:hAnsi="Times New Roman" w:cs="Times New Roman"/>
          <w:sz w:val="22"/>
          <w:szCs w:val="22"/>
          <w:lang w:val="en-US" w:eastAsia="en-US"/>
        </w:rPr>
        <w:t>’</w:t>
      </w:r>
      <w:r w:rsidR="00440CB5" w:rsidRPr="00567A6B">
        <w:rPr>
          <w:rStyle w:val="FontStyle22"/>
          <w:rFonts w:ascii="Times New Roman" w:hAnsi="Times New Roman" w:cs="Times New Roman"/>
          <w:sz w:val="22"/>
          <w:szCs w:val="22"/>
          <w:lang w:val="en-US" w:eastAsia="en-US"/>
        </w:rPr>
        <w:t>s Most Excellent Majesty, the Senate, and the House</w:t>
      </w:r>
      <w:r w:rsidR="00440CB5" w:rsidRPr="00567A6B">
        <w:rPr>
          <w:rStyle w:val="FontStyle22"/>
          <w:rFonts w:ascii="Times New Roman" w:hAnsi="Times New Roman" w:cs="Times New Roman"/>
          <w:sz w:val="22"/>
          <w:szCs w:val="22"/>
          <w:lang w:val="es-ES_tradnl" w:eastAsia="en-US"/>
        </w:rPr>
        <w:t xml:space="preserve"> oí</w:t>
      </w:r>
      <w:r w:rsidR="00440CB5" w:rsidRPr="00567A6B">
        <w:rPr>
          <w:rStyle w:val="FontStyle22"/>
          <w:rFonts w:ascii="Times New Roman" w:hAnsi="Times New Roman" w:cs="Times New Roman"/>
          <w:sz w:val="22"/>
          <w:szCs w:val="22"/>
          <w:lang w:val="en-US" w:eastAsia="en-US"/>
        </w:rPr>
        <w:t xml:space="preserve"> Representatives of the Commonwealth of Australia, as follows:—</w:t>
      </w:r>
    </w:p>
    <w:p w:rsidR="002D0FCF" w:rsidRPr="00E97B5B" w:rsidRDefault="002D0FCF" w:rsidP="00944628">
      <w:pPr>
        <w:pStyle w:val="Style7"/>
        <w:widowControl/>
        <w:spacing w:before="120" w:after="60" w:line="240" w:lineRule="auto"/>
        <w:jc w:val="both"/>
        <w:rPr>
          <w:rStyle w:val="FontStyle18"/>
          <w:rFonts w:ascii="Times New Roman" w:hAnsi="Times New Roman" w:cs="Times New Roman"/>
          <w:sz w:val="20"/>
          <w:szCs w:val="20"/>
          <w:lang w:val="en-US" w:eastAsia="en-US"/>
        </w:rPr>
      </w:pPr>
      <w:r w:rsidRPr="00E97B5B">
        <w:rPr>
          <w:rStyle w:val="FontStyle18"/>
          <w:rFonts w:ascii="Times New Roman" w:hAnsi="Times New Roman" w:cs="Times New Roman"/>
          <w:sz w:val="20"/>
          <w:szCs w:val="20"/>
          <w:lang w:val="en-US" w:eastAsia="en-US"/>
        </w:rPr>
        <w:t>Short title and citation.</w:t>
      </w:r>
    </w:p>
    <w:p w:rsidR="002E4F45" w:rsidRPr="00567A6B" w:rsidRDefault="00440CB5" w:rsidP="00944628">
      <w:pPr>
        <w:pStyle w:val="Style6"/>
        <w:widowControl/>
        <w:spacing w:line="240" w:lineRule="auto"/>
        <w:ind w:firstLine="432"/>
        <w:jc w:val="both"/>
        <w:rPr>
          <w:rStyle w:val="FontStyle22"/>
          <w:rFonts w:ascii="Times New Roman" w:hAnsi="Times New Roman" w:cs="Times New Roman"/>
          <w:sz w:val="22"/>
          <w:szCs w:val="22"/>
          <w:lang w:val="en-US" w:eastAsia="en-US"/>
        </w:rPr>
      </w:pPr>
      <w:r w:rsidRPr="00567A6B">
        <w:rPr>
          <w:rStyle w:val="FontStyle19"/>
          <w:rFonts w:ascii="Times New Roman" w:hAnsi="Times New Roman" w:cs="Times New Roman"/>
          <w:sz w:val="22"/>
          <w:szCs w:val="22"/>
          <w:lang w:val="en-US" w:eastAsia="en-US"/>
        </w:rPr>
        <w:t>1.</w:t>
      </w:r>
      <w:r w:rsidRPr="00412FBD">
        <w:rPr>
          <w:rStyle w:val="FontStyle19"/>
          <w:rFonts w:ascii="Times New Roman" w:hAnsi="Times New Roman" w:cs="Times New Roman"/>
          <w:b w:val="0"/>
          <w:sz w:val="22"/>
          <w:szCs w:val="22"/>
          <w:lang w:val="en-US" w:eastAsia="en-US"/>
        </w:rPr>
        <w:t>—</w:t>
      </w:r>
      <w:r w:rsidRPr="00567A6B">
        <w:rPr>
          <w:rStyle w:val="FontStyle19"/>
          <w:rFonts w:ascii="Times New Roman" w:hAnsi="Times New Roman" w:cs="Times New Roman"/>
          <w:b w:val="0"/>
          <w:sz w:val="22"/>
          <w:szCs w:val="22"/>
          <w:lang w:val="en-US" w:eastAsia="en-US"/>
        </w:rPr>
        <w:t>(1.)</w:t>
      </w:r>
      <w:r w:rsidR="002D325E">
        <w:rPr>
          <w:rStyle w:val="FontStyle19"/>
          <w:rFonts w:ascii="Times New Roman" w:hAnsi="Times New Roman" w:cs="Times New Roman"/>
          <w:b w:val="0"/>
          <w:sz w:val="22"/>
          <w:szCs w:val="22"/>
          <w:lang w:val="en-US" w:eastAsia="en-US"/>
        </w:rPr>
        <w:tab/>
      </w:r>
      <w:r w:rsidRPr="00567A6B">
        <w:rPr>
          <w:rStyle w:val="FontStyle22"/>
          <w:rFonts w:ascii="Times New Roman" w:hAnsi="Times New Roman" w:cs="Times New Roman"/>
          <w:sz w:val="22"/>
          <w:szCs w:val="22"/>
          <w:lang w:val="en-US" w:eastAsia="en-US"/>
        </w:rPr>
        <w:t xml:space="preserve">This Act may be cited as the </w:t>
      </w:r>
      <w:r w:rsidRPr="00567A6B">
        <w:rPr>
          <w:rStyle w:val="FontStyle17"/>
          <w:rFonts w:ascii="Times New Roman" w:hAnsi="Times New Roman" w:cs="Times New Roman"/>
          <w:sz w:val="22"/>
          <w:szCs w:val="22"/>
          <w:lang w:val="en-US" w:eastAsia="en-US"/>
        </w:rPr>
        <w:t xml:space="preserve">Excise Act </w:t>
      </w:r>
      <w:r w:rsidRPr="00567A6B">
        <w:rPr>
          <w:rStyle w:val="FontStyle22"/>
          <w:rFonts w:ascii="Times New Roman" w:hAnsi="Times New Roman" w:cs="Times New Roman"/>
          <w:sz w:val="22"/>
          <w:szCs w:val="22"/>
          <w:lang w:val="en-US" w:eastAsia="en-US"/>
        </w:rPr>
        <w:t>1934.</w:t>
      </w:r>
    </w:p>
    <w:p w:rsidR="004A698D" w:rsidRDefault="00440CB5" w:rsidP="002D325E">
      <w:pPr>
        <w:pStyle w:val="Style6"/>
        <w:widowControl/>
        <w:tabs>
          <w:tab w:val="left" w:pos="900"/>
        </w:tabs>
        <w:spacing w:line="240" w:lineRule="auto"/>
        <w:ind w:firstLine="432"/>
        <w:jc w:val="both"/>
        <w:rPr>
          <w:rStyle w:val="FontStyle22"/>
          <w:rFonts w:ascii="Times New Roman" w:hAnsi="Times New Roman" w:cs="Times New Roman"/>
          <w:sz w:val="22"/>
          <w:szCs w:val="22"/>
          <w:lang w:val="en-US" w:eastAsia="en-US"/>
        </w:rPr>
      </w:pPr>
      <w:r w:rsidRPr="00567A6B">
        <w:rPr>
          <w:rStyle w:val="FontStyle22"/>
          <w:rFonts w:ascii="Times New Roman" w:hAnsi="Times New Roman" w:cs="Times New Roman"/>
          <w:sz w:val="22"/>
          <w:szCs w:val="22"/>
          <w:lang w:val="en-US" w:eastAsia="en-US"/>
        </w:rPr>
        <w:t>(2.)</w:t>
      </w:r>
      <w:r w:rsidR="002D325E">
        <w:rPr>
          <w:rStyle w:val="FontStyle22"/>
          <w:rFonts w:ascii="Times New Roman" w:hAnsi="Times New Roman" w:cs="Times New Roman"/>
          <w:sz w:val="22"/>
          <w:szCs w:val="22"/>
          <w:lang w:val="en-US" w:eastAsia="en-US"/>
        </w:rPr>
        <w:tab/>
      </w:r>
      <w:r w:rsidRPr="00567A6B">
        <w:rPr>
          <w:rStyle w:val="FontStyle22"/>
          <w:rFonts w:ascii="Times New Roman" w:hAnsi="Times New Roman" w:cs="Times New Roman"/>
          <w:sz w:val="22"/>
          <w:szCs w:val="22"/>
          <w:lang w:val="en-US" w:eastAsia="en-US"/>
        </w:rPr>
        <w:t>The</w:t>
      </w:r>
      <w:r w:rsidRPr="00567A6B">
        <w:rPr>
          <w:rStyle w:val="FontStyle22"/>
          <w:rFonts w:ascii="Times New Roman" w:hAnsi="Times New Roman" w:cs="Times New Roman"/>
          <w:sz w:val="22"/>
          <w:szCs w:val="22"/>
          <w:lang w:val="es-ES_tradnl" w:eastAsia="en-US"/>
        </w:rPr>
        <w:t xml:space="preserve"> </w:t>
      </w:r>
      <w:r w:rsidR="002E4F45" w:rsidRPr="00567A6B">
        <w:rPr>
          <w:rStyle w:val="FontStyle17"/>
          <w:rFonts w:ascii="Times New Roman" w:hAnsi="Times New Roman" w:cs="Times New Roman"/>
          <w:sz w:val="22"/>
          <w:szCs w:val="22"/>
          <w:lang w:val="es-ES_tradnl" w:eastAsia="en-US"/>
        </w:rPr>
        <w:t>Excis</w:t>
      </w:r>
      <w:r w:rsidRPr="00567A6B">
        <w:rPr>
          <w:rStyle w:val="FontStyle17"/>
          <w:rFonts w:ascii="Times New Roman" w:hAnsi="Times New Roman" w:cs="Times New Roman"/>
          <w:sz w:val="22"/>
          <w:szCs w:val="22"/>
          <w:lang w:val="es-ES_tradnl" w:eastAsia="en-US"/>
        </w:rPr>
        <w:t>e</w:t>
      </w:r>
      <w:r w:rsidRPr="00567A6B">
        <w:rPr>
          <w:rStyle w:val="FontStyle17"/>
          <w:rFonts w:ascii="Times New Roman" w:hAnsi="Times New Roman" w:cs="Times New Roman"/>
          <w:sz w:val="22"/>
          <w:szCs w:val="22"/>
          <w:lang w:val="en-US" w:eastAsia="en-US"/>
        </w:rPr>
        <w:t xml:space="preserve"> Act </w:t>
      </w:r>
      <w:r w:rsidRPr="00567A6B">
        <w:rPr>
          <w:rStyle w:val="FontStyle22"/>
          <w:rFonts w:ascii="Times New Roman" w:hAnsi="Times New Roman" w:cs="Times New Roman"/>
          <w:sz w:val="22"/>
          <w:szCs w:val="22"/>
          <w:lang w:val="en-US" w:eastAsia="en-US"/>
        </w:rPr>
        <w:t>1901</w:t>
      </w:r>
      <w:r w:rsidR="002E4F45" w:rsidRPr="00567A6B">
        <w:rPr>
          <w:rStyle w:val="FontStyle22"/>
          <w:rFonts w:ascii="Times New Roman" w:eastAsia="Arial Unicode MS" w:hAnsi="Times New Roman" w:cs="Times New Roman"/>
          <w:sz w:val="22"/>
          <w:szCs w:val="22"/>
          <w:lang w:val="en-US" w:eastAsia="en-US"/>
        </w:rPr>
        <w:t>–</w:t>
      </w:r>
      <w:r w:rsidR="00412FBD">
        <w:rPr>
          <w:rStyle w:val="FontStyle22"/>
          <w:rFonts w:ascii="Times New Roman" w:hAnsi="Times New Roman" w:cs="Times New Roman"/>
          <w:sz w:val="22"/>
          <w:szCs w:val="22"/>
          <w:lang w:val="en-US" w:eastAsia="en-US"/>
        </w:rPr>
        <w:t>1923</w:t>
      </w:r>
      <w:bookmarkStart w:id="0" w:name="_GoBack"/>
      <w:bookmarkEnd w:id="0"/>
      <w:r w:rsidRPr="00567A6B">
        <w:rPr>
          <w:rStyle w:val="FontStyle22"/>
          <w:rFonts w:ascii="Times New Roman" w:hAnsi="Times New Roman" w:cs="Times New Roman"/>
          <w:sz w:val="22"/>
          <w:szCs w:val="22"/>
          <w:lang w:val="en-US" w:eastAsia="en-US"/>
        </w:rPr>
        <w:t xml:space="preserve"> is in this Act referred to as the Principal Act.</w:t>
      </w:r>
    </w:p>
    <w:p w:rsidR="00440CB5" w:rsidRPr="00567A6B" w:rsidRDefault="00353D46" w:rsidP="002D325E">
      <w:pPr>
        <w:pStyle w:val="Style6"/>
        <w:widowControl/>
        <w:tabs>
          <w:tab w:val="left" w:pos="900"/>
        </w:tabs>
        <w:spacing w:line="240" w:lineRule="auto"/>
        <w:ind w:firstLine="432"/>
        <w:jc w:val="both"/>
        <w:rPr>
          <w:rStyle w:val="FontStyle22"/>
          <w:rFonts w:ascii="Times New Roman" w:hAnsi="Times New Roman" w:cs="Times New Roman"/>
          <w:sz w:val="22"/>
          <w:szCs w:val="22"/>
          <w:lang w:val="en-US" w:eastAsia="en-US"/>
        </w:rPr>
      </w:pPr>
      <w:r w:rsidRPr="00567A6B">
        <w:rPr>
          <w:rStyle w:val="FontStyle22"/>
          <w:rFonts w:ascii="Times New Roman" w:hAnsi="Times New Roman" w:cs="Times New Roman"/>
          <w:sz w:val="22"/>
          <w:szCs w:val="22"/>
          <w:lang w:val="en-US" w:eastAsia="en-US"/>
        </w:rPr>
        <w:br w:type="page"/>
      </w:r>
      <w:r w:rsidR="00440CB5" w:rsidRPr="00567A6B">
        <w:rPr>
          <w:rStyle w:val="FontStyle22"/>
          <w:rFonts w:ascii="Times New Roman" w:hAnsi="Times New Roman" w:cs="Times New Roman"/>
          <w:sz w:val="22"/>
          <w:szCs w:val="22"/>
          <w:lang w:val="en-US" w:eastAsia="en-US"/>
        </w:rPr>
        <w:lastRenderedPageBreak/>
        <w:t>(3.)</w:t>
      </w:r>
      <w:r w:rsidR="002D325E">
        <w:rPr>
          <w:rStyle w:val="FontStyle22"/>
          <w:rFonts w:ascii="Times New Roman" w:hAnsi="Times New Roman" w:cs="Times New Roman"/>
          <w:sz w:val="22"/>
          <w:szCs w:val="22"/>
          <w:lang w:val="en-US" w:eastAsia="en-US"/>
        </w:rPr>
        <w:tab/>
      </w:r>
      <w:r w:rsidR="00440CB5" w:rsidRPr="00567A6B">
        <w:rPr>
          <w:rStyle w:val="FontStyle22"/>
          <w:rFonts w:ascii="Times New Roman" w:hAnsi="Times New Roman" w:cs="Times New Roman"/>
          <w:sz w:val="22"/>
          <w:szCs w:val="22"/>
          <w:lang w:val="en-US" w:eastAsia="en-US"/>
        </w:rPr>
        <w:t xml:space="preserve">The Principal Act, as amended by this Act, may be cited as the </w:t>
      </w:r>
      <w:r w:rsidR="00440CB5" w:rsidRPr="00567A6B">
        <w:rPr>
          <w:rStyle w:val="FontStyle17"/>
          <w:rFonts w:ascii="Times New Roman" w:hAnsi="Times New Roman" w:cs="Times New Roman"/>
          <w:sz w:val="22"/>
          <w:szCs w:val="22"/>
          <w:lang w:val="en-US" w:eastAsia="en-US"/>
        </w:rPr>
        <w:t xml:space="preserve">Excise Act </w:t>
      </w:r>
      <w:r w:rsidR="00440CB5" w:rsidRPr="00567A6B">
        <w:rPr>
          <w:rStyle w:val="FontStyle22"/>
          <w:rFonts w:ascii="Times New Roman" w:hAnsi="Times New Roman" w:cs="Times New Roman"/>
          <w:sz w:val="22"/>
          <w:szCs w:val="22"/>
          <w:lang w:val="en-US" w:eastAsia="en-US"/>
        </w:rPr>
        <w:t>1901</w:t>
      </w:r>
      <w:r w:rsidR="003537E3" w:rsidRPr="00567A6B">
        <w:rPr>
          <w:rStyle w:val="FontStyle22"/>
          <w:rFonts w:ascii="Times New Roman" w:eastAsia="Arial Unicode MS" w:hAnsi="Times New Roman" w:cs="Times New Roman"/>
          <w:sz w:val="22"/>
          <w:szCs w:val="22"/>
          <w:lang w:val="en-US" w:eastAsia="en-US"/>
        </w:rPr>
        <w:t>–</w:t>
      </w:r>
      <w:r w:rsidR="00440CB5" w:rsidRPr="00567A6B">
        <w:rPr>
          <w:rStyle w:val="FontStyle22"/>
          <w:rFonts w:ascii="Times New Roman" w:hAnsi="Times New Roman" w:cs="Times New Roman"/>
          <w:sz w:val="22"/>
          <w:szCs w:val="22"/>
          <w:lang w:val="en-US" w:eastAsia="en-US"/>
        </w:rPr>
        <w:t>1934.</w:t>
      </w:r>
    </w:p>
    <w:p w:rsidR="00440CB5" w:rsidRPr="00567A6B" w:rsidRDefault="00440CB5" w:rsidP="00412FBD">
      <w:pPr>
        <w:pStyle w:val="Style6"/>
        <w:widowControl/>
        <w:spacing w:before="120" w:line="240" w:lineRule="auto"/>
        <w:ind w:firstLine="431"/>
        <w:jc w:val="both"/>
        <w:rPr>
          <w:rStyle w:val="FontStyle22"/>
          <w:rFonts w:ascii="Times New Roman" w:hAnsi="Times New Roman" w:cs="Times New Roman"/>
          <w:sz w:val="22"/>
          <w:szCs w:val="22"/>
          <w:lang w:val="en-US" w:eastAsia="en-US"/>
        </w:rPr>
      </w:pPr>
      <w:r w:rsidRPr="00567A6B">
        <w:rPr>
          <w:rStyle w:val="FontStyle22"/>
          <w:rFonts w:ascii="Times New Roman" w:hAnsi="Times New Roman" w:cs="Times New Roman"/>
          <w:b/>
          <w:sz w:val="22"/>
          <w:szCs w:val="22"/>
          <w:lang w:val="en-US" w:eastAsia="en-US"/>
        </w:rPr>
        <w:t>2.</w:t>
      </w:r>
      <w:r w:rsidR="00E34441">
        <w:rPr>
          <w:rStyle w:val="FontStyle22"/>
          <w:rFonts w:ascii="Times New Roman" w:hAnsi="Times New Roman" w:cs="Times New Roman"/>
          <w:b/>
          <w:sz w:val="22"/>
          <w:szCs w:val="22"/>
          <w:lang w:val="en-US" w:eastAsia="en-US"/>
        </w:rPr>
        <w:tab/>
      </w:r>
      <w:r w:rsidRPr="00567A6B">
        <w:rPr>
          <w:rStyle w:val="FontStyle22"/>
          <w:rFonts w:ascii="Times New Roman" w:hAnsi="Times New Roman" w:cs="Times New Roman"/>
          <w:sz w:val="22"/>
          <w:szCs w:val="22"/>
          <w:lang w:val="en-US" w:eastAsia="en-US"/>
        </w:rPr>
        <w:t>Part XI. of the Principal Act is amended by inserting after section one hundred and forty-seven the following section:—</w:t>
      </w:r>
    </w:p>
    <w:p w:rsidR="00E34441" w:rsidRPr="00E97B5B" w:rsidRDefault="00E34441" w:rsidP="00E34441">
      <w:pPr>
        <w:pStyle w:val="Style7"/>
        <w:widowControl/>
        <w:spacing w:before="120" w:after="60" w:line="240" w:lineRule="auto"/>
        <w:jc w:val="both"/>
        <w:rPr>
          <w:rStyle w:val="FontStyle18"/>
          <w:rFonts w:ascii="Times New Roman" w:hAnsi="Times New Roman" w:cs="Times New Roman"/>
          <w:sz w:val="20"/>
          <w:szCs w:val="20"/>
          <w:lang w:val="en-US" w:eastAsia="en-US"/>
        </w:rPr>
      </w:pPr>
      <w:r w:rsidRPr="00E97B5B">
        <w:rPr>
          <w:rStyle w:val="FontStyle18"/>
          <w:rFonts w:ascii="Times New Roman" w:hAnsi="Times New Roman" w:cs="Times New Roman"/>
          <w:sz w:val="20"/>
          <w:szCs w:val="20"/>
          <w:lang w:val="en-US" w:eastAsia="en-US"/>
        </w:rPr>
        <w:t xml:space="preserve">Offender may be committed to </w:t>
      </w:r>
      <w:r w:rsidRPr="00E97B5B">
        <w:rPr>
          <w:rStyle w:val="FontStyle18"/>
          <w:rFonts w:ascii="Times New Roman" w:hAnsi="Times New Roman" w:cs="Times New Roman"/>
          <w:sz w:val="20"/>
          <w:szCs w:val="20"/>
        </w:rPr>
        <w:t xml:space="preserve">gaol </w:t>
      </w:r>
      <w:r w:rsidRPr="00E97B5B">
        <w:rPr>
          <w:rStyle w:val="FontStyle18"/>
          <w:rFonts w:ascii="Times New Roman" w:hAnsi="Times New Roman" w:cs="Times New Roman"/>
          <w:sz w:val="20"/>
          <w:szCs w:val="20"/>
          <w:lang w:val="en-US" w:eastAsia="en-US"/>
        </w:rPr>
        <w:t>if security not enforced.</w:t>
      </w:r>
    </w:p>
    <w:p w:rsidR="00440CB5" w:rsidRPr="00567A6B" w:rsidRDefault="00B06CA4" w:rsidP="00442F12">
      <w:pPr>
        <w:pStyle w:val="Style6"/>
        <w:widowControl/>
        <w:tabs>
          <w:tab w:val="left" w:pos="1800"/>
        </w:tabs>
        <w:spacing w:line="240" w:lineRule="auto"/>
        <w:ind w:firstLine="432"/>
        <w:jc w:val="both"/>
        <w:rPr>
          <w:rStyle w:val="FontStyle22"/>
          <w:rFonts w:ascii="Times New Roman" w:hAnsi="Times New Roman" w:cs="Times New Roman"/>
          <w:sz w:val="22"/>
          <w:szCs w:val="22"/>
          <w:lang w:val="en-US" w:eastAsia="en-US"/>
        </w:rPr>
      </w:pPr>
      <w:r>
        <w:rPr>
          <w:rStyle w:val="FontStyle22"/>
          <w:rFonts w:ascii="Times New Roman" w:hAnsi="Times New Roman" w:cs="Times New Roman"/>
          <w:sz w:val="22"/>
          <w:szCs w:val="22"/>
          <w:lang w:val="en-US" w:eastAsia="en-US"/>
        </w:rPr>
        <w:t>“</w:t>
      </w:r>
      <w:r w:rsidR="00440CB5" w:rsidRPr="00567A6B">
        <w:rPr>
          <w:rStyle w:val="FontStyle22"/>
          <w:rFonts w:ascii="Times New Roman" w:hAnsi="Times New Roman" w:cs="Times New Roman"/>
          <w:sz w:val="22"/>
          <w:szCs w:val="22"/>
          <w:lang w:val="en-US" w:eastAsia="en-US"/>
        </w:rPr>
        <w:t>147</w:t>
      </w:r>
      <w:r w:rsidRPr="00B06CA4">
        <w:rPr>
          <w:rStyle w:val="FontStyle21"/>
          <w:rFonts w:ascii="Times New Roman" w:hAnsi="Times New Roman" w:cs="Times New Roman"/>
          <w:b w:val="0"/>
          <w:bCs w:val="0"/>
          <w:spacing w:val="0"/>
          <w:sz w:val="22"/>
          <w:szCs w:val="22"/>
          <w:lang w:val="en-US" w:eastAsia="en-US"/>
        </w:rPr>
        <w:t>a</w:t>
      </w:r>
      <w:r w:rsidR="00440CB5" w:rsidRPr="00412FBD">
        <w:rPr>
          <w:rStyle w:val="FontStyle21"/>
          <w:rFonts w:ascii="Times New Roman" w:hAnsi="Times New Roman" w:cs="Times New Roman"/>
          <w:b w:val="0"/>
          <w:spacing w:val="0"/>
          <w:sz w:val="22"/>
          <w:szCs w:val="22"/>
          <w:lang w:val="en-US" w:eastAsia="en-US"/>
        </w:rPr>
        <w:t>.</w:t>
      </w:r>
      <w:r w:rsidR="00440CB5" w:rsidRPr="00567A6B">
        <w:rPr>
          <w:rStyle w:val="FontStyle20"/>
          <w:rFonts w:ascii="Times New Roman" w:hAnsi="Times New Roman" w:cs="Times New Roman"/>
          <w:lang w:val="en-US" w:eastAsia="en-US"/>
        </w:rPr>
        <w:t>—</w:t>
      </w:r>
      <w:r w:rsidR="00440CB5" w:rsidRPr="00567A6B">
        <w:rPr>
          <w:rStyle w:val="FontStyle22"/>
          <w:rFonts w:ascii="Times New Roman" w:hAnsi="Times New Roman" w:cs="Times New Roman"/>
          <w:sz w:val="22"/>
          <w:szCs w:val="22"/>
          <w:lang w:val="en-US" w:eastAsia="en-US"/>
        </w:rPr>
        <w:t>(1.)</w:t>
      </w:r>
      <w:r w:rsidR="00442F12">
        <w:rPr>
          <w:rStyle w:val="FontStyle22"/>
          <w:rFonts w:ascii="Times New Roman" w:hAnsi="Times New Roman" w:cs="Times New Roman"/>
          <w:sz w:val="22"/>
          <w:szCs w:val="22"/>
          <w:lang w:val="en-US" w:eastAsia="en-US"/>
        </w:rPr>
        <w:tab/>
      </w:r>
      <w:r w:rsidR="00440CB5" w:rsidRPr="00567A6B">
        <w:rPr>
          <w:rStyle w:val="FontStyle22"/>
          <w:rFonts w:ascii="Times New Roman" w:hAnsi="Times New Roman" w:cs="Times New Roman"/>
          <w:sz w:val="22"/>
          <w:szCs w:val="22"/>
          <w:lang w:val="en-US" w:eastAsia="en-US"/>
        </w:rPr>
        <w:t xml:space="preserve">Where any convicted person has, whether before or after the commencement of this section, been released in pursuance of section one hundred and forty-seven of this Act upon his giving security for the payment of the pecuniary penalty adjudged to be paid by him, and the penalty has not been paid, or part only thereof has been </w:t>
      </w:r>
      <w:r w:rsidR="003537E3" w:rsidRPr="00567A6B">
        <w:rPr>
          <w:rStyle w:val="FontStyle22"/>
          <w:rFonts w:ascii="Times New Roman" w:hAnsi="Times New Roman" w:cs="Times New Roman"/>
          <w:sz w:val="22"/>
          <w:szCs w:val="22"/>
          <w:lang w:val="en-US" w:eastAsia="en-US"/>
        </w:rPr>
        <w:t>paid, the prosecutor or plaintiff</w:t>
      </w:r>
      <w:r w:rsidR="00440CB5" w:rsidRPr="00567A6B">
        <w:rPr>
          <w:rStyle w:val="FontStyle22"/>
          <w:rFonts w:ascii="Times New Roman" w:hAnsi="Times New Roman" w:cs="Times New Roman"/>
          <w:sz w:val="22"/>
          <w:szCs w:val="22"/>
          <w:lang w:val="en-US" w:eastAsia="en-US"/>
        </w:rPr>
        <w:t xml:space="preserve"> may apply to the Court for an order committing the offender to </w:t>
      </w:r>
      <w:proofErr w:type="spellStart"/>
      <w:r w:rsidR="00440CB5" w:rsidRPr="00567A6B">
        <w:rPr>
          <w:rStyle w:val="FontStyle22"/>
          <w:rFonts w:ascii="Times New Roman" w:hAnsi="Times New Roman" w:cs="Times New Roman"/>
          <w:sz w:val="22"/>
          <w:szCs w:val="22"/>
          <w:lang w:val="en-US" w:eastAsia="en-US"/>
        </w:rPr>
        <w:t>gaol</w:t>
      </w:r>
      <w:proofErr w:type="spellEnd"/>
      <w:r w:rsidR="00440CB5" w:rsidRPr="00567A6B">
        <w:rPr>
          <w:rStyle w:val="FontStyle22"/>
          <w:rFonts w:ascii="Times New Roman" w:hAnsi="Times New Roman" w:cs="Times New Roman"/>
          <w:sz w:val="22"/>
          <w:szCs w:val="22"/>
          <w:lang w:val="en-US" w:eastAsia="en-US"/>
        </w:rPr>
        <w:t xml:space="preserve"> until the penalty, or the balance thereof, as the case may be, has been paid, and the Court shall, if it is satisfied that enforcement of the security is impracticable or would occasion hardship to the surety, make an order accordingly.</w:t>
      </w:r>
    </w:p>
    <w:p w:rsidR="00440CB5" w:rsidRPr="00567A6B" w:rsidRDefault="00B06CA4" w:rsidP="00442F12">
      <w:pPr>
        <w:pStyle w:val="Style6"/>
        <w:widowControl/>
        <w:tabs>
          <w:tab w:val="left" w:pos="1080"/>
        </w:tabs>
        <w:spacing w:line="240" w:lineRule="auto"/>
        <w:ind w:firstLine="432"/>
        <w:jc w:val="both"/>
        <w:rPr>
          <w:rStyle w:val="FontStyle22"/>
          <w:rFonts w:ascii="Times New Roman" w:hAnsi="Times New Roman" w:cs="Times New Roman"/>
          <w:sz w:val="22"/>
          <w:szCs w:val="22"/>
          <w:lang w:val="en-US" w:eastAsia="en-US"/>
        </w:rPr>
      </w:pPr>
      <w:r>
        <w:rPr>
          <w:rStyle w:val="FontStyle22"/>
          <w:rFonts w:ascii="Times New Roman" w:hAnsi="Times New Roman" w:cs="Times New Roman"/>
          <w:sz w:val="22"/>
          <w:szCs w:val="22"/>
          <w:lang w:val="en-US" w:eastAsia="en-US"/>
        </w:rPr>
        <w:t>“</w:t>
      </w:r>
      <w:r w:rsidR="00440CB5" w:rsidRPr="00567A6B">
        <w:rPr>
          <w:rStyle w:val="FontStyle22"/>
          <w:rFonts w:ascii="Times New Roman" w:hAnsi="Times New Roman" w:cs="Times New Roman"/>
          <w:sz w:val="22"/>
          <w:szCs w:val="22"/>
          <w:lang w:val="en-US" w:eastAsia="en-US"/>
        </w:rPr>
        <w:t>(2.)</w:t>
      </w:r>
      <w:r w:rsidR="00442F12">
        <w:rPr>
          <w:rStyle w:val="FontStyle22"/>
          <w:rFonts w:ascii="Times New Roman" w:hAnsi="Times New Roman" w:cs="Times New Roman"/>
          <w:sz w:val="22"/>
          <w:szCs w:val="22"/>
          <w:lang w:val="en-US" w:eastAsia="en-US"/>
        </w:rPr>
        <w:tab/>
      </w:r>
      <w:r w:rsidR="00440CB5" w:rsidRPr="00567A6B">
        <w:rPr>
          <w:rStyle w:val="FontStyle22"/>
          <w:rFonts w:ascii="Times New Roman" w:hAnsi="Times New Roman" w:cs="Times New Roman"/>
          <w:sz w:val="22"/>
          <w:szCs w:val="22"/>
          <w:lang w:val="en-US" w:eastAsia="en-US"/>
        </w:rPr>
        <w:t xml:space="preserve">The provisions of section one hundred and forty-nine of this Act shall apply to the imprisonment of an offender for whose committal to </w:t>
      </w:r>
      <w:proofErr w:type="spellStart"/>
      <w:r w:rsidR="00440CB5" w:rsidRPr="00567A6B">
        <w:rPr>
          <w:rStyle w:val="FontStyle22"/>
          <w:rFonts w:ascii="Times New Roman" w:hAnsi="Times New Roman" w:cs="Times New Roman"/>
          <w:sz w:val="22"/>
          <w:szCs w:val="22"/>
          <w:lang w:val="en-US" w:eastAsia="en-US"/>
        </w:rPr>
        <w:t>gaol</w:t>
      </w:r>
      <w:proofErr w:type="spellEnd"/>
      <w:r w:rsidR="00440CB5" w:rsidRPr="00567A6B">
        <w:rPr>
          <w:rStyle w:val="FontStyle22"/>
          <w:rFonts w:ascii="Times New Roman" w:hAnsi="Times New Roman" w:cs="Times New Roman"/>
          <w:sz w:val="22"/>
          <w:szCs w:val="22"/>
          <w:lang w:val="en-US" w:eastAsia="en-US"/>
        </w:rPr>
        <w:t xml:space="preserve"> an order has been made in pursuance of this section:</w:t>
      </w:r>
    </w:p>
    <w:p w:rsidR="00440CB5" w:rsidRPr="00567A6B" w:rsidRDefault="00440CB5" w:rsidP="00945785">
      <w:pPr>
        <w:pStyle w:val="Style6"/>
        <w:widowControl/>
        <w:spacing w:line="240" w:lineRule="auto"/>
        <w:ind w:firstLine="432"/>
        <w:jc w:val="both"/>
        <w:rPr>
          <w:rStyle w:val="FontStyle22"/>
          <w:rFonts w:ascii="Times New Roman" w:hAnsi="Times New Roman" w:cs="Times New Roman"/>
          <w:sz w:val="22"/>
          <w:szCs w:val="22"/>
          <w:lang w:val="en-US" w:eastAsia="en-US"/>
        </w:rPr>
      </w:pPr>
      <w:r w:rsidRPr="00567A6B">
        <w:rPr>
          <w:rStyle w:val="FontStyle22"/>
          <w:rFonts w:ascii="Times New Roman" w:hAnsi="Times New Roman" w:cs="Times New Roman"/>
          <w:sz w:val="22"/>
          <w:szCs w:val="22"/>
          <w:lang w:val="en-US" w:eastAsia="en-US"/>
        </w:rPr>
        <w:t>Provided that, in the calculation of the period at the expiration of which the defendant is to be discharged, there shall be taken into account any period of imprisonment served by the defendant prior to his release upon his giving security for the payment of the penalty:</w:t>
      </w:r>
    </w:p>
    <w:p w:rsidR="00440CB5" w:rsidRPr="00567A6B" w:rsidRDefault="00440CB5" w:rsidP="00945785">
      <w:pPr>
        <w:pStyle w:val="Style6"/>
        <w:widowControl/>
        <w:spacing w:line="240" w:lineRule="auto"/>
        <w:ind w:firstLine="432"/>
        <w:jc w:val="both"/>
        <w:rPr>
          <w:rStyle w:val="FontStyle22"/>
          <w:rFonts w:ascii="Times New Roman" w:hAnsi="Times New Roman" w:cs="Times New Roman"/>
          <w:sz w:val="22"/>
          <w:szCs w:val="22"/>
          <w:lang w:val="en-US" w:eastAsia="en-US"/>
        </w:rPr>
      </w:pPr>
      <w:r w:rsidRPr="00567A6B">
        <w:rPr>
          <w:rStyle w:val="FontStyle22"/>
          <w:rFonts w:ascii="Times New Roman" w:hAnsi="Times New Roman" w:cs="Times New Roman"/>
          <w:sz w:val="22"/>
          <w:szCs w:val="22"/>
          <w:lang w:val="en-US" w:eastAsia="en-US"/>
        </w:rPr>
        <w:t>Provided further, that where the penalty has been paid in part, the amount of penalty, for the purposes of the table contained in section one hundred and forty-nine of this Act, shall be the unpaid balance of the penalty.</w:t>
      </w:r>
    </w:p>
    <w:p w:rsidR="00440CB5" w:rsidRDefault="00B06CA4" w:rsidP="00D359AE">
      <w:pPr>
        <w:pStyle w:val="Style6"/>
        <w:widowControl/>
        <w:pBdr>
          <w:bottom w:val="single" w:sz="4" w:space="1" w:color="auto"/>
        </w:pBdr>
        <w:tabs>
          <w:tab w:val="left" w:pos="1080"/>
        </w:tabs>
        <w:spacing w:line="240" w:lineRule="auto"/>
        <w:ind w:firstLine="432"/>
        <w:jc w:val="both"/>
        <w:rPr>
          <w:rStyle w:val="FontStyle22"/>
          <w:rFonts w:ascii="Times New Roman" w:hAnsi="Times New Roman" w:cs="Times New Roman"/>
          <w:sz w:val="22"/>
          <w:szCs w:val="22"/>
          <w:lang w:val="en-US" w:eastAsia="en-US"/>
        </w:rPr>
      </w:pPr>
      <w:r>
        <w:rPr>
          <w:rStyle w:val="FontStyle22"/>
          <w:rFonts w:ascii="Times New Roman" w:hAnsi="Times New Roman" w:cs="Times New Roman"/>
          <w:sz w:val="22"/>
          <w:szCs w:val="22"/>
          <w:lang w:val="en-US" w:eastAsia="en-US"/>
        </w:rPr>
        <w:t>“</w:t>
      </w:r>
      <w:r w:rsidR="00440CB5" w:rsidRPr="00567A6B">
        <w:rPr>
          <w:rStyle w:val="FontStyle22"/>
          <w:rFonts w:ascii="Times New Roman" w:hAnsi="Times New Roman" w:cs="Times New Roman"/>
          <w:sz w:val="22"/>
          <w:szCs w:val="22"/>
          <w:lang w:val="en-US" w:eastAsia="en-US"/>
        </w:rPr>
        <w:t>(3.)</w:t>
      </w:r>
      <w:r w:rsidR="00D359AE">
        <w:rPr>
          <w:rStyle w:val="FontStyle22"/>
          <w:rFonts w:ascii="Times New Roman" w:hAnsi="Times New Roman" w:cs="Times New Roman"/>
          <w:sz w:val="22"/>
          <w:szCs w:val="22"/>
          <w:lang w:val="en-US" w:eastAsia="en-US"/>
        </w:rPr>
        <w:tab/>
      </w:r>
      <w:r w:rsidR="00440CB5" w:rsidRPr="00567A6B">
        <w:rPr>
          <w:rStyle w:val="FontStyle22"/>
          <w:rFonts w:ascii="Times New Roman" w:hAnsi="Times New Roman" w:cs="Times New Roman"/>
          <w:sz w:val="22"/>
          <w:szCs w:val="22"/>
          <w:lang w:val="en-US" w:eastAsia="en-US"/>
        </w:rPr>
        <w:t>Notice of an application under this section shall be served upon the convicted person.</w:t>
      </w:r>
      <w:r>
        <w:rPr>
          <w:rStyle w:val="FontStyle22"/>
          <w:rFonts w:ascii="Times New Roman" w:hAnsi="Times New Roman" w:cs="Times New Roman"/>
          <w:sz w:val="22"/>
          <w:szCs w:val="22"/>
          <w:lang w:val="en-US" w:eastAsia="en-US"/>
        </w:rPr>
        <w:t>”</w:t>
      </w:r>
      <w:r w:rsidR="00440CB5" w:rsidRPr="00567A6B">
        <w:rPr>
          <w:rStyle w:val="FontStyle22"/>
          <w:rFonts w:ascii="Times New Roman" w:hAnsi="Times New Roman" w:cs="Times New Roman"/>
          <w:sz w:val="22"/>
          <w:szCs w:val="22"/>
          <w:lang w:val="en-US" w:eastAsia="en-US"/>
        </w:rPr>
        <w:t>.</w:t>
      </w:r>
    </w:p>
    <w:p w:rsidR="00412FBD" w:rsidRPr="00567A6B" w:rsidRDefault="00412FBD" w:rsidP="00D359AE">
      <w:pPr>
        <w:pStyle w:val="Style6"/>
        <w:widowControl/>
        <w:pBdr>
          <w:bottom w:val="single" w:sz="4" w:space="1" w:color="auto"/>
        </w:pBdr>
        <w:tabs>
          <w:tab w:val="left" w:pos="1080"/>
        </w:tabs>
        <w:spacing w:line="240" w:lineRule="auto"/>
        <w:ind w:firstLine="432"/>
        <w:jc w:val="both"/>
        <w:rPr>
          <w:rStyle w:val="FontStyle22"/>
          <w:rFonts w:ascii="Times New Roman" w:hAnsi="Times New Roman" w:cs="Times New Roman"/>
          <w:sz w:val="22"/>
          <w:szCs w:val="22"/>
          <w:lang w:val="en-US" w:eastAsia="en-US"/>
        </w:rPr>
      </w:pPr>
    </w:p>
    <w:sectPr w:rsidR="00412FBD" w:rsidRPr="00567A6B" w:rsidSect="00567A6B">
      <w:headerReference w:type="default" r:id="rId8"/>
      <w:type w:val="continuous"/>
      <w:pgSz w:w="11907" w:h="16839"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21" w:rsidRDefault="00680521">
      <w:r>
        <w:separator/>
      </w:r>
    </w:p>
  </w:endnote>
  <w:endnote w:type="continuationSeparator" w:id="0">
    <w:p w:rsidR="00680521" w:rsidRDefault="0068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21" w:rsidRDefault="00680521">
      <w:r>
        <w:separator/>
      </w:r>
    </w:p>
  </w:footnote>
  <w:footnote w:type="continuationSeparator" w:id="0">
    <w:p w:rsidR="00680521" w:rsidRDefault="00680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46" w:rsidRPr="00FD21F6" w:rsidRDefault="00B67D01" w:rsidP="00B67D01">
    <w:pPr>
      <w:pStyle w:val="Header"/>
      <w:rPr>
        <w:rFonts w:ascii="Times New Roman" w:hAnsi="Times New Roman"/>
        <w:sz w:val="20"/>
        <w:szCs w:val="20"/>
      </w:rPr>
    </w:pPr>
    <w:r w:rsidRPr="00FD21F6">
      <w:rPr>
        <w:rFonts w:ascii="Times New Roman" w:hAnsi="Times New Roman"/>
        <w:sz w:val="20"/>
        <w:szCs w:val="20"/>
      </w:rPr>
      <w:t>No. 44.</w:t>
    </w:r>
    <w:r w:rsidRPr="00FD21F6">
      <w:rPr>
        <w:rFonts w:ascii="Times New Roman" w:hAnsi="Times New Roman"/>
        <w:sz w:val="20"/>
        <w:szCs w:val="20"/>
      </w:rPr>
      <w:ptab w:relativeTo="margin" w:alignment="center" w:leader="none"/>
    </w:r>
    <w:r w:rsidRPr="00FD21F6">
      <w:rPr>
        <w:rFonts w:ascii="Times New Roman" w:hAnsi="Times New Roman"/>
        <w:i/>
        <w:iCs/>
        <w:sz w:val="20"/>
        <w:szCs w:val="20"/>
      </w:rPr>
      <w:t>Excise.</w:t>
    </w:r>
    <w:r w:rsidRPr="00FD21F6">
      <w:rPr>
        <w:rFonts w:ascii="Times New Roman" w:hAnsi="Times New Roman"/>
        <w:sz w:val="20"/>
        <w:szCs w:val="20"/>
      </w:rPr>
      <w:ptab w:relativeTo="margin" w:alignment="right" w:leader="none"/>
    </w:r>
    <w:r w:rsidRPr="00FD21F6">
      <w:rPr>
        <w:rFonts w:ascii="Times New Roman" w:hAnsi="Times New Roman"/>
        <w:sz w:val="20"/>
        <w:szCs w:val="20"/>
      </w:rPr>
      <w:t>1934.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E4F"/>
    <w:multiLevelType w:val="hybridMultilevel"/>
    <w:tmpl w:val="1BFA88A8"/>
    <w:lvl w:ilvl="0" w:tplc="F45AA902">
      <w:start w:val="2"/>
      <w:numFmt w:val="bullet"/>
      <w:lvlText w:val=""/>
      <w:lvlJc w:val="left"/>
      <w:pPr>
        <w:ind w:left="1636" w:hanging="360"/>
      </w:pPr>
      <w:rPr>
        <w:rFonts w:ascii="Symbol" w:eastAsia="Times New Roman" w:hAnsi="Symbol" w:hint="default"/>
      </w:rPr>
    </w:lvl>
    <w:lvl w:ilvl="1" w:tplc="40090003" w:tentative="1">
      <w:start w:val="1"/>
      <w:numFmt w:val="bullet"/>
      <w:lvlText w:val="o"/>
      <w:lvlJc w:val="left"/>
      <w:pPr>
        <w:ind w:left="2356" w:hanging="360"/>
      </w:pPr>
      <w:rPr>
        <w:rFonts w:ascii="Courier New" w:hAnsi="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hint="default"/>
      </w:rPr>
    </w:lvl>
    <w:lvl w:ilvl="8" w:tplc="4009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13D08"/>
    <w:rsid w:val="000E2240"/>
    <w:rsid w:val="001C2C1A"/>
    <w:rsid w:val="001E5A21"/>
    <w:rsid w:val="00216D3C"/>
    <w:rsid w:val="0027457A"/>
    <w:rsid w:val="00275159"/>
    <w:rsid w:val="002D0FCF"/>
    <w:rsid w:val="002D325E"/>
    <w:rsid w:val="002E4F45"/>
    <w:rsid w:val="003537E3"/>
    <w:rsid w:val="00353D46"/>
    <w:rsid w:val="00412FBD"/>
    <w:rsid w:val="00440CB5"/>
    <w:rsid w:val="00442F12"/>
    <w:rsid w:val="004445A9"/>
    <w:rsid w:val="004977FE"/>
    <w:rsid w:val="004A698D"/>
    <w:rsid w:val="004D1263"/>
    <w:rsid w:val="005318F5"/>
    <w:rsid w:val="00567A6B"/>
    <w:rsid w:val="0060772E"/>
    <w:rsid w:val="00647629"/>
    <w:rsid w:val="00680521"/>
    <w:rsid w:val="00754D03"/>
    <w:rsid w:val="007C7F8D"/>
    <w:rsid w:val="007F6AF3"/>
    <w:rsid w:val="008164AA"/>
    <w:rsid w:val="00825105"/>
    <w:rsid w:val="00856256"/>
    <w:rsid w:val="00864DD9"/>
    <w:rsid w:val="00944628"/>
    <w:rsid w:val="00945785"/>
    <w:rsid w:val="00964348"/>
    <w:rsid w:val="0096704B"/>
    <w:rsid w:val="00B06CA4"/>
    <w:rsid w:val="00B67D01"/>
    <w:rsid w:val="00C15A0C"/>
    <w:rsid w:val="00D359AE"/>
    <w:rsid w:val="00D9196C"/>
    <w:rsid w:val="00E13D08"/>
    <w:rsid w:val="00E34441"/>
    <w:rsid w:val="00E82C41"/>
    <w:rsid w:val="00E97B5B"/>
    <w:rsid w:val="00EB0BE9"/>
    <w:rsid w:val="00F34A9C"/>
    <w:rsid w:val="00FD21F6"/>
    <w:rsid w:val="00FD44FA"/>
    <w:rsid w:val="00FE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05"/>
    <w:pPr>
      <w:widowControl w:val="0"/>
      <w:autoSpaceDE w:val="0"/>
      <w:autoSpaceDN w:val="0"/>
      <w:adjustRightInd w:val="0"/>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25105"/>
  </w:style>
  <w:style w:type="paragraph" w:customStyle="1" w:styleId="Style2">
    <w:name w:val="Style2"/>
    <w:basedOn w:val="Normal"/>
    <w:uiPriority w:val="99"/>
    <w:rsid w:val="00825105"/>
  </w:style>
  <w:style w:type="paragraph" w:customStyle="1" w:styleId="Style3">
    <w:name w:val="Style3"/>
    <w:basedOn w:val="Normal"/>
    <w:uiPriority w:val="99"/>
    <w:rsid w:val="00825105"/>
  </w:style>
  <w:style w:type="paragraph" w:customStyle="1" w:styleId="Style4">
    <w:name w:val="Style4"/>
    <w:basedOn w:val="Normal"/>
    <w:uiPriority w:val="99"/>
    <w:rsid w:val="00825105"/>
  </w:style>
  <w:style w:type="paragraph" w:customStyle="1" w:styleId="Style5">
    <w:name w:val="Style5"/>
    <w:basedOn w:val="Normal"/>
    <w:uiPriority w:val="99"/>
    <w:rsid w:val="00825105"/>
  </w:style>
  <w:style w:type="paragraph" w:customStyle="1" w:styleId="Style6">
    <w:name w:val="Style6"/>
    <w:basedOn w:val="Normal"/>
    <w:uiPriority w:val="99"/>
    <w:rsid w:val="00825105"/>
    <w:pPr>
      <w:spacing w:line="221" w:lineRule="exact"/>
    </w:pPr>
  </w:style>
  <w:style w:type="paragraph" w:customStyle="1" w:styleId="Style7">
    <w:name w:val="Style7"/>
    <w:basedOn w:val="Normal"/>
    <w:uiPriority w:val="99"/>
    <w:rsid w:val="00825105"/>
    <w:pPr>
      <w:spacing w:line="115" w:lineRule="exact"/>
    </w:pPr>
  </w:style>
  <w:style w:type="paragraph" w:customStyle="1" w:styleId="Style8">
    <w:name w:val="Style8"/>
    <w:basedOn w:val="Normal"/>
    <w:uiPriority w:val="99"/>
    <w:rsid w:val="00825105"/>
  </w:style>
  <w:style w:type="paragraph" w:customStyle="1" w:styleId="Style9">
    <w:name w:val="Style9"/>
    <w:basedOn w:val="Normal"/>
    <w:uiPriority w:val="99"/>
    <w:rsid w:val="00825105"/>
    <w:pPr>
      <w:spacing w:line="211" w:lineRule="exact"/>
      <w:ind w:firstLine="302"/>
      <w:jc w:val="both"/>
    </w:pPr>
  </w:style>
  <w:style w:type="character" w:customStyle="1" w:styleId="FontStyle11">
    <w:name w:val="Font Style11"/>
    <w:basedOn w:val="DefaultParagraphFont"/>
    <w:uiPriority w:val="99"/>
    <w:rsid w:val="00825105"/>
    <w:rPr>
      <w:rFonts w:ascii="Century Schoolbook" w:hAnsi="Century Schoolbook" w:cs="Century Schoolbook"/>
      <w:color w:val="000000"/>
      <w:spacing w:val="-10"/>
      <w:sz w:val="28"/>
      <w:szCs w:val="28"/>
    </w:rPr>
  </w:style>
  <w:style w:type="character" w:customStyle="1" w:styleId="FontStyle12">
    <w:name w:val="Font Style12"/>
    <w:basedOn w:val="DefaultParagraphFont"/>
    <w:uiPriority w:val="99"/>
    <w:rsid w:val="00825105"/>
    <w:rPr>
      <w:rFonts w:ascii="Angsana New" w:hAnsi="Angsana New" w:cs="Angsana New"/>
      <w:b/>
      <w:bCs/>
      <w:color w:val="000000"/>
      <w:spacing w:val="-10"/>
      <w:sz w:val="36"/>
      <w:szCs w:val="36"/>
    </w:rPr>
  </w:style>
  <w:style w:type="character" w:customStyle="1" w:styleId="FontStyle13">
    <w:name w:val="Font Style13"/>
    <w:basedOn w:val="DefaultParagraphFont"/>
    <w:uiPriority w:val="99"/>
    <w:rsid w:val="00825105"/>
    <w:rPr>
      <w:rFonts w:ascii="Century Schoolbook" w:hAnsi="Century Schoolbook" w:cs="Century Schoolbook"/>
      <w:i/>
      <w:iCs/>
      <w:color w:val="000000"/>
      <w:sz w:val="24"/>
      <w:szCs w:val="24"/>
    </w:rPr>
  </w:style>
  <w:style w:type="character" w:customStyle="1" w:styleId="FontStyle14">
    <w:name w:val="Font Style14"/>
    <w:basedOn w:val="DefaultParagraphFont"/>
    <w:uiPriority w:val="99"/>
    <w:rsid w:val="00825105"/>
    <w:rPr>
      <w:rFonts w:ascii="Times New Roman" w:hAnsi="Times New Roman" w:cs="Times New Roman"/>
      <w:color w:val="000000"/>
      <w:spacing w:val="10"/>
      <w:sz w:val="26"/>
      <w:szCs w:val="26"/>
    </w:rPr>
  </w:style>
  <w:style w:type="character" w:customStyle="1" w:styleId="FontStyle15">
    <w:name w:val="Font Style15"/>
    <w:basedOn w:val="DefaultParagraphFont"/>
    <w:uiPriority w:val="99"/>
    <w:rsid w:val="00825105"/>
    <w:rPr>
      <w:rFonts w:ascii="Century Schoolbook" w:hAnsi="Century Schoolbook" w:cs="Century Schoolbook"/>
      <w:b/>
      <w:bCs/>
      <w:color w:val="000000"/>
      <w:sz w:val="20"/>
      <w:szCs w:val="20"/>
    </w:rPr>
  </w:style>
  <w:style w:type="character" w:customStyle="1" w:styleId="FontStyle16">
    <w:name w:val="Font Style16"/>
    <w:basedOn w:val="DefaultParagraphFont"/>
    <w:uiPriority w:val="99"/>
    <w:rsid w:val="00825105"/>
    <w:rPr>
      <w:rFonts w:ascii="Century Schoolbook" w:hAnsi="Century Schoolbook" w:cs="Century Schoolbook"/>
      <w:color w:val="000000"/>
      <w:sz w:val="52"/>
      <w:szCs w:val="52"/>
    </w:rPr>
  </w:style>
  <w:style w:type="character" w:customStyle="1" w:styleId="FontStyle17">
    <w:name w:val="Font Style17"/>
    <w:basedOn w:val="DefaultParagraphFont"/>
    <w:uiPriority w:val="99"/>
    <w:rsid w:val="00825105"/>
    <w:rPr>
      <w:rFonts w:ascii="Century Schoolbook" w:hAnsi="Century Schoolbook" w:cs="Century Schoolbook"/>
      <w:i/>
      <w:iCs/>
      <w:color w:val="000000"/>
      <w:sz w:val="18"/>
      <w:szCs w:val="18"/>
    </w:rPr>
  </w:style>
  <w:style w:type="character" w:customStyle="1" w:styleId="FontStyle18">
    <w:name w:val="Font Style18"/>
    <w:basedOn w:val="DefaultParagraphFont"/>
    <w:uiPriority w:val="99"/>
    <w:rsid w:val="00825105"/>
    <w:rPr>
      <w:rFonts w:ascii="Century Schoolbook" w:hAnsi="Century Schoolbook" w:cs="Century Schoolbook"/>
      <w:b/>
      <w:bCs/>
      <w:color w:val="000000"/>
      <w:sz w:val="10"/>
      <w:szCs w:val="10"/>
    </w:rPr>
  </w:style>
  <w:style w:type="character" w:customStyle="1" w:styleId="FontStyle19">
    <w:name w:val="Font Style19"/>
    <w:basedOn w:val="DefaultParagraphFont"/>
    <w:uiPriority w:val="99"/>
    <w:rsid w:val="00825105"/>
    <w:rPr>
      <w:rFonts w:ascii="Century Schoolbook" w:hAnsi="Century Schoolbook" w:cs="Century Schoolbook"/>
      <w:b/>
      <w:bCs/>
      <w:color w:val="000000"/>
      <w:sz w:val="12"/>
      <w:szCs w:val="12"/>
    </w:rPr>
  </w:style>
  <w:style w:type="character" w:customStyle="1" w:styleId="FontStyle20">
    <w:name w:val="Font Style20"/>
    <w:basedOn w:val="DefaultParagraphFont"/>
    <w:uiPriority w:val="99"/>
    <w:rsid w:val="00825105"/>
    <w:rPr>
      <w:rFonts w:ascii="Georgia" w:hAnsi="Georgia" w:cs="Georgia"/>
      <w:color w:val="000000"/>
      <w:sz w:val="22"/>
      <w:szCs w:val="22"/>
    </w:rPr>
  </w:style>
  <w:style w:type="character" w:customStyle="1" w:styleId="FontStyle21">
    <w:name w:val="Font Style21"/>
    <w:basedOn w:val="DefaultParagraphFont"/>
    <w:uiPriority w:val="99"/>
    <w:rsid w:val="00825105"/>
    <w:rPr>
      <w:rFonts w:ascii="Century Schoolbook" w:hAnsi="Century Schoolbook" w:cs="Century Schoolbook"/>
      <w:b/>
      <w:bCs/>
      <w:smallCaps/>
      <w:color w:val="000000"/>
      <w:spacing w:val="10"/>
      <w:sz w:val="14"/>
      <w:szCs w:val="14"/>
    </w:rPr>
  </w:style>
  <w:style w:type="character" w:customStyle="1" w:styleId="FontStyle22">
    <w:name w:val="Font Style22"/>
    <w:basedOn w:val="DefaultParagraphFont"/>
    <w:uiPriority w:val="99"/>
    <w:rsid w:val="00825105"/>
    <w:rPr>
      <w:rFonts w:ascii="Century Schoolbook" w:hAnsi="Century Schoolbook" w:cs="Century Schoolbook"/>
      <w:color w:val="000000"/>
      <w:sz w:val="18"/>
      <w:szCs w:val="18"/>
    </w:rPr>
  </w:style>
  <w:style w:type="character" w:styleId="Hyperlink">
    <w:name w:val="Hyperlink"/>
    <w:basedOn w:val="DefaultParagraphFont"/>
    <w:uiPriority w:val="99"/>
    <w:rsid w:val="00825105"/>
    <w:rPr>
      <w:rFonts w:cs="Times New Roman"/>
      <w:color w:val="0066CC"/>
      <w:u w:val="single"/>
    </w:rPr>
  </w:style>
  <w:style w:type="paragraph" w:styleId="FootnoteText">
    <w:name w:val="footnote text"/>
    <w:basedOn w:val="Normal"/>
    <w:link w:val="FootnoteTextChar"/>
    <w:uiPriority w:val="99"/>
    <w:semiHidden/>
    <w:unhideWhenUsed/>
    <w:rsid w:val="002E4F45"/>
    <w:rPr>
      <w:sz w:val="20"/>
      <w:szCs w:val="20"/>
    </w:rPr>
  </w:style>
  <w:style w:type="character" w:customStyle="1" w:styleId="FootnoteTextChar">
    <w:name w:val="Footnote Text Char"/>
    <w:basedOn w:val="DefaultParagraphFont"/>
    <w:link w:val="FootnoteText"/>
    <w:uiPriority w:val="99"/>
    <w:semiHidden/>
    <w:locked/>
    <w:rsid w:val="002E4F45"/>
    <w:rPr>
      <w:rFonts w:hAnsi="Century Schoolbook" w:cs="Times New Roman"/>
      <w:sz w:val="20"/>
      <w:szCs w:val="20"/>
    </w:rPr>
  </w:style>
  <w:style w:type="paragraph" w:styleId="Header">
    <w:name w:val="header"/>
    <w:basedOn w:val="Normal"/>
    <w:link w:val="HeaderChar"/>
    <w:uiPriority w:val="99"/>
    <w:semiHidden/>
    <w:unhideWhenUsed/>
    <w:rsid w:val="00353D46"/>
    <w:pPr>
      <w:tabs>
        <w:tab w:val="center" w:pos="4513"/>
        <w:tab w:val="right" w:pos="9026"/>
      </w:tabs>
    </w:pPr>
  </w:style>
  <w:style w:type="character" w:customStyle="1" w:styleId="HeaderChar">
    <w:name w:val="Header Char"/>
    <w:basedOn w:val="DefaultParagraphFont"/>
    <w:link w:val="Header"/>
    <w:uiPriority w:val="99"/>
    <w:semiHidden/>
    <w:locked/>
    <w:rsid w:val="00353D46"/>
    <w:rPr>
      <w:rFonts w:hAnsi="Century Schoolbook" w:cs="Times New Roman"/>
      <w:sz w:val="24"/>
      <w:szCs w:val="24"/>
    </w:rPr>
  </w:style>
  <w:style w:type="paragraph" w:styleId="Footer">
    <w:name w:val="footer"/>
    <w:basedOn w:val="Normal"/>
    <w:link w:val="FooterChar"/>
    <w:uiPriority w:val="99"/>
    <w:semiHidden/>
    <w:unhideWhenUsed/>
    <w:rsid w:val="00353D46"/>
    <w:pPr>
      <w:tabs>
        <w:tab w:val="center" w:pos="4513"/>
        <w:tab w:val="right" w:pos="9026"/>
      </w:tabs>
    </w:pPr>
  </w:style>
  <w:style w:type="character" w:customStyle="1" w:styleId="FooterChar">
    <w:name w:val="Footer Char"/>
    <w:basedOn w:val="DefaultParagraphFont"/>
    <w:link w:val="Footer"/>
    <w:uiPriority w:val="99"/>
    <w:semiHidden/>
    <w:locked/>
    <w:rsid w:val="00353D46"/>
    <w:rPr>
      <w:rFonts w:hAnsi="Century Schoolbook" w:cs="Times New Roman"/>
      <w:sz w:val="24"/>
      <w:szCs w:val="24"/>
    </w:rPr>
  </w:style>
  <w:style w:type="paragraph" w:styleId="BalloonText">
    <w:name w:val="Balloon Text"/>
    <w:basedOn w:val="Normal"/>
    <w:link w:val="BalloonTextChar"/>
    <w:uiPriority w:val="99"/>
    <w:semiHidden/>
    <w:unhideWhenUsed/>
    <w:rsid w:val="00353D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3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379</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dc:creator>
  <cp:lastModifiedBy>Harper, Michael</cp:lastModifiedBy>
  <cp:revision>26</cp:revision>
  <dcterms:created xsi:type="dcterms:W3CDTF">2003-12-31T21:33:00Z</dcterms:created>
  <dcterms:modified xsi:type="dcterms:W3CDTF">2017-09-13T03:20:00Z</dcterms:modified>
</cp:coreProperties>
</file>