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AE" w:rsidRPr="004E12C1" w:rsidRDefault="003535AE" w:rsidP="004E12C1">
      <w:pPr>
        <w:pStyle w:val="Style2"/>
        <w:widowControl/>
        <w:pBdr>
          <w:top w:val="single" w:sz="4" w:space="1" w:color="auto"/>
        </w:pBdr>
        <w:spacing w:before="3360" w:after="360"/>
        <w:ind w:left="3456" w:right="3456"/>
        <w:jc w:val="center"/>
        <w:rPr>
          <w:rStyle w:val="FontStyle13"/>
          <w:rFonts w:ascii="Times New Roman" w:hAnsi="Times New Roman" w:cs="Times New Roman"/>
          <w:sz w:val="22"/>
          <w:szCs w:val="22"/>
          <w:lang w:val="en-US" w:eastAsia="en-US"/>
        </w:rPr>
      </w:pPr>
    </w:p>
    <w:p w:rsidR="003535AE" w:rsidRPr="004E12C1" w:rsidRDefault="0092069C" w:rsidP="004E12C1">
      <w:pPr>
        <w:pStyle w:val="Style2"/>
        <w:widowControl/>
        <w:jc w:val="center"/>
        <w:rPr>
          <w:rStyle w:val="FontStyle13"/>
          <w:rFonts w:ascii="Times New Roman" w:hAnsi="Times New Roman" w:cs="Times New Roman"/>
          <w:sz w:val="36"/>
          <w:szCs w:val="36"/>
          <w:lang w:val="en-US" w:eastAsia="en-US"/>
        </w:rPr>
      </w:pPr>
      <w:r w:rsidRPr="004E12C1">
        <w:rPr>
          <w:rStyle w:val="FontStyle13"/>
          <w:rFonts w:ascii="Times New Roman" w:hAnsi="Times New Roman" w:cs="Times New Roman"/>
          <w:sz w:val="36"/>
          <w:szCs w:val="36"/>
          <w:lang w:val="en-US" w:eastAsia="en-US"/>
        </w:rPr>
        <w:t>DESIGNS.</w:t>
      </w:r>
    </w:p>
    <w:p w:rsidR="003535AE" w:rsidRPr="004E12C1" w:rsidRDefault="003535AE" w:rsidP="004E12C1">
      <w:pPr>
        <w:pStyle w:val="Style2"/>
        <w:widowControl/>
        <w:pBdr>
          <w:bottom w:val="single" w:sz="4" w:space="1" w:color="auto"/>
        </w:pBdr>
        <w:ind w:left="3888" w:right="3888"/>
        <w:jc w:val="center"/>
        <w:rPr>
          <w:rStyle w:val="FontStyle13"/>
          <w:rFonts w:ascii="Times New Roman" w:hAnsi="Times New Roman" w:cs="Times New Roman"/>
          <w:sz w:val="22"/>
          <w:szCs w:val="22"/>
          <w:lang w:val="en-US" w:eastAsia="en-US"/>
        </w:rPr>
      </w:pPr>
    </w:p>
    <w:p w:rsidR="0092069C" w:rsidRPr="004E12C1" w:rsidRDefault="0092069C" w:rsidP="004E12C1">
      <w:pPr>
        <w:pStyle w:val="Style2"/>
        <w:widowControl/>
        <w:spacing w:before="120"/>
        <w:jc w:val="center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  <w:lang w:val="en-US" w:eastAsia="en-US"/>
        </w:rPr>
      </w:pPr>
      <w:r w:rsidRPr="004E12C1">
        <w:rPr>
          <w:rStyle w:val="FontStyle14"/>
          <w:rFonts w:ascii="Times New Roman" w:hAnsi="Times New Roman" w:cs="Times New Roman"/>
          <w:spacing w:val="0"/>
          <w:sz w:val="28"/>
          <w:szCs w:val="28"/>
          <w:lang w:val="en-US" w:eastAsia="en-US"/>
        </w:rPr>
        <w:t>No. 42 of 1934.</w:t>
      </w:r>
    </w:p>
    <w:p w:rsidR="0092069C" w:rsidRPr="004E12C1" w:rsidRDefault="0092069C" w:rsidP="004E12C1">
      <w:pPr>
        <w:pStyle w:val="Style4"/>
        <w:widowControl/>
        <w:spacing w:before="120" w:after="120"/>
        <w:jc w:val="center"/>
        <w:rPr>
          <w:rStyle w:val="FontStyle16"/>
          <w:rFonts w:ascii="Times New Roman" w:hAnsi="Times New Roman" w:cs="Times New Roman"/>
          <w:sz w:val="26"/>
          <w:szCs w:val="26"/>
          <w:lang w:val="en-US" w:eastAsia="en-US"/>
        </w:rPr>
      </w:pPr>
      <w:r w:rsidRPr="004E12C1">
        <w:rPr>
          <w:rStyle w:val="FontStyle16"/>
          <w:rFonts w:ascii="Times New Roman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4E12C1">
        <w:rPr>
          <w:rStyle w:val="FontStyle15"/>
          <w:rFonts w:ascii="Times New Roman" w:hAnsi="Times New Roman" w:cs="Times New Roman"/>
          <w:sz w:val="26"/>
          <w:szCs w:val="26"/>
          <w:lang w:val="en-US" w:eastAsia="en-US"/>
        </w:rPr>
        <w:t xml:space="preserve">Designs Act </w:t>
      </w:r>
      <w:r w:rsidRPr="004E12C1">
        <w:rPr>
          <w:rStyle w:val="FontStyle16"/>
          <w:rFonts w:ascii="Times New Roman" w:hAnsi="Times New Roman" w:cs="Times New Roman"/>
          <w:sz w:val="26"/>
          <w:szCs w:val="26"/>
          <w:lang w:val="en-US" w:eastAsia="en-US"/>
        </w:rPr>
        <w:t>1906</w:t>
      </w:r>
      <w:r w:rsidR="006E395C" w:rsidRPr="004E12C1">
        <w:rPr>
          <w:rStyle w:val="FontStyle16"/>
          <w:rFonts w:ascii="Times New Roman" w:eastAsia="Arial Unicode MS" w:hAnsi="Times New Roman" w:cs="Times New Roman"/>
          <w:sz w:val="26"/>
          <w:szCs w:val="26"/>
          <w:lang w:val="en-US" w:eastAsia="en-US"/>
        </w:rPr>
        <w:t>–</w:t>
      </w:r>
      <w:r w:rsidRPr="004E12C1">
        <w:rPr>
          <w:rStyle w:val="FontStyle16"/>
          <w:rFonts w:ascii="Times New Roman" w:hAnsi="Times New Roman" w:cs="Times New Roman"/>
          <w:sz w:val="26"/>
          <w:szCs w:val="26"/>
          <w:lang w:val="en-US" w:eastAsia="en-US"/>
        </w:rPr>
        <w:t>1933.</w:t>
      </w:r>
    </w:p>
    <w:p w:rsidR="0092069C" w:rsidRPr="004E12C1" w:rsidRDefault="0092069C" w:rsidP="00A12DF2">
      <w:pPr>
        <w:pStyle w:val="Style5"/>
        <w:widowControl/>
        <w:spacing w:before="120" w:after="120"/>
        <w:jc w:val="right"/>
        <w:rPr>
          <w:rStyle w:val="FontStyle17"/>
          <w:rFonts w:ascii="Times New Roman" w:hAnsi="Times New Roman" w:cs="Times New Roman"/>
          <w:b w:val="0"/>
          <w:sz w:val="26"/>
          <w:szCs w:val="26"/>
          <w:lang w:val="en-US" w:eastAsia="en-US"/>
        </w:rPr>
      </w:pPr>
      <w:r w:rsidRPr="004E12C1">
        <w:rPr>
          <w:rStyle w:val="FontStyle17"/>
          <w:rFonts w:ascii="Times New Roman" w:hAnsi="Times New Roman" w:cs="Times New Roman"/>
          <w:b w:val="0"/>
          <w:sz w:val="26"/>
          <w:szCs w:val="26"/>
          <w:lang w:val="en-US" w:eastAsia="en-US"/>
        </w:rPr>
        <w:t>[Assented to 4th August, 1934.]</w:t>
      </w:r>
    </w:p>
    <w:p w:rsidR="0092069C" w:rsidRPr="004E12C1" w:rsidRDefault="003535AE" w:rsidP="004E12C1">
      <w:pPr>
        <w:pStyle w:val="Style6"/>
        <w:widowControl/>
        <w:spacing w:line="240" w:lineRule="auto"/>
        <w:jc w:val="both"/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</w:pP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B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E it enacted by the King</w:t>
      </w:r>
      <w:r w:rsidR="00F546D4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’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s </w:t>
      </w:r>
      <w:bookmarkStart w:id="0" w:name="_GoBack"/>
      <w:bookmarkEnd w:id="0"/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Most Excellent Majesty, the Senate, and the House of Representatives of the Commonwealth of Australia, as follows:—</w:t>
      </w:r>
    </w:p>
    <w:p w:rsidR="0092069C" w:rsidRPr="004E12C1" w:rsidRDefault="003535AE" w:rsidP="004E12C1">
      <w:pPr>
        <w:pStyle w:val="Style7"/>
        <w:widowControl/>
        <w:spacing w:before="120" w:after="60" w:line="240" w:lineRule="auto"/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</w:pPr>
      <w:r w:rsidRPr="004E12C1"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  <w:t>Short title</w:t>
      </w:r>
      <w:r w:rsidR="006E395C" w:rsidRPr="004E12C1"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and citati</w:t>
      </w:r>
      <w:r w:rsidR="0092069C" w:rsidRPr="004E12C1"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  <w:t>on.</w:t>
      </w:r>
    </w:p>
    <w:p w:rsidR="0092069C" w:rsidRPr="004E12C1" w:rsidRDefault="0092069C" w:rsidP="005E03A7">
      <w:pPr>
        <w:pStyle w:val="Style6"/>
        <w:widowControl/>
        <w:tabs>
          <w:tab w:val="left" w:pos="1080"/>
        </w:tabs>
        <w:spacing w:line="240" w:lineRule="auto"/>
        <w:ind w:firstLine="288"/>
        <w:jc w:val="both"/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</w:pPr>
      <w:r w:rsidRPr="004E12C1">
        <w:rPr>
          <w:rStyle w:val="FontStyle18"/>
          <w:rFonts w:ascii="Times New Roman" w:hAnsi="Times New Roman" w:cs="Times New Roman"/>
          <w:b/>
          <w:sz w:val="22"/>
          <w:szCs w:val="22"/>
          <w:lang w:val="en-US" w:eastAsia="en-US"/>
        </w:rPr>
        <w:t>1.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—(1.)</w:t>
      </w:r>
      <w:r w:rsidR="005E03A7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This Act may be cited as the </w:t>
      </w:r>
      <w:r w:rsidRPr="004E12C1">
        <w:rPr>
          <w:rStyle w:val="FontStyle20"/>
          <w:rFonts w:ascii="Times New Roman" w:hAnsi="Times New Roman" w:cs="Times New Roman"/>
          <w:sz w:val="22"/>
          <w:szCs w:val="22"/>
          <w:lang w:val="en-US" w:eastAsia="en-US"/>
        </w:rPr>
        <w:t xml:space="preserve">Designs Act 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1934.</w:t>
      </w:r>
    </w:p>
    <w:p w:rsidR="0092069C" w:rsidRPr="004E12C1" w:rsidRDefault="0092069C" w:rsidP="004E12C1">
      <w:pPr>
        <w:pStyle w:val="Style6"/>
        <w:widowControl/>
        <w:spacing w:line="240" w:lineRule="auto"/>
        <w:ind w:firstLine="288"/>
        <w:jc w:val="both"/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</w:pP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(2.)</w:t>
      </w:r>
      <w:r w:rsidR="005E03A7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The </w:t>
      </w:r>
      <w:r w:rsidRPr="004E12C1">
        <w:rPr>
          <w:rStyle w:val="FontStyle20"/>
          <w:rFonts w:ascii="Times New Roman" w:hAnsi="Times New Roman" w:cs="Times New Roman"/>
          <w:sz w:val="22"/>
          <w:szCs w:val="22"/>
          <w:lang w:val="en-US" w:eastAsia="en-US"/>
        </w:rPr>
        <w:t xml:space="preserve">Designs Act 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1906</w:t>
      </w:r>
      <w:r w:rsidR="006E395C" w:rsidRPr="004E12C1">
        <w:rPr>
          <w:rStyle w:val="FontStyle18"/>
          <w:rFonts w:ascii="Times New Roman" w:eastAsia="Arial Unicode MS" w:hAnsi="Times New Roman" w:cs="Times New Roman"/>
          <w:sz w:val="22"/>
          <w:szCs w:val="22"/>
          <w:lang w:val="en-US" w:eastAsia="en-US"/>
        </w:rPr>
        <w:t>–</w:t>
      </w:r>
      <w:r w:rsidR="007B70E4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1933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 is in this Act referred to as the Principal Act.</w:t>
      </w:r>
    </w:p>
    <w:p w:rsidR="0092069C" w:rsidRPr="004E12C1" w:rsidRDefault="0092069C" w:rsidP="004E12C1">
      <w:pPr>
        <w:pStyle w:val="Style6"/>
        <w:widowControl/>
        <w:spacing w:line="240" w:lineRule="auto"/>
        <w:ind w:firstLine="288"/>
        <w:jc w:val="both"/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</w:pP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(3.)</w:t>
      </w:r>
      <w:r w:rsidR="005E03A7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The Principal Act, as amended by this Act, may be cited as the </w:t>
      </w:r>
      <w:r w:rsidRPr="004E12C1">
        <w:rPr>
          <w:rStyle w:val="FontStyle20"/>
          <w:rFonts w:ascii="Times New Roman" w:hAnsi="Times New Roman" w:cs="Times New Roman"/>
          <w:sz w:val="22"/>
          <w:szCs w:val="22"/>
          <w:lang w:val="en-US" w:eastAsia="en-US"/>
        </w:rPr>
        <w:t xml:space="preserve">Designs Act 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1906</w:t>
      </w:r>
      <w:r w:rsidR="006E395C" w:rsidRPr="004E12C1">
        <w:rPr>
          <w:rStyle w:val="FontStyle18"/>
          <w:rFonts w:ascii="Times New Roman" w:eastAsia="Arial Unicode MS" w:hAnsi="Times New Roman" w:cs="Times New Roman"/>
          <w:sz w:val="22"/>
          <w:szCs w:val="22"/>
          <w:lang w:val="en-US" w:eastAsia="en-US"/>
        </w:rPr>
        <w:t>–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1934.</w:t>
      </w:r>
    </w:p>
    <w:p w:rsidR="0092069C" w:rsidRPr="004E12C1" w:rsidRDefault="0092069C" w:rsidP="004E12C1">
      <w:pPr>
        <w:pStyle w:val="Style7"/>
        <w:widowControl/>
        <w:spacing w:before="120" w:after="60" w:line="240" w:lineRule="auto"/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</w:pPr>
      <w:r w:rsidRPr="004E12C1"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Classes in which </w:t>
      </w:r>
      <w:r w:rsidR="006E395C" w:rsidRPr="004E12C1"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  <w:t>designs</w:t>
      </w:r>
      <w:r w:rsidRPr="004E12C1">
        <w:rPr>
          <w:rStyle w:val="FontStyle21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may be registered.</w:t>
      </w:r>
    </w:p>
    <w:p w:rsidR="0092069C" w:rsidRPr="004E12C1" w:rsidRDefault="006E395C" w:rsidP="004E12C1">
      <w:pPr>
        <w:pStyle w:val="Style6"/>
        <w:widowControl/>
        <w:spacing w:line="240" w:lineRule="auto"/>
        <w:ind w:firstLine="288"/>
        <w:jc w:val="both"/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</w:pPr>
      <w:r w:rsidRPr="004E12C1">
        <w:rPr>
          <w:rFonts w:ascii="Times New Roman" w:hAnsi="Times New Roman" w:cs="Times New Roman"/>
          <w:b/>
          <w:sz w:val="22"/>
          <w:szCs w:val="22"/>
        </w:rPr>
        <w:t>2.</w:t>
      </w:r>
      <w:r w:rsidR="005E03A7">
        <w:rPr>
          <w:rFonts w:ascii="Times New Roman" w:hAnsi="Times New Roman" w:cs="Times New Roman"/>
          <w:b/>
          <w:sz w:val="22"/>
          <w:szCs w:val="22"/>
        </w:rPr>
        <w:tab/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Section seventeen of the Principal Act is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 amended by omitting the word </w:t>
      </w:r>
      <w:r w:rsidR="00F63038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“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and</w:t>
      </w:r>
      <w:r w:rsidR="00F63038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”</w:t>
      </w:r>
      <w:r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 xml:space="preserve">inserting in its stead the word </w:t>
      </w:r>
      <w:r w:rsidR="00F63038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“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or</w:t>
      </w:r>
      <w:r w:rsidR="00F63038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”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p w:rsidR="006E395C" w:rsidRPr="004E12C1" w:rsidRDefault="006E395C" w:rsidP="004E12C1">
      <w:pPr>
        <w:pStyle w:val="Style7"/>
        <w:widowControl/>
        <w:spacing w:before="120" w:after="60" w:line="240" w:lineRule="auto"/>
        <w:rPr>
          <w:rStyle w:val="FontStyle21"/>
          <w:rFonts w:ascii="Times New Roman" w:hAnsi="Times New Roman" w:cs="Times New Roman"/>
          <w:b/>
          <w:bCs/>
          <w:sz w:val="20"/>
          <w:szCs w:val="20"/>
        </w:rPr>
      </w:pPr>
      <w:r w:rsidRPr="004E12C1">
        <w:rPr>
          <w:rStyle w:val="FontStyle21"/>
          <w:rFonts w:ascii="Times New Roman" w:hAnsi="Times New Roman" w:cs="Times New Roman"/>
          <w:b/>
          <w:bCs/>
          <w:sz w:val="20"/>
          <w:szCs w:val="20"/>
        </w:rPr>
        <w:t>Duty of owner of registered design.</w:t>
      </w:r>
    </w:p>
    <w:p w:rsidR="0092069C" w:rsidRPr="004E12C1" w:rsidRDefault="006E395C" w:rsidP="004E12C1">
      <w:pPr>
        <w:pStyle w:val="Style6"/>
        <w:widowControl/>
        <w:spacing w:line="240" w:lineRule="auto"/>
        <w:ind w:firstLine="288"/>
        <w:jc w:val="both"/>
        <w:rPr>
          <w:rStyle w:val="FontStyle17"/>
          <w:rFonts w:ascii="Times New Roman" w:hAnsi="Times New Roman" w:cs="Times New Roman"/>
          <w:sz w:val="22"/>
          <w:szCs w:val="22"/>
          <w:lang w:val="en-US" w:eastAsia="en-US"/>
        </w:rPr>
      </w:pPr>
      <w:r w:rsidRPr="004E12C1">
        <w:rPr>
          <w:rStyle w:val="FontStyle18"/>
          <w:rFonts w:ascii="Times New Roman" w:hAnsi="Times New Roman" w:cs="Times New Roman"/>
          <w:b/>
          <w:sz w:val="22"/>
          <w:szCs w:val="22"/>
          <w:lang w:val="en-US" w:eastAsia="en-US"/>
        </w:rPr>
        <w:t>3.</w:t>
      </w:r>
      <w:r w:rsidR="005E03A7">
        <w:rPr>
          <w:rStyle w:val="FontStyle18"/>
          <w:rFonts w:ascii="Times New Roman" w:hAnsi="Times New Roman" w:cs="Times New Roman"/>
          <w:b/>
          <w:sz w:val="22"/>
          <w:szCs w:val="22"/>
          <w:lang w:val="en-US" w:eastAsia="en-US"/>
        </w:rPr>
        <w:tab/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Section twenty-nine of the Principal Act is amended by adding at the end thereof the following sub-section:—</w:t>
      </w:r>
    </w:p>
    <w:p w:rsidR="0092069C" w:rsidRPr="004E12C1" w:rsidRDefault="00F63038" w:rsidP="004E12C1">
      <w:pPr>
        <w:pStyle w:val="Style8"/>
        <w:widowControl/>
        <w:spacing w:line="240" w:lineRule="auto"/>
        <w:ind w:left="540" w:firstLine="360"/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“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(3.) Where it appears expedient and in the interests of any trade or industry so to do the Governor-General may make regulations dispensing with or modifying the provisions of sub-section (1.) of this section in its application to any class or description of articles to such extent and subject to such conditions as he thinks fit.</w:t>
      </w:r>
      <w:r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”</w:t>
      </w:r>
      <w:r w:rsidR="0092069C" w:rsidRPr="004E12C1">
        <w:rPr>
          <w:rStyle w:val="FontStyle18"/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sectPr w:rsidR="0092069C" w:rsidRPr="004E12C1" w:rsidSect="004E12C1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F9" w:rsidRDefault="00CF00F9">
      <w:r>
        <w:separator/>
      </w:r>
    </w:p>
  </w:endnote>
  <w:endnote w:type="continuationSeparator" w:id="0">
    <w:p w:rsidR="00CF00F9" w:rsidRDefault="00CF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F9" w:rsidRDefault="00CF00F9">
      <w:r>
        <w:separator/>
      </w:r>
    </w:p>
  </w:footnote>
  <w:footnote w:type="continuationSeparator" w:id="0">
    <w:p w:rsidR="00CF00F9" w:rsidRDefault="00CF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A3B33"/>
    <w:multiLevelType w:val="singleLevel"/>
    <w:tmpl w:val="81BA64D2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54B62"/>
    <w:rsid w:val="000A69CB"/>
    <w:rsid w:val="001E7E78"/>
    <w:rsid w:val="003535AE"/>
    <w:rsid w:val="004E12C1"/>
    <w:rsid w:val="005673D5"/>
    <w:rsid w:val="00592145"/>
    <w:rsid w:val="005E03A7"/>
    <w:rsid w:val="00667505"/>
    <w:rsid w:val="006853C9"/>
    <w:rsid w:val="006A27ED"/>
    <w:rsid w:val="006E395C"/>
    <w:rsid w:val="007B70E4"/>
    <w:rsid w:val="00817613"/>
    <w:rsid w:val="00854B62"/>
    <w:rsid w:val="008E439F"/>
    <w:rsid w:val="00907524"/>
    <w:rsid w:val="0092069C"/>
    <w:rsid w:val="00957554"/>
    <w:rsid w:val="00A12DF2"/>
    <w:rsid w:val="00C532E5"/>
    <w:rsid w:val="00C66CCA"/>
    <w:rsid w:val="00CF00F9"/>
    <w:rsid w:val="00CF5839"/>
    <w:rsid w:val="00D644CC"/>
    <w:rsid w:val="00DA42C0"/>
    <w:rsid w:val="00F3349C"/>
    <w:rsid w:val="00F46637"/>
    <w:rsid w:val="00F546D4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E5"/>
    <w:pPr>
      <w:widowControl w:val="0"/>
      <w:autoSpaceDE w:val="0"/>
      <w:autoSpaceDN w:val="0"/>
      <w:adjustRightInd w:val="0"/>
      <w:spacing w:after="0" w:line="240" w:lineRule="auto"/>
    </w:pPr>
    <w:rPr>
      <w:rFonts w:hAnsi="Sylfaen" w:cstheme="minorBidi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532E5"/>
  </w:style>
  <w:style w:type="paragraph" w:customStyle="1" w:styleId="Style2">
    <w:name w:val="Style2"/>
    <w:basedOn w:val="Normal"/>
    <w:uiPriority w:val="99"/>
    <w:rsid w:val="00C532E5"/>
  </w:style>
  <w:style w:type="paragraph" w:customStyle="1" w:styleId="Style3">
    <w:name w:val="Style3"/>
    <w:basedOn w:val="Normal"/>
    <w:uiPriority w:val="99"/>
    <w:rsid w:val="00C532E5"/>
  </w:style>
  <w:style w:type="paragraph" w:customStyle="1" w:styleId="Style4">
    <w:name w:val="Style4"/>
    <w:basedOn w:val="Normal"/>
    <w:uiPriority w:val="99"/>
    <w:rsid w:val="00C532E5"/>
  </w:style>
  <w:style w:type="paragraph" w:customStyle="1" w:styleId="Style5">
    <w:name w:val="Style5"/>
    <w:basedOn w:val="Normal"/>
    <w:uiPriority w:val="99"/>
    <w:rsid w:val="00C532E5"/>
  </w:style>
  <w:style w:type="paragraph" w:customStyle="1" w:styleId="Style6">
    <w:name w:val="Style6"/>
    <w:basedOn w:val="Normal"/>
    <w:uiPriority w:val="99"/>
    <w:rsid w:val="00C532E5"/>
    <w:pPr>
      <w:spacing w:line="221" w:lineRule="exact"/>
    </w:pPr>
  </w:style>
  <w:style w:type="paragraph" w:customStyle="1" w:styleId="Style7">
    <w:name w:val="Style7"/>
    <w:basedOn w:val="Normal"/>
    <w:uiPriority w:val="99"/>
    <w:rsid w:val="00C532E5"/>
    <w:pPr>
      <w:spacing w:line="115" w:lineRule="exact"/>
      <w:jc w:val="both"/>
    </w:pPr>
  </w:style>
  <w:style w:type="paragraph" w:customStyle="1" w:styleId="Style8">
    <w:name w:val="Style8"/>
    <w:basedOn w:val="Normal"/>
    <w:uiPriority w:val="99"/>
    <w:rsid w:val="00C532E5"/>
    <w:pPr>
      <w:spacing w:line="221" w:lineRule="exact"/>
      <w:ind w:firstLine="293"/>
      <w:jc w:val="both"/>
    </w:pPr>
  </w:style>
  <w:style w:type="paragraph" w:customStyle="1" w:styleId="Style9">
    <w:name w:val="Style9"/>
    <w:basedOn w:val="Normal"/>
    <w:uiPriority w:val="99"/>
    <w:rsid w:val="00C532E5"/>
    <w:pPr>
      <w:spacing w:line="122" w:lineRule="exact"/>
    </w:pPr>
  </w:style>
  <w:style w:type="paragraph" w:customStyle="1" w:styleId="Style10">
    <w:name w:val="Style10"/>
    <w:basedOn w:val="Normal"/>
    <w:uiPriority w:val="99"/>
    <w:rsid w:val="00C532E5"/>
    <w:pPr>
      <w:spacing w:line="221" w:lineRule="exact"/>
      <w:ind w:firstLine="312"/>
      <w:jc w:val="both"/>
    </w:pPr>
  </w:style>
  <w:style w:type="paragraph" w:customStyle="1" w:styleId="Style11">
    <w:name w:val="Style11"/>
    <w:basedOn w:val="Normal"/>
    <w:uiPriority w:val="99"/>
    <w:rsid w:val="00C532E5"/>
    <w:pPr>
      <w:spacing w:line="120" w:lineRule="exact"/>
      <w:ind w:firstLine="206"/>
      <w:jc w:val="both"/>
    </w:pPr>
  </w:style>
  <w:style w:type="character" w:customStyle="1" w:styleId="FontStyle13">
    <w:name w:val="Font Style13"/>
    <w:basedOn w:val="DefaultParagraphFont"/>
    <w:uiPriority w:val="99"/>
    <w:rsid w:val="00C532E5"/>
    <w:rPr>
      <w:rFonts w:ascii="Sylfaen" w:hAnsi="Sylfaen" w:cs="Sylfaen"/>
      <w:color w:val="000000"/>
      <w:sz w:val="32"/>
      <w:szCs w:val="32"/>
    </w:rPr>
  </w:style>
  <w:style w:type="character" w:customStyle="1" w:styleId="FontStyle14">
    <w:name w:val="Font Style14"/>
    <w:basedOn w:val="DefaultParagraphFont"/>
    <w:uiPriority w:val="99"/>
    <w:rsid w:val="00C532E5"/>
    <w:rPr>
      <w:rFonts w:ascii="Century Schoolbook" w:hAnsi="Century Schoolbook" w:cs="Century Schoolbook"/>
      <w:b/>
      <w:bCs/>
      <w:color w:val="000000"/>
      <w:spacing w:val="-1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C532E5"/>
    <w:rPr>
      <w:rFonts w:ascii="Century Schoolbook" w:hAnsi="Century Schoolbook" w:cs="Century Schoolbook"/>
      <w:i/>
      <w:iCs/>
      <w:color w:val="00000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C532E5"/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C532E5"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C532E5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C532E5"/>
    <w:rPr>
      <w:rFonts w:ascii="Century Schoolbook" w:hAnsi="Century Schoolbook" w:cs="Century Schoolbook"/>
      <w:color w:val="000000"/>
      <w:sz w:val="52"/>
      <w:szCs w:val="52"/>
    </w:rPr>
  </w:style>
  <w:style w:type="character" w:customStyle="1" w:styleId="FontStyle20">
    <w:name w:val="Font Style20"/>
    <w:basedOn w:val="DefaultParagraphFont"/>
    <w:uiPriority w:val="99"/>
    <w:rsid w:val="00C532E5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C532E5"/>
    <w:rPr>
      <w:rFonts w:ascii="Century Schoolbook" w:hAnsi="Century Schoolbook" w:cs="Century Schoolbook"/>
      <w:color w:val="000000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C532E5"/>
    <w:rPr>
      <w:rFonts w:ascii="Century Schoolbook" w:hAnsi="Century Schoolbook" w:cs="Century Schoolbook"/>
      <w:b/>
      <w:bCs/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rsid w:val="00C532E5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</dc:creator>
  <cp:lastModifiedBy>Harper, Michael</cp:lastModifiedBy>
  <cp:revision>12</cp:revision>
  <dcterms:created xsi:type="dcterms:W3CDTF">2017-03-30T12:42:00Z</dcterms:created>
  <dcterms:modified xsi:type="dcterms:W3CDTF">2017-09-13T03:20:00Z</dcterms:modified>
</cp:coreProperties>
</file>