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CC" w:rsidRPr="005239F1" w:rsidRDefault="00B577E2" w:rsidP="002A614A">
      <w:pPr>
        <w:spacing w:after="240" w:line="240" w:lineRule="auto"/>
        <w:jc w:val="center"/>
        <w:rPr>
          <w:rFonts w:ascii="Times New Roman" w:hAnsi="Times New Roman"/>
          <w:sz w:val="36"/>
        </w:rPr>
      </w:pPr>
      <w:r w:rsidRPr="005239F1">
        <w:rPr>
          <w:rFonts w:ascii="Times New Roman" w:hAnsi="Times New Roman"/>
          <w:sz w:val="36"/>
        </w:rPr>
        <w:t>COMMONWEALTH BANK</w:t>
      </w:r>
      <w:r w:rsidR="00FF409B">
        <w:rPr>
          <w:rFonts w:ascii="Times New Roman" w:hAnsi="Times New Roman"/>
          <w:sz w:val="36"/>
        </w:rPr>
        <w:t>.</w:t>
      </w:r>
    </w:p>
    <w:p w:rsidR="005239F1" w:rsidRPr="00E039E0" w:rsidRDefault="005239F1" w:rsidP="00E039E0">
      <w:pPr>
        <w:pBdr>
          <w:top w:val="single" w:sz="4" w:space="1" w:color="auto"/>
        </w:pBdr>
        <w:spacing w:before="120" w:after="0" w:line="240" w:lineRule="auto"/>
        <w:ind w:left="4032" w:right="4032"/>
        <w:jc w:val="center"/>
        <w:rPr>
          <w:rFonts w:ascii="Times New Roman" w:hAnsi="Times New Roman"/>
          <w:b/>
        </w:rPr>
      </w:pPr>
    </w:p>
    <w:p w:rsidR="008603CC" w:rsidRPr="005239F1" w:rsidRDefault="00B577E2" w:rsidP="005239F1">
      <w:pPr>
        <w:spacing w:after="120" w:line="240" w:lineRule="auto"/>
        <w:jc w:val="center"/>
        <w:rPr>
          <w:rFonts w:ascii="Times New Roman" w:hAnsi="Times New Roman"/>
          <w:sz w:val="28"/>
        </w:rPr>
      </w:pPr>
      <w:r w:rsidRPr="005239F1">
        <w:rPr>
          <w:rFonts w:ascii="Times New Roman" w:hAnsi="Times New Roman"/>
          <w:b/>
          <w:sz w:val="28"/>
        </w:rPr>
        <w:t>No. 16 of 1932.</w:t>
      </w:r>
    </w:p>
    <w:p w:rsidR="008603CC" w:rsidRPr="005239F1" w:rsidRDefault="00B577E2" w:rsidP="005239F1">
      <w:pPr>
        <w:spacing w:after="0" w:line="240" w:lineRule="auto"/>
        <w:jc w:val="center"/>
        <w:rPr>
          <w:rFonts w:ascii="Times New Roman" w:hAnsi="Times New Roman"/>
          <w:sz w:val="26"/>
        </w:rPr>
      </w:pPr>
      <w:r w:rsidRPr="005239F1">
        <w:rPr>
          <w:rFonts w:ascii="Times New Roman" w:hAnsi="Times New Roman"/>
          <w:sz w:val="26"/>
        </w:rPr>
        <w:t xml:space="preserve">An Act to amend the </w:t>
      </w:r>
      <w:r w:rsidRPr="005239F1">
        <w:rPr>
          <w:rFonts w:ascii="Times New Roman" w:hAnsi="Times New Roman"/>
          <w:i/>
          <w:sz w:val="26"/>
        </w:rPr>
        <w:t xml:space="preserve">Commonwealth Bank Act </w:t>
      </w:r>
      <w:r w:rsidRPr="005239F1">
        <w:rPr>
          <w:rFonts w:ascii="Times New Roman" w:hAnsi="Times New Roman"/>
          <w:sz w:val="26"/>
        </w:rPr>
        <w:t>1911</w:t>
      </w:r>
      <w:r w:rsidR="002A614A">
        <w:rPr>
          <w:rFonts w:ascii="Times New Roman" w:hAnsi="Times New Roman"/>
          <w:sz w:val="26"/>
        </w:rPr>
        <w:t>–</w:t>
      </w:r>
      <w:r w:rsidRPr="005239F1">
        <w:rPr>
          <w:rFonts w:ascii="Times New Roman" w:hAnsi="Times New Roman"/>
          <w:sz w:val="26"/>
        </w:rPr>
        <w:t>1931.</w:t>
      </w:r>
    </w:p>
    <w:p w:rsidR="008603CC" w:rsidRPr="00B577E2" w:rsidRDefault="00B577E2" w:rsidP="005239F1">
      <w:pPr>
        <w:spacing w:before="120" w:after="120" w:line="240" w:lineRule="auto"/>
        <w:jc w:val="right"/>
        <w:rPr>
          <w:rFonts w:ascii="Times New Roman" w:hAnsi="Times New Roman"/>
        </w:rPr>
      </w:pPr>
      <w:r w:rsidRPr="005239F1">
        <w:rPr>
          <w:rFonts w:ascii="Times New Roman" w:hAnsi="Times New Roman"/>
          <w:sz w:val="26"/>
        </w:rPr>
        <w:t>[Assented to 21st May, 1932.]</w:t>
      </w:r>
    </w:p>
    <w:p w:rsidR="008603CC" w:rsidRPr="00C25082" w:rsidRDefault="00B577E2" w:rsidP="00FF409B">
      <w:pPr>
        <w:spacing w:after="0" w:line="240" w:lineRule="auto"/>
        <w:jc w:val="both"/>
        <w:rPr>
          <w:rFonts w:ascii="Times New Roman" w:hAnsi="Times New Roman"/>
        </w:rPr>
      </w:pPr>
      <w:r w:rsidRPr="00C25082">
        <w:rPr>
          <w:rFonts w:ascii="Times New Roman" w:hAnsi="Times New Roman"/>
        </w:rPr>
        <w:t>BE it enacted by the King</w:t>
      </w:r>
      <w:r w:rsidR="001B490A" w:rsidRPr="00C25082">
        <w:rPr>
          <w:rFonts w:ascii="Times New Roman" w:hAnsi="Times New Roman"/>
        </w:rPr>
        <w:t>’</w:t>
      </w:r>
      <w:r w:rsidRPr="00C25082">
        <w:rPr>
          <w:rFonts w:ascii="Times New Roman" w:hAnsi="Times New Roman"/>
        </w:rPr>
        <w:t>s Most Excellent Majesty, the Senate, and the House of Representatives of the Commonwealth of Australia, as follows:—</w:t>
      </w:r>
    </w:p>
    <w:p w:rsidR="008603CC" w:rsidRPr="00341E90" w:rsidRDefault="00B577E2" w:rsidP="00341E90">
      <w:pPr>
        <w:spacing w:before="120" w:after="60" w:line="240" w:lineRule="auto"/>
        <w:jc w:val="both"/>
        <w:rPr>
          <w:rFonts w:ascii="Times New Roman" w:hAnsi="Times New Roman" w:cs="Times New Roman"/>
          <w:b/>
          <w:sz w:val="20"/>
        </w:rPr>
      </w:pPr>
      <w:r w:rsidRPr="00341E90">
        <w:rPr>
          <w:rFonts w:ascii="Times New Roman" w:hAnsi="Times New Roman" w:cs="Times New Roman"/>
          <w:b/>
          <w:sz w:val="20"/>
        </w:rPr>
        <w:t>Short title and citation.</w:t>
      </w:r>
    </w:p>
    <w:p w:rsidR="008603CC" w:rsidRPr="00B577E2" w:rsidRDefault="00B577E2" w:rsidP="00FF409B">
      <w:pPr>
        <w:tabs>
          <w:tab w:val="left" w:pos="1350"/>
        </w:tabs>
        <w:spacing w:after="0" w:line="240" w:lineRule="auto"/>
        <w:ind w:firstLine="432"/>
        <w:jc w:val="both"/>
        <w:rPr>
          <w:rFonts w:ascii="Times New Roman" w:hAnsi="Times New Roman"/>
        </w:rPr>
      </w:pPr>
      <w:r w:rsidRPr="00B577E2">
        <w:rPr>
          <w:rFonts w:ascii="Times New Roman" w:hAnsi="Times New Roman"/>
          <w:b/>
        </w:rPr>
        <w:t>1.</w:t>
      </w:r>
      <w:r w:rsidRPr="00B577E2">
        <w:rPr>
          <w:rFonts w:ascii="Times New Roman" w:hAnsi="Times New Roman"/>
        </w:rPr>
        <w:t>—(1.)</w:t>
      </w:r>
      <w:r w:rsidR="005239F1">
        <w:rPr>
          <w:rFonts w:ascii="Times New Roman" w:hAnsi="Times New Roman"/>
        </w:rPr>
        <w:tab/>
      </w:r>
      <w:r w:rsidRPr="00B577E2">
        <w:rPr>
          <w:rFonts w:ascii="Times New Roman" w:hAnsi="Times New Roman"/>
        </w:rPr>
        <w:t xml:space="preserve">This Act may be cited as the </w:t>
      </w:r>
      <w:r w:rsidRPr="00B577E2">
        <w:rPr>
          <w:rFonts w:ascii="Times New Roman" w:hAnsi="Times New Roman"/>
          <w:i/>
        </w:rPr>
        <w:t xml:space="preserve">Commonwealth Bank Act </w:t>
      </w:r>
      <w:r w:rsidRPr="00B577E2">
        <w:rPr>
          <w:rFonts w:ascii="Times New Roman" w:hAnsi="Times New Roman"/>
        </w:rPr>
        <w:t>1932.</w:t>
      </w:r>
    </w:p>
    <w:p w:rsidR="008603CC" w:rsidRPr="00B577E2" w:rsidRDefault="00B577E2" w:rsidP="00FF409B">
      <w:pPr>
        <w:tabs>
          <w:tab w:val="left" w:pos="900"/>
        </w:tabs>
        <w:spacing w:after="0" w:line="240" w:lineRule="auto"/>
        <w:ind w:firstLine="432"/>
        <w:jc w:val="both"/>
        <w:rPr>
          <w:rFonts w:ascii="Times New Roman" w:hAnsi="Times New Roman"/>
        </w:rPr>
      </w:pPr>
      <w:r w:rsidRPr="00B577E2">
        <w:rPr>
          <w:rFonts w:ascii="Times New Roman" w:hAnsi="Times New Roman"/>
        </w:rPr>
        <w:t>(2.)</w:t>
      </w:r>
      <w:r w:rsidR="005239F1">
        <w:rPr>
          <w:rFonts w:ascii="Times New Roman" w:hAnsi="Times New Roman"/>
        </w:rPr>
        <w:tab/>
      </w:r>
      <w:r w:rsidRPr="00B577E2">
        <w:rPr>
          <w:rFonts w:ascii="Times New Roman" w:hAnsi="Times New Roman"/>
        </w:rPr>
        <w:t xml:space="preserve">The </w:t>
      </w:r>
      <w:r w:rsidRPr="00B577E2">
        <w:rPr>
          <w:rFonts w:ascii="Times New Roman" w:hAnsi="Times New Roman"/>
          <w:i/>
        </w:rPr>
        <w:t xml:space="preserve">Commonwealth Bank Act </w:t>
      </w:r>
      <w:r w:rsidRPr="00B577E2">
        <w:rPr>
          <w:rFonts w:ascii="Times New Roman" w:hAnsi="Times New Roman"/>
        </w:rPr>
        <w:t>1911</w:t>
      </w:r>
      <w:r w:rsidR="00341E90">
        <w:rPr>
          <w:rFonts w:ascii="Times New Roman" w:hAnsi="Times New Roman"/>
        </w:rPr>
        <w:t>–</w:t>
      </w:r>
      <w:r w:rsidRPr="00B577E2">
        <w:rPr>
          <w:rFonts w:ascii="Times New Roman" w:hAnsi="Times New Roman"/>
        </w:rPr>
        <w:t>1931 is in this Act referred to as the Principal Act.</w:t>
      </w:r>
    </w:p>
    <w:p w:rsidR="008603CC" w:rsidRPr="00B577E2" w:rsidRDefault="00B577E2" w:rsidP="00FF409B">
      <w:pPr>
        <w:tabs>
          <w:tab w:val="left" w:pos="900"/>
        </w:tabs>
        <w:spacing w:after="0" w:line="240" w:lineRule="auto"/>
        <w:ind w:firstLine="432"/>
        <w:jc w:val="both"/>
        <w:rPr>
          <w:rFonts w:ascii="Times New Roman" w:hAnsi="Times New Roman"/>
        </w:rPr>
      </w:pPr>
      <w:r w:rsidRPr="00B577E2">
        <w:rPr>
          <w:rFonts w:ascii="Times New Roman" w:hAnsi="Times New Roman"/>
        </w:rPr>
        <w:t>(3.)</w:t>
      </w:r>
      <w:r w:rsidR="005239F1">
        <w:rPr>
          <w:rFonts w:ascii="Times New Roman" w:hAnsi="Times New Roman"/>
        </w:rPr>
        <w:tab/>
      </w:r>
      <w:r w:rsidRPr="00B577E2">
        <w:rPr>
          <w:rFonts w:ascii="Times New Roman" w:hAnsi="Times New Roman"/>
        </w:rPr>
        <w:t xml:space="preserve">The Principal Act, as amended by this Act, may be cited as the </w:t>
      </w:r>
      <w:r w:rsidRPr="00B577E2">
        <w:rPr>
          <w:rFonts w:ascii="Times New Roman" w:hAnsi="Times New Roman"/>
          <w:i/>
        </w:rPr>
        <w:t xml:space="preserve">Commonwealth Bank Act </w:t>
      </w:r>
      <w:r w:rsidRPr="00B577E2">
        <w:rPr>
          <w:rFonts w:ascii="Times New Roman" w:hAnsi="Times New Roman"/>
        </w:rPr>
        <w:t>1911</w:t>
      </w:r>
      <w:r w:rsidR="003E506E">
        <w:rPr>
          <w:rFonts w:ascii="Times New Roman" w:hAnsi="Times New Roman"/>
        </w:rPr>
        <w:t>–</w:t>
      </w:r>
      <w:r w:rsidRPr="00B577E2">
        <w:rPr>
          <w:rFonts w:ascii="Times New Roman" w:hAnsi="Times New Roman"/>
        </w:rPr>
        <w:t>1932.</w:t>
      </w:r>
    </w:p>
    <w:p w:rsidR="008603CC" w:rsidRPr="00F9482D" w:rsidRDefault="00B577E2" w:rsidP="00F9482D">
      <w:pPr>
        <w:spacing w:before="120" w:after="60" w:line="240" w:lineRule="auto"/>
        <w:jc w:val="both"/>
        <w:rPr>
          <w:rFonts w:ascii="Times New Roman" w:hAnsi="Times New Roman" w:cs="Times New Roman"/>
          <w:b/>
          <w:sz w:val="20"/>
        </w:rPr>
      </w:pPr>
      <w:r w:rsidRPr="00F9482D">
        <w:rPr>
          <w:rFonts w:ascii="Times New Roman" w:hAnsi="Times New Roman" w:cs="Times New Roman"/>
          <w:b/>
          <w:sz w:val="20"/>
        </w:rPr>
        <w:t>Definition.</w:t>
      </w:r>
    </w:p>
    <w:p w:rsidR="008603CC" w:rsidRPr="00B577E2" w:rsidRDefault="00B577E2" w:rsidP="00FF409B">
      <w:pPr>
        <w:spacing w:after="0" w:line="240" w:lineRule="auto"/>
        <w:ind w:firstLine="432"/>
        <w:jc w:val="both"/>
        <w:rPr>
          <w:rFonts w:ascii="Times New Roman" w:hAnsi="Times New Roman"/>
        </w:rPr>
      </w:pPr>
      <w:r w:rsidRPr="00B577E2">
        <w:rPr>
          <w:rFonts w:ascii="Times New Roman" w:hAnsi="Times New Roman"/>
          <w:b/>
        </w:rPr>
        <w:t>2.</w:t>
      </w:r>
      <w:r w:rsidR="005239F1">
        <w:rPr>
          <w:rFonts w:ascii="Times New Roman" w:hAnsi="Times New Roman"/>
          <w:b/>
        </w:rPr>
        <w:tab/>
      </w:r>
      <w:r w:rsidRPr="00B577E2">
        <w:rPr>
          <w:rFonts w:ascii="Times New Roman" w:hAnsi="Times New Roman"/>
        </w:rPr>
        <w:t xml:space="preserve">Section sixty </w:t>
      </w:r>
      <w:r w:rsidRPr="002A5B24">
        <w:rPr>
          <w:rFonts w:ascii="Times New Roman" w:hAnsi="Times New Roman"/>
          <w:smallCaps/>
        </w:rPr>
        <w:t>a</w:t>
      </w:r>
      <w:r w:rsidRPr="00B577E2">
        <w:rPr>
          <w:rFonts w:ascii="Times New Roman" w:hAnsi="Times New Roman"/>
        </w:rPr>
        <w:t xml:space="preserve"> of the Principal Act is amended by inserting, after the definition of </w:t>
      </w:r>
      <w:r w:rsidR="001B490A">
        <w:rPr>
          <w:rFonts w:ascii="Times New Roman" w:hAnsi="Times New Roman"/>
        </w:rPr>
        <w:t>“</w:t>
      </w:r>
      <w:r w:rsidRPr="00B577E2">
        <w:rPr>
          <w:rFonts w:ascii="Times New Roman" w:hAnsi="Times New Roman"/>
        </w:rPr>
        <w:t>Constable</w:t>
      </w:r>
      <w:r w:rsidR="001B490A">
        <w:rPr>
          <w:rFonts w:ascii="Times New Roman" w:hAnsi="Times New Roman"/>
        </w:rPr>
        <w:t>”</w:t>
      </w:r>
      <w:r w:rsidRPr="00B577E2">
        <w:rPr>
          <w:rFonts w:ascii="Times New Roman" w:hAnsi="Times New Roman"/>
        </w:rPr>
        <w:t>, the following definition:—</w:t>
      </w:r>
    </w:p>
    <w:p w:rsidR="008603CC" w:rsidRPr="00B577E2" w:rsidRDefault="001B490A" w:rsidP="00FF409B">
      <w:pPr>
        <w:spacing w:after="0" w:line="240" w:lineRule="auto"/>
        <w:ind w:firstLine="432"/>
        <w:jc w:val="both"/>
        <w:rPr>
          <w:rFonts w:ascii="Times New Roman" w:hAnsi="Times New Roman"/>
        </w:rPr>
      </w:pPr>
      <w:r>
        <w:rPr>
          <w:rFonts w:ascii="Times New Roman" w:hAnsi="Times New Roman"/>
        </w:rPr>
        <w:t>“</w:t>
      </w:r>
      <w:r w:rsidR="00F9482D">
        <w:rPr>
          <w:rFonts w:ascii="Times New Roman" w:hAnsi="Times New Roman"/>
        </w:rPr>
        <w:t xml:space="preserve"> </w:t>
      </w:r>
      <w:r>
        <w:rPr>
          <w:rFonts w:ascii="Times New Roman" w:hAnsi="Times New Roman"/>
        </w:rPr>
        <w:t>‘</w:t>
      </w:r>
      <w:r w:rsidR="00B577E2" w:rsidRPr="00B577E2">
        <w:rPr>
          <w:rFonts w:ascii="Times New Roman" w:hAnsi="Times New Roman"/>
        </w:rPr>
        <w:t>English sterling</w:t>
      </w:r>
      <w:r>
        <w:rPr>
          <w:rFonts w:ascii="Times New Roman" w:hAnsi="Times New Roman"/>
        </w:rPr>
        <w:t>’</w:t>
      </w:r>
      <w:r w:rsidR="00B577E2" w:rsidRPr="00B577E2">
        <w:rPr>
          <w:rFonts w:ascii="Times New Roman" w:hAnsi="Times New Roman"/>
        </w:rPr>
        <w:t xml:space="preserve"> means currency which is legal tender in the United Kingdom, and includes—</w:t>
      </w:r>
    </w:p>
    <w:p w:rsidR="008603CC" w:rsidRPr="00B577E2" w:rsidRDefault="00B577E2" w:rsidP="00FF409B">
      <w:pPr>
        <w:spacing w:after="0" w:line="240" w:lineRule="auto"/>
        <w:ind w:left="1152" w:hanging="576"/>
        <w:jc w:val="both"/>
        <w:rPr>
          <w:rFonts w:ascii="Times New Roman" w:hAnsi="Times New Roman"/>
        </w:rPr>
      </w:pPr>
      <w:r w:rsidRPr="00B577E2">
        <w:rPr>
          <w:rFonts w:ascii="Times New Roman" w:hAnsi="Times New Roman"/>
        </w:rPr>
        <w:t>(</w:t>
      </w:r>
      <w:r w:rsidRPr="00B577E2">
        <w:rPr>
          <w:rFonts w:ascii="Times New Roman" w:hAnsi="Times New Roman"/>
          <w:i/>
        </w:rPr>
        <w:t>a</w:t>
      </w:r>
      <w:r w:rsidRPr="00B577E2">
        <w:rPr>
          <w:rFonts w:ascii="Times New Roman" w:hAnsi="Times New Roman"/>
        </w:rPr>
        <w:t>) balances standing to the credit of the Bank at the Bank of England or at any other of its bankers in London;</w:t>
      </w:r>
    </w:p>
    <w:p w:rsidR="008603CC" w:rsidRPr="00B577E2" w:rsidRDefault="00B577E2" w:rsidP="00FF409B">
      <w:pPr>
        <w:spacing w:after="0" w:line="240" w:lineRule="auto"/>
        <w:ind w:left="1152" w:hanging="576"/>
        <w:jc w:val="both"/>
        <w:rPr>
          <w:rFonts w:ascii="Times New Roman" w:hAnsi="Times New Roman"/>
        </w:rPr>
      </w:pPr>
      <w:r w:rsidRPr="00B577E2">
        <w:rPr>
          <w:rFonts w:ascii="Times New Roman" w:hAnsi="Times New Roman"/>
        </w:rPr>
        <w:t>(</w:t>
      </w:r>
      <w:r w:rsidRPr="00B577E2">
        <w:rPr>
          <w:rFonts w:ascii="Times New Roman" w:hAnsi="Times New Roman"/>
          <w:i/>
        </w:rPr>
        <w:t>b</w:t>
      </w:r>
      <w:r w:rsidRPr="00B577E2">
        <w:rPr>
          <w:rFonts w:ascii="Times New Roman" w:hAnsi="Times New Roman"/>
        </w:rPr>
        <w:t>) Bills of Exchange, or advances secured by Bills of Exchange, which—</w:t>
      </w:r>
    </w:p>
    <w:p w:rsidR="008603CC" w:rsidRPr="00B577E2" w:rsidRDefault="00B577E2" w:rsidP="00FF409B">
      <w:pPr>
        <w:spacing w:after="0" w:line="240" w:lineRule="auto"/>
        <w:ind w:left="1872" w:hanging="576"/>
        <w:jc w:val="both"/>
        <w:rPr>
          <w:rFonts w:ascii="Times New Roman" w:hAnsi="Times New Roman"/>
        </w:rPr>
      </w:pPr>
      <w:r w:rsidRPr="00B577E2">
        <w:rPr>
          <w:rFonts w:ascii="Times New Roman" w:hAnsi="Times New Roman"/>
        </w:rPr>
        <w:t>(</w:t>
      </w:r>
      <w:proofErr w:type="spellStart"/>
      <w:r w:rsidRPr="00B577E2">
        <w:rPr>
          <w:rFonts w:ascii="Times New Roman" w:hAnsi="Times New Roman"/>
        </w:rPr>
        <w:t>i</w:t>
      </w:r>
      <w:proofErr w:type="spellEnd"/>
      <w:r w:rsidRPr="00B577E2">
        <w:rPr>
          <w:rFonts w:ascii="Times New Roman" w:hAnsi="Times New Roman"/>
        </w:rPr>
        <w:t>)</w:t>
      </w:r>
      <w:r w:rsidR="005239F1">
        <w:rPr>
          <w:rFonts w:ascii="Times New Roman" w:hAnsi="Times New Roman"/>
        </w:rPr>
        <w:t xml:space="preserve"> </w:t>
      </w:r>
      <w:r w:rsidRPr="00B577E2">
        <w:rPr>
          <w:rFonts w:ascii="Times New Roman" w:hAnsi="Times New Roman"/>
        </w:rPr>
        <w:t>are payable in the United Kingdom in currency which is legal tender in the United Kingdom;</w:t>
      </w:r>
    </w:p>
    <w:p w:rsidR="008603CC" w:rsidRPr="00B577E2" w:rsidRDefault="00B577E2" w:rsidP="00FF409B">
      <w:pPr>
        <w:spacing w:after="0" w:line="240" w:lineRule="auto"/>
        <w:ind w:left="1872" w:hanging="576"/>
        <w:jc w:val="both"/>
        <w:rPr>
          <w:rFonts w:ascii="Times New Roman" w:hAnsi="Times New Roman"/>
        </w:rPr>
      </w:pPr>
      <w:r w:rsidRPr="00B577E2">
        <w:rPr>
          <w:rFonts w:ascii="Times New Roman" w:hAnsi="Times New Roman"/>
        </w:rPr>
        <w:t>(ii)</w:t>
      </w:r>
      <w:r w:rsidR="005239F1">
        <w:rPr>
          <w:rFonts w:ascii="Times New Roman" w:hAnsi="Times New Roman"/>
        </w:rPr>
        <w:t xml:space="preserve"> </w:t>
      </w:r>
      <w:r w:rsidRPr="00B577E2">
        <w:rPr>
          <w:rFonts w:ascii="Times New Roman" w:hAnsi="Times New Roman"/>
        </w:rPr>
        <w:t>will mature in not more than three months, and the security for the payment of which Bills is, in the opinion of the Bank, satisfactory; and</w:t>
      </w:r>
    </w:p>
    <w:p w:rsidR="008603CC" w:rsidRPr="00B577E2" w:rsidRDefault="00B577E2" w:rsidP="00FF409B">
      <w:pPr>
        <w:spacing w:after="0" w:line="240" w:lineRule="auto"/>
        <w:ind w:left="1152" w:hanging="576"/>
        <w:jc w:val="both"/>
        <w:rPr>
          <w:rFonts w:ascii="Times New Roman" w:hAnsi="Times New Roman"/>
        </w:rPr>
      </w:pPr>
      <w:r w:rsidRPr="00B577E2">
        <w:rPr>
          <w:rFonts w:ascii="Times New Roman" w:hAnsi="Times New Roman"/>
        </w:rPr>
        <w:t>(</w:t>
      </w:r>
      <w:r w:rsidRPr="00B577E2">
        <w:rPr>
          <w:rFonts w:ascii="Times New Roman" w:hAnsi="Times New Roman"/>
          <w:i/>
        </w:rPr>
        <w:t>c</w:t>
      </w:r>
      <w:r w:rsidRPr="00B577E2">
        <w:rPr>
          <w:rFonts w:ascii="Times New Roman" w:hAnsi="Times New Roman"/>
        </w:rPr>
        <w:t>)</w:t>
      </w:r>
      <w:r w:rsidR="005239F1">
        <w:rPr>
          <w:rFonts w:ascii="Times New Roman" w:hAnsi="Times New Roman"/>
        </w:rPr>
        <w:t xml:space="preserve"> </w:t>
      </w:r>
      <w:r w:rsidRPr="00B577E2">
        <w:rPr>
          <w:rFonts w:ascii="Times New Roman" w:hAnsi="Times New Roman"/>
        </w:rPr>
        <w:t>Treasury Bills or other securities of the United Kingdom which will mature in not more than three months:</w:t>
      </w:r>
      <w:r w:rsidR="001B490A">
        <w:rPr>
          <w:rFonts w:ascii="Times New Roman" w:hAnsi="Times New Roman"/>
        </w:rPr>
        <w:t>”</w:t>
      </w:r>
      <w:r w:rsidRPr="00B577E2">
        <w:rPr>
          <w:rFonts w:ascii="Times New Roman" w:hAnsi="Times New Roman"/>
        </w:rPr>
        <w:t>.</w:t>
      </w:r>
    </w:p>
    <w:p w:rsidR="001C0D5F" w:rsidRDefault="001C0D5F">
      <w:pPr>
        <w:rPr>
          <w:rFonts w:ascii="Times New Roman" w:hAnsi="Times New Roman"/>
        </w:rPr>
      </w:pPr>
      <w:r>
        <w:rPr>
          <w:rFonts w:ascii="Times New Roman" w:hAnsi="Times New Roman"/>
        </w:rPr>
        <w:br w:type="page"/>
      </w:r>
    </w:p>
    <w:p w:rsidR="005275CA" w:rsidRPr="000B4423" w:rsidRDefault="005275CA" w:rsidP="000B4423">
      <w:pPr>
        <w:spacing w:before="120" w:after="60" w:line="240" w:lineRule="auto"/>
        <w:jc w:val="both"/>
        <w:rPr>
          <w:rFonts w:ascii="Times New Roman" w:hAnsi="Times New Roman" w:cs="Times New Roman"/>
          <w:b/>
          <w:sz w:val="20"/>
        </w:rPr>
      </w:pPr>
      <w:r w:rsidRPr="000B4423">
        <w:rPr>
          <w:rFonts w:ascii="Times New Roman" w:hAnsi="Times New Roman" w:cs="Times New Roman"/>
          <w:b/>
          <w:sz w:val="20"/>
        </w:rPr>
        <w:lastRenderedPageBreak/>
        <w:t>Denomination, &amp;c</w:t>
      </w:r>
      <w:r w:rsidR="000B4423">
        <w:rPr>
          <w:rFonts w:ascii="Times New Roman" w:hAnsi="Times New Roman" w:cs="Times New Roman"/>
          <w:b/>
          <w:sz w:val="20"/>
        </w:rPr>
        <w:t>.</w:t>
      </w:r>
      <w:r w:rsidRPr="000B4423">
        <w:rPr>
          <w:rFonts w:ascii="Times New Roman" w:hAnsi="Times New Roman" w:cs="Times New Roman"/>
          <w:b/>
          <w:sz w:val="20"/>
        </w:rPr>
        <w:t>, of notes.</w:t>
      </w:r>
    </w:p>
    <w:p w:rsidR="005275CA" w:rsidRPr="00B577E2" w:rsidRDefault="005275CA" w:rsidP="00FF409B">
      <w:pPr>
        <w:spacing w:after="0" w:line="240" w:lineRule="auto"/>
        <w:ind w:firstLine="432"/>
        <w:jc w:val="both"/>
        <w:rPr>
          <w:rFonts w:ascii="Times New Roman" w:hAnsi="Times New Roman"/>
        </w:rPr>
      </w:pPr>
      <w:r w:rsidRPr="00B577E2">
        <w:rPr>
          <w:rFonts w:ascii="Times New Roman" w:hAnsi="Times New Roman"/>
          <w:b/>
        </w:rPr>
        <w:t>3.</w:t>
      </w:r>
      <w:r>
        <w:rPr>
          <w:rFonts w:ascii="Times New Roman" w:hAnsi="Times New Roman"/>
          <w:b/>
        </w:rPr>
        <w:tab/>
      </w:r>
      <w:r w:rsidRPr="00B577E2">
        <w:rPr>
          <w:rFonts w:ascii="Times New Roman" w:hAnsi="Times New Roman"/>
        </w:rPr>
        <w:t xml:space="preserve">Section sixty </w:t>
      </w:r>
      <w:r w:rsidRPr="002C28D2">
        <w:rPr>
          <w:rFonts w:ascii="Times New Roman" w:hAnsi="Times New Roman"/>
          <w:smallCaps/>
        </w:rPr>
        <w:t>h</w:t>
      </w:r>
      <w:r w:rsidRPr="00B577E2">
        <w:rPr>
          <w:rFonts w:ascii="Times New Roman" w:hAnsi="Times New Roman"/>
        </w:rPr>
        <w:t xml:space="preserve"> of the Principal Act is amended—</w:t>
      </w:r>
    </w:p>
    <w:p w:rsidR="005275CA" w:rsidRPr="00B577E2" w:rsidRDefault="005275CA" w:rsidP="00FF409B">
      <w:pPr>
        <w:spacing w:after="0" w:line="240" w:lineRule="auto"/>
        <w:ind w:left="1152" w:hanging="576"/>
        <w:jc w:val="both"/>
        <w:rPr>
          <w:rFonts w:ascii="Times New Roman" w:hAnsi="Times New Roman"/>
        </w:rPr>
      </w:pPr>
      <w:r w:rsidRPr="00B577E2">
        <w:rPr>
          <w:rFonts w:ascii="Times New Roman" w:hAnsi="Times New Roman"/>
        </w:rPr>
        <w:t>(</w:t>
      </w:r>
      <w:r w:rsidRPr="00B577E2">
        <w:rPr>
          <w:rFonts w:ascii="Times New Roman" w:hAnsi="Times New Roman"/>
          <w:i/>
        </w:rPr>
        <w:t>a</w:t>
      </w:r>
      <w:r w:rsidRPr="00B577E2">
        <w:rPr>
          <w:rFonts w:ascii="Times New Roman" w:hAnsi="Times New Roman"/>
        </w:rPr>
        <w:t>) by inserting in paragraph (</w:t>
      </w:r>
      <w:r w:rsidRPr="00B577E2">
        <w:rPr>
          <w:rFonts w:ascii="Times New Roman" w:hAnsi="Times New Roman"/>
          <w:i/>
        </w:rPr>
        <w:t>a</w:t>
      </w:r>
      <w:r w:rsidRPr="00B577E2">
        <w:rPr>
          <w:rFonts w:ascii="Times New Roman" w:hAnsi="Times New Roman"/>
        </w:rPr>
        <w:t>)</w:t>
      </w:r>
      <w:r w:rsidR="00C25082">
        <w:rPr>
          <w:rFonts w:ascii="Times New Roman" w:hAnsi="Times New Roman"/>
        </w:rPr>
        <w:t xml:space="preserve"> </w:t>
      </w:r>
      <w:r w:rsidRPr="00B577E2">
        <w:rPr>
          <w:rFonts w:ascii="Times New Roman" w:hAnsi="Times New Roman"/>
        </w:rPr>
        <w:t xml:space="preserve">of sub-section (1.), after the word </w:t>
      </w:r>
      <w:r w:rsidR="001B490A">
        <w:rPr>
          <w:rFonts w:ascii="Times New Roman" w:hAnsi="Times New Roman"/>
        </w:rPr>
        <w:t>“</w:t>
      </w:r>
      <w:r w:rsidRPr="00B577E2">
        <w:rPr>
          <w:rFonts w:ascii="Times New Roman" w:hAnsi="Times New Roman"/>
        </w:rPr>
        <w:t>Bank;</w:t>
      </w:r>
      <w:r w:rsidR="001B490A">
        <w:rPr>
          <w:rFonts w:ascii="Times New Roman" w:hAnsi="Times New Roman"/>
        </w:rPr>
        <w:t>”</w:t>
      </w:r>
      <w:r w:rsidRPr="00B577E2">
        <w:rPr>
          <w:rFonts w:ascii="Times New Roman" w:hAnsi="Times New Roman"/>
        </w:rPr>
        <w:t xml:space="preserve">, the word </w:t>
      </w:r>
      <w:r w:rsidR="001B490A">
        <w:rPr>
          <w:rFonts w:ascii="Times New Roman" w:hAnsi="Times New Roman"/>
        </w:rPr>
        <w:t>“</w:t>
      </w:r>
      <w:r w:rsidRPr="00B577E2">
        <w:rPr>
          <w:rFonts w:ascii="Times New Roman" w:hAnsi="Times New Roman"/>
        </w:rPr>
        <w:t>and</w:t>
      </w:r>
      <w:r w:rsidR="001B490A">
        <w:rPr>
          <w:rFonts w:ascii="Times New Roman" w:hAnsi="Times New Roman"/>
        </w:rPr>
        <w:t>”</w:t>
      </w:r>
      <w:r w:rsidRPr="00B577E2">
        <w:rPr>
          <w:rFonts w:ascii="Times New Roman" w:hAnsi="Times New Roman"/>
        </w:rPr>
        <w:t>;</w:t>
      </w:r>
    </w:p>
    <w:p w:rsidR="005275CA" w:rsidRPr="00B577E2" w:rsidRDefault="005275CA" w:rsidP="00FF409B">
      <w:pPr>
        <w:spacing w:after="0" w:line="240" w:lineRule="auto"/>
        <w:ind w:left="1152" w:hanging="576"/>
        <w:jc w:val="both"/>
        <w:rPr>
          <w:rFonts w:ascii="Times New Roman" w:hAnsi="Times New Roman"/>
        </w:rPr>
      </w:pPr>
      <w:r w:rsidRPr="00B577E2">
        <w:rPr>
          <w:rFonts w:ascii="Times New Roman" w:hAnsi="Times New Roman"/>
        </w:rPr>
        <w:t>(</w:t>
      </w:r>
      <w:r w:rsidRPr="00B577E2">
        <w:rPr>
          <w:rFonts w:ascii="Times New Roman" w:hAnsi="Times New Roman"/>
          <w:i/>
        </w:rPr>
        <w:t>b</w:t>
      </w:r>
      <w:r w:rsidRPr="00B577E2">
        <w:rPr>
          <w:rFonts w:ascii="Times New Roman" w:hAnsi="Times New Roman"/>
        </w:rPr>
        <w:t>) by omitting from paragraph (</w:t>
      </w:r>
      <w:r w:rsidRPr="00B577E2">
        <w:rPr>
          <w:rFonts w:ascii="Times New Roman" w:hAnsi="Times New Roman"/>
          <w:i/>
        </w:rPr>
        <w:t>b</w:t>
      </w:r>
      <w:r w:rsidRPr="00B577E2">
        <w:rPr>
          <w:rFonts w:ascii="Times New Roman" w:hAnsi="Times New Roman"/>
        </w:rPr>
        <w:t>)</w:t>
      </w:r>
      <w:r w:rsidR="00C25082">
        <w:rPr>
          <w:rFonts w:ascii="Times New Roman" w:hAnsi="Times New Roman"/>
        </w:rPr>
        <w:t xml:space="preserve"> </w:t>
      </w:r>
      <w:r w:rsidRPr="00B577E2">
        <w:rPr>
          <w:rFonts w:ascii="Times New Roman" w:hAnsi="Times New Roman"/>
        </w:rPr>
        <w:t xml:space="preserve">of sub-section (1.) the words </w:t>
      </w:r>
      <w:r w:rsidR="001B490A">
        <w:rPr>
          <w:rFonts w:ascii="Times New Roman" w:hAnsi="Times New Roman"/>
        </w:rPr>
        <w:t>“</w:t>
      </w:r>
      <w:r w:rsidRPr="00B577E2">
        <w:rPr>
          <w:rFonts w:ascii="Times New Roman" w:hAnsi="Times New Roman"/>
        </w:rPr>
        <w:t>except in respect of payments due by the Note Issue Department; and</w:t>
      </w:r>
      <w:r w:rsidR="001B490A">
        <w:rPr>
          <w:rFonts w:ascii="Times New Roman" w:hAnsi="Times New Roman"/>
        </w:rPr>
        <w:t>”</w:t>
      </w:r>
      <w:r w:rsidRPr="00B577E2">
        <w:rPr>
          <w:rFonts w:ascii="Times New Roman" w:hAnsi="Times New Roman"/>
        </w:rPr>
        <w:t>; and</w:t>
      </w:r>
    </w:p>
    <w:p w:rsidR="005275CA" w:rsidRPr="00B577E2" w:rsidRDefault="005275CA" w:rsidP="00FF409B">
      <w:pPr>
        <w:spacing w:after="0" w:line="240" w:lineRule="auto"/>
        <w:ind w:left="1152" w:hanging="576"/>
        <w:jc w:val="both"/>
        <w:rPr>
          <w:rFonts w:ascii="Times New Roman" w:hAnsi="Times New Roman"/>
        </w:rPr>
      </w:pPr>
      <w:r w:rsidRPr="00B577E2">
        <w:rPr>
          <w:rFonts w:ascii="Times New Roman" w:hAnsi="Times New Roman"/>
        </w:rPr>
        <w:t>(</w:t>
      </w:r>
      <w:r w:rsidRPr="00B577E2">
        <w:rPr>
          <w:rFonts w:ascii="Times New Roman" w:hAnsi="Times New Roman"/>
          <w:i/>
        </w:rPr>
        <w:t>c</w:t>
      </w:r>
      <w:r w:rsidRPr="00B577E2">
        <w:rPr>
          <w:rFonts w:ascii="Times New Roman" w:hAnsi="Times New Roman"/>
        </w:rPr>
        <w:t>) by omitting paragraph (</w:t>
      </w:r>
      <w:r w:rsidRPr="00B577E2">
        <w:rPr>
          <w:rFonts w:ascii="Times New Roman" w:hAnsi="Times New Roman"/>
          <w:i/>
        </w:rPr>
        <w:t>c</w:t>
      </w:r>
      <w:r w:rsidRPr="00B577E2">
        <w:rPr>
          <w:rFonts w:ascii="Times New Roman" w:hAnsi="Times New Roman"/>
        </w:rPr>
        <w:t>) of sub-section (1.).</w:t>
      </w:r>
    </w:p>
    <w:p w:rsidR="005275CA" w:rsidRPr="000B4423" w:rsidRDefault="005275CA" w:rsidP="000B4423">
      <w:pPr>
        <w:spacing w:before="120" w:after="60" w:line="240" w:lineRule="auto"/>
        <w:jc w:val="both"/>
        <w:rPr>
          <w:rFonts w:ascii="Times New Roman" w:hAnsi="Times New Roman" w:cs="Times New Roman"/>
          <w:b/>
          <w:sz w:val="20"/>
        </w:rPr>
      </w:pPr>
      <w:r w:rsidRPr="000B4423">
        <w:rPr>
          <w:rFonts w:ascii="Times New Roman" w:hAnsi="Times New Roman" w:cs="Times New Roman"/>
          <w:b/>
          <w:sz w:val="20"/>
        </w:rPr>
        <w:t>Disposal of proceeds of issue of notes.</w:t>
      </w:r>
    </w:p>
    <w:p w:rsidR="005275CA" w:rsidRPr="00B577E2" w:rsidRDefault="005275CA" w:rsidP="00FF409B">
      <w:pPr>
        <w:spacing w:after="0" w:line="240" w:lineRule="auto"/>
        <w:ind w:firstLine="432"/>
        <w:jc w:val="both"/>
        <w:rPr>
          <w:rFonts w:ascii="Times New Roman" w:hAnsi="Times New Roman"/>
        </w:rPr>
      </w:pPr>
      <w:r w:rsidRPr="00B577E2">
        <w:rPr>
          <w:rFonts w:ascii="Times New Roman" w:hAnsi="Times New Roman"/>
          <w:b/>
        </w:rPr>
        <w:t>4</w:t>
      </w:r>
      <w:r w:rsidRPr="00C25082">
        <w:rPr>
          <w:rFonts w:ascii="Times New Roman" w:hAnsi="Times New Roman"/>
          <w:b/>
        </w:rPr>
        <w:t>.</w:t>
      </w:r>
      <w:r>
        <w:rPr>
          <w:rFonts w:ascii="Times New Roman" w:hAnsi="Times New Roman"/>
        </w:rPr>
        <w:tab/>
      </w:r>
      <w:r w:rsidRPr="00B577E2">
        <w:rPr>
          <w:rFonts w:ascii="Times New Roman" w:hAnsi="Times New Roman"/>
        </w:rPr>
        <w:t xml:space="preserve">Section sixty </w:t>
      </w:r>
      <w:proofErr w:type="spellStart"/>
      <w:r w:rsidRPr="002C28D2">
        <w:rPr>
          <w:rFonts w:ascii="Times New Roman" w:hAnsi="Times New Roman"/>
          <w:smallCaps/>
        </w:rPr>
        <w:t>i</w:t>
      </w:r>
      <w:proofErr w:type="spellEnd"/>
      <w:r w:rsidRPr="00B577E2">
        <w:rPr>
          <w:rFonts w:ascii="Times New Roman" w:hAnsi="Times New Roman"/>
        </w:rPr>
        <w:t xml:space="preserve"> of the Principal Act is amended by omitting from sub-section (1.) the word </w:t>
      </w:r>
      <w:r w:rsidR="001B490A">
        <w:rPr>
          <w:rFonts w:ascii="Times New Roman" w:hAnsi="Times New Roman"/>
        </w:rPr>
        <w:t>“</w:t>
      </w:r>
      <w:r w:rsidRPr="00B577E2">
        <w:rPr>
          <w:rFonts w:ascii="Times New Roman" w:hAnsi="Times New Roman"/>
        </w:rPr>
        <w:t>coin</w:t>
      </w:r>
      <w:r w:rsidR="001B490A">
        <w:rPr>
          <w:rFonts w:ascii="Times New Roman" w:hAnsi="Times New Roman"/>
        </w:rPr>
        <w:t>”</w:t>
      </w:r>
      <w:r w:rsidRPr="00B577E2">
        <w:rPr>
          <w:rFonts w:ascii="Times New Roman" w:hAnsi="Times New Roman"/>
        </w:rPr>
        <w:t xml:space="preserve"> and inserting in its stead the words </w:t>
      </w:r>
      <w:r w:rsidR="001B490A">
        <w:rPr>
          <w:rFonts w:ascii="Times New Roman" w:hAnsi="Times New Roman"/>
        </w:rPr>
        <w:t>“</w:t>
      </w:r>
      <w:r w:rsidRPr="00B577E2">
        <w:rPr>
          <w:rFonts w:ascii="Times New Roman" w:hAnsi="Times New Roman"/>
        </w:rPr>
        <w:t>or in English sterling</w:t>
      </w:r>
      <w:r w:rsidR="001B490A">
        <w:rPr>
          <w:rFonts w:ascii="Times New Roman" w:hAnsi="Times New Roman"/>
        </w:rPr>
        <w:t>”</w:t>
      </w:r>
      <w:r w:rsidRPr="00B577E2">
        <w:rPr>
          <w:rFonts w:ascii="Times New Roman" w:hAnsi="Times New Roman"/>
        </w:rPr>
        <w:t>.</w:t>
      </w:r>
    </w:p>
    <w:p w:rsidR="005275CA" w:rsidRPr="000B4423" w:rsidRDefault="005275CA" w:rsidP="000B4423">
      <w:pPr>
        <w:spacing w:before="120" w:after="60" w:line="240" w:lineRule="auto"/>
        <w:jc w:val="both"/>
        <w:rPr>
          <w:rFonts w:ascii="Times New Roman" w:hAnsi="Times New Roman" w:cs="Times New Roman"/>
          <w:b/>
          <w:sz w:val="20"/>
        </w:rPr>
      </w:pPr>
      <w:r w:rsidRPr="000B4423">
        <w:rPr>
          <w:rFonts w:ascii="Times New Roman" w:hAnsi="Times New Roman" w:cs="Times New Roman"/>
          <w:b/>
          <w:sz w:val="20"/>
        </w:rPr>
        <w:t>Reserve.</w:t>
      </w:r>
    </w:p>
    <w:p w:rsidR="005275CA" w:rsidRPr="00B577E2" w:rsidRDefault="005275CA" w:rsidP="00FF409B">
      <w:pPr>
        <w:spacing w:after="0" w:line="240" w:lineRule="auto"/>
        <w:ind w:firstLine="432"/>
        <w:jc w:val="both"/>
        <w:rPr>
          <w:rFonts w:ascii="Times New Roman" w:hAnsi="Times New Roman"/>
        </w:rPr>
      </w:pPr>
      <w:r w:rsidRPr="00B577E2">
        <w:rPr>
          <w:rFonts w:ascii="Times New Roman" w:hAnsi="Times New Roman"/>
          <w:b/>
        </w:rPr>
        <w:t>5</w:t>
      </w:r>
      <w:r w:rsidRPr="00C25082">
        <w:rPr>
          <w:rFonts w:ascii="Times New Roman" w:hAnsi="Times New Roman"/>
          <w:b/>
        </w:rPr>
        <w:t>.</w:t>
      </w:r>
      <w:r>
        <w:rPr>
          <w:rFonts w:ascii="Times New Roman" w:hAnsi="Times New Roman"/>
        </w:rPr>
        <w:tab/>
      </w:r>
      <w:r w:rsidRPr="00B577E2">
        <w:rPr>
          <w:rFonts w:ascii="Times New Roman" w:hAnsi="Times New Roman"/>
        </w:rPr>
        <w:t xml:space="preserve">Section sixty </w:t>
      </w:r>
      <w:r w:rsidRPr="002C28D2">
        <w:rPr>
          <w:rFonts w:ascii="Times New Roman" w:hAnsi="Times New Roman"/>
          <w:smallCaps/>
        </w:rPr>
        <w:t>k</w:t>
      </w:r>
      <w:r w:rsidRPr="00B577E2">
        <w:rPr>
          <w:rFonts w:ascii="Times New Roman" w:hAnsi="Times New Roman"/>
        </w:rPr>
        <w:t xml:space="preserve"> of the Principal Act is amended—</w:t>
      </w:r>
    </w:p>
    <w:p w:rsidR="005275CA" w:rsidRPr="00B577E2" w:rsidRDefault="005275CA" w:rsidP="00FF409B">
      <w:pPr>
        <w:spacing w:after="0" w:line="240" w:lineRule="auto"/>
        <w:ind w:left="1152" w:hanging="576"/>
        <w:jc w:val="both"/>
        <w:rPr>
          <w:rFonts w:ascii="Times New Roman" w:hAnsi="Times New Roman"/>
        </w:rPr>
      </w:pPr>
      <w:r w:rsidRPr="00B577E2">
        <w:rPr>
          <w:rFonts w:ascii="Times New Roman" w:hAnsi="Times New Roman"/>
        </w:rPr>
        <w:t>(</w:t>
      </w:r>
      <w:r w:rsidRPr="00B577E2">
        <w:rPr>
          <w:rFonts w:ascii="Times New Roman" w:hAnsi="Times New Roman"/>
          <w:i/>
        </w:rPr>
        <w:t>a</w:t>
      </w:r>
      <w:r w:rsidRPr="00B577E2">
        <w:rPr>
          <w:rFonts w:ascii="Times New Roman" w:hAnsi="Times New Roman"/>
        </w:rPr>
        <w:t xml:space="preserve">) by omitting from sub-section (1.) the words </w:t>
      </w:r>
      <w:r w:rsidR="001B490A">
        <w:rPr>
          <w:rFonts w:ascii="Times New Roman" w:hAnsi="Times New Roman"/>
        </w:rPr>
        <w:t>“</w:t>
      </w:r>
      <w:r w:rsidRPr="00B577E2">
        <w:rPr>
          <w:rFonts w:ascii="Times New Roman" w:hAnsi="Times New Roman"/>
        </w:rPr>
        <w:t>coin and bullion</w:t>
      </w:r>
      <w:r w:rsidR="001B490A">
        <w:rPr>
          <w:rFonts w:ascii="Times New Roman" w:hAnsi="Times New Roman"/>
        </w:rPr>
        <w:t>”</w:t>
      </w:r>
      <w:r w:rsidRPr="00B577E2">
        <w:rPr>
          <w:rFonts w:ascii="Times New Roman" w:hAnsi="Times New Roman"/>
        </w:rPr>
        <w:t xml:space="preserve"> and inserting in their stead the words </w:t>
      </w:r>
      <w:r w:rsidR="001B490A">
        <w:rPr>
          <w:rFonts w:ascii="Times New Roman" w:hAnsi="Times New Roman"/>
        </w:rPr>
        <w:t>“</w:t>
      </w:r>
      <w:r w:rsidRPr="00B577E2">
        <w:rPr>
          <w:rFonts w:ascii="Times New Roman" w:hAnsi="Times New Roman"/>
        </w:rPr>
        <w:t>or in English sterling or partly in gold and partly in English sterling</w:t>
      </w:r>
      <w:r w:rsidR="001B490A">
        <w:rPr>
          <w:rFonts w:ascii="Times New Roman" w:hAnsi="Times New Roman"/>
        </w:rPr>
        <w:t>”</w:t>
      </w:r>
      <w:r w:rsidRPr="00B577E2">
        <w:rPr>
          <w:rFonts w:ascii="Times New Roman" w:hAnsi="Times New Roman"/>
        </w:rPr>
        <w:t>; and</w:t>
      </w:r>
    </w:p>
    <w:p w:rsidR="005275CA" w:rsidRPr="00B577E2" w:rsidRDefault="005275CA" w:rsidP="000B4423">
      <w:pPr>
        <w:spacing w:after="60" w:line="240" w:lineRule="auto"/>
        <w:ind w:left="1152" w:hanging="576"/>
        <w:jc w:val="both"/>
        <w:rPr>
          <w:rFonts w:ascii="Times New Roman" w:hAnsi="Times New Roman"/>
        </w:rPr>
      </w:pPr>
      <w:r w:rsidRPr="00B577E2">
        <w:rPr>
          <w:rFonts w:ascii="Times New Roman" w:hAnsi="Times New Roman"/>
        </w:rPr>
        <w:t>(</w:t>
      </w:r>
      <w:r w:rsidRPr="00B577E2">
        <w:rPr>
          <w:rFonts w:ascii="Times New Roman" w:hAnsi="Times New Roman"/>
          <w:i/>
        </w:rPr>
        <w:t>b</w:t>
      </w:r>
      <w:r w:rsidRPr="00B577E2">
        <w:rPr>
          <w:rFonts w:ascii="Times New Roman" w:hAnsi="Times New Roman"/>
        </w:rPr>
        <w:t>) by adding at the end thereof the following sub-sections:—</w:t>
      </w:r>
    </w:p>
    <w:p w:rsidR="005275CA" w:rsidRPr="00B577E2" w:rsidRDefault="001B490A" w:rsidP="00FF409B">
      <w:pPr>
        <w:tabs>
          <w:tab w:val="left" w:pos="990"/>
        </w:tabs>
        <w:spacing w:after="0" w:line="240" w:lineRule="auto"/>
        <w:ind w:firstLine="432"/>
        <w:jc w:val="both"/>
        <w:rPr>
          <w:rFonts w:ascii="Times New Roman" w:hAnsi="Times New Roman"/>
        </w:rPr>
      </w:pPr>
      <w:r>
        <w:rPr>
          <w:rFonts w:ascii="Times New Roman" w:hAnsi="Times New Roman"/>
        </w:rPr>
        <w:t>“</w:t>
      </w:r>
      <w:r w:rsidR="005275CA" w:rsidRPr="00B577E2">
        <w:rPr>
          <w:rFonts w:ascii="Times New Roman" w:hAnsi="Times New Roman"/>
        </w:rPr>
        <w:t>(3.)</w:t>
      </w:r>
      <w:r w:rsidR="00153C1A">
        <w:rPr>
          <w:rFonts w:ascii="Times New Roman" w:hAnsi="Times New Roman"/>
        </w:rPr>
        <w:tab/>
      </w:r>
      <w:r w:rsidR="005275CA" w:rsidRPr="00B577E2">
        <w:rPr>
          <w:rFonts w:ascii="Times New Roman" w:hAnsi="Times New Roman"/>
        </w:rPr>
        <w:t xml:space="preserve">For the purposes of the last preceding sub-section, notes of a denomination not exceeding One pound that have not been presented for payment within twenty years from the date of issue, and notes of a denomination exceeding One pound that have not been presented for payment within forty years from the date of issue, shall be </w:t>
      </w:r>
      <w:bookmarkStart w:id="0" w:name="_GoBack"/>
      <w:r w:rsidR="005275CA" w:rsidRPr="00B577E2">
        <w:rPr>
          <w:rFonts w:ascii="Times New Roman" w:hAnsi="Times New Roman"/>
        </w:rPr>
        <w:t>deemed</w:t>
      </w:r>
      <w:bookmarkEnd w:id="0"/>
      <w:r w:rsidR="005275CA" w:rsidRPr="00B577E2">
        <w:rPr>
          <w:rFonts w:ascii="Times New Roman" w:hAnsi="Times New Roman"/>
        </w:rPr>
        <w:t xml:space="preserve"> to have been redeemed and the amount of those notes shall be placed to the credit of a reserve account to which shall be debited the amount of any such notes subsequently presented and paid.</w:t>
      </w:r>
    </w:p>
    <w:p w:rsidR="005275CA" w:rsidRPr="00B577E2" w:rsidRDefault="001B490A" w:rsidP="00FF409B">
      <w:pPr>
        <w:tabs>
          <w:tab w:val="left" w:pos="990"/>
        </w:tabs>
        <w:spacing w:after="0" w:line="240" w:lineRule="auto"/>
        <w:ind w:firstLine="432"/>
        <w:jc w:val="both"/>
        <w:rPr>
          <w:rFonts w:ascii="Times New Roman" w:hAnsi="Times New Roman"/>
        </w:rPr>
      </w:pPr>
      <w:r>
        <w:rPr>
          <w:rFonts w:ascii="Times New Roman" w:hAnsi="Times New Roman"/>
        </w:rPr>
        <w:t>“</w:t>
      </w:r>
      <w:r w:rsidR="005275CA" w:rsidRPr="00B577E2">
        <w:rPr>
          <w:rFonts w:ascii="Times New Roman" w:hAnsi="Times New Roman"/>
        </w:rPr>
        <w:t>(4.)</w:t>
      </w:r>
      <w:r w:rsidR="00153C1A">
        <w:rPr>
          <w:rFonts w:ascii="Times New Roman" w:hAnsi="Times New Roman"/>
        </w:rPr>
        <w:tab/>
      </w:r>
      <w:r w:rsidR="005275CA" w:rsidRPr="00B577E2">
        <w:rPr>
          <w:rFonts w:ascii="Times New Roman" w:hAnsi="Times New Roman"/>
        </w:rPr>
        <w:t xml:space="preserve">In the event of the sale of any of the gold held, at the commencement of this sub-section, in the reserve, the difference between the value of the gold as shown in the books of the Bank and the amount realized on the sale of the gold shall not be deemed to be profits within the meaning of section sixty </w:t>
      </w:r>
      <w:r w:rsidR="000B4423" w:rsidRPr="000B4423">
        <w:rPr>
          <w:rFonts w:ascii="Times New Roman" w:hAnsi="Times New Roman"/>
          <w:smallCaps/>
        </w:rPr>
        <w:t>j</w:t>
      </w:r>
      <w:r w:rsidR="005275CA" w:rsidRPr="00B577E2">
        <w:rPr>
          <w:rFonts w:ascii="Times New Roman" w:hAnsi="Times New Roman"/>
        </w:rPr>
        <w:t xml:space="preserve"> of this Act, but the amount of the difference shall be transferred to a special reserve account and shall be available, from time to time, as the Board determines, for the purpose of stabilizing exchange or for the purposes of the Note Issue Department.</w:t>
      </w:r>
      <w:r>
        <w:rPr>
          <w:rFonts w:ascii="Times New Roman" w:hAnsi="Times New Roman"/>
        </w:rPr>
        <w:t>”</w:t>
      </w:r>
      <w:r w:rsidR="005275CA" w:rsidRPr="00B577E2">
        <w:rPr>
          <w:rFonts w:ascii="Times New Roman" w:hAnsi="Times New Roman"/>
        </w:rPr>
        <w:t>.</w:t>
      </w:r>
    </w:p>
    <w:p w:rsidR="005275CA" w:rsidRPr="000B4423" w:rsidRDefault="005275CA" w:rsidP="000B4423">
      <w:pPr>
        <w:spacing w:before="120" w:after="60" w:line="240" w:lineRule="auto"/>
        <w:jc w:val="both"/>
        <w:rPr>
          <w:rFonts w:ascii="Times New Roman" w:hAnsi="Times New Roman" w:cs="Times New Roman"/>
          <w:b/>
          <w:sz w:val="20"/>
        </w:rPr>
      </w:pPr>
      <w:r w:rsidRPr="000B4423">
        <w:rPr>
          <w:rFonts w:ascii="Times New Roman" w:hAnsi="Times New Roman" w:cs="Times New Roman"/>
          <w:b/>
          <w:sz w:val="20"/>
        </w:rPr>
        <w:t>Monthly statement of notes issued and reserve held.</w:t>
      </w:r>
    </w:p>
    <w:p w:rsidR="005275CA" w:rsidRPr="000B4423" w:rsidRDefault="005275CA" w:rsidP="00FF409B">
      <w:pPr>
        <w:pStyle w:val="ListBullet"/>
        <w:numPr>
          <w:ilvl w:val="0"/>
          <w:numId w:val="0"/>
        </w:numPr>
        <w:ind w:firstLine="432"/>
        <w:jc w:val="both"/>
        <w:rPr>
          <w:rFonts w:ascii="Times New Roman" w:hAnsi="Times New Roman"/>
        </w:rPr>
      </w:pPr>
      <w:r w:rsidRPr="000B4423">
        <w:rPr>
          <w:rFonts w:ascii="Times New Roman" w:hAnsi="Times New Roman"/>
          <w:b/>
        </w:rPr>
        <w:t>6</w:t>
      </w:r>
      <w:r w:rsidRPr="000B4423">
        <w:rPr>
          <w:rFonts w:ascii="Times New Roman" w:hAnsi="Times New Roman"/>
        </w:rPr>
        <w:t>.</w:t>
      </w:r>
      <w:r w:rsidR="00153C1A" w:rsidRPr="000B4423">
        <w:rPr>
          <w:rFonts w:ascii="Times New Roman" w:hAnsi="Times New Roman"/>
        </w:rPr>
        <w:tab/>
      </w:r>
      <w:r w:rsidRPr="000B4423">
        <w:rPr>
          <w:rFonts w:ascii="Times New Roman" w:hAnsi="Times New Roman"/>
        </w:rPr>
        <w:t xml:space="preserve">Section sixty </w:t>
      </w:r>
      <w:r w:rsidR="00BC63EB" w:rsidRPr="000B4423">
        <w:rPr>
          <w:rFonts w:ascii="Times New Roman" w:hAnsi="Times New Roman"/>
          <w:smallCaps/>
        </w:rPr>
        <w:t>l</w:t>
      </w:r>
      <w:r w:rsidRPr="000B4423">
        <w:rPr>
          <w:rFonts w:ascii="Times New Roman" w:hAnsi="Times New Roman"/>
        </w:rPr>
        <w:t xml:space="preserve"> of the Principal Act is amended by omitting from paragraph (</w:t>
      </w:r>
      <w:r w:rsidRPr="000B4423">
        <w:rPr>
          <w:rFonts w:ascii="Times New Roman" w:hAnsi="Times New Roman"/>
          <w:i/>
        </w:rPr>
        <w:t>b</w:t>
      </w:r>
      <w:r w:rsidRPr="000B4423">
        <w:rPr>
          <w:rFonts w:ascii="Times New Roman" w:hAnsi="Times New Roman"/>
        </w:rPr>
        <w:t>) of sub-section</w:t>
      </w:r>
      <w:r w:rsidR="00C25082">
        <w:rPr>
          <w:rFonts w:ascii="Times New Roman" w:hAnsi="Times New Roman"/>
        </w:rPr>
        <w:t> </w:t>
      </w:r>
      <w:r w:rsidRPr="000B4423">
        <w:rPr>
          <w:rFonts w:ascii="Times New Roman" w:hAnsi="Times New Roman"/>
        </w:rPr>
        <w:t xml:space="preserve">(1.) the words </w:t>
      </w:r>
      <w:r w:rsidR="00554409" w:rsidRPr="000B4423">
        <w:rPr>
          <w:rFonts w:ascii="Times New Roman" w:hAnsi="Times New Roman"/>
        </w:rPr>
        <w:t>“</w:t>
      </w:r>
      <w:r w:rsidRPr="000B4423">
        <w:rPr>
          <w:rFonts w:ascii="Times New Roman" w:hAnsi="Times New Roman"/>
        </w:rPr>
        <w:t>the amount of gold coin</w:t>
      </w:r>
      <w:r w:rsidR="001B490A" w:rsidRPr="000B4423">
        <w:rPr>
          <w:rFonts w:ascii="Times New Roman" w:hAnsi="Times New Roman"/>
        </w:rPr>
        <w:t>”</w:t>
      </w:r>
      <w:r w:rsidRPr="000B4423">
        <w:rPr>
          <w:rFonts w:ascii="Times New Roman" w:hAnsi="Times New Roman"/>
        </w:rPr>
        <w:t xml:space="preserve"> and inserting in their stead the words </w:t>
      </w:r>
      <w:r w:rsidR="001B490A" w:rsidRPr="000B4423">
        <w:rPr>
          <w:rFonts w:ascii="Times New Roman" w:hAnsi="Times New Roman"/>
        </w:rPr>
        <w:t>“</w:t>
      </w:r>
      <w:r w:rsidRPr="000B4423">
        <w:rPr>
          <w:rFonts w:ascii="Times New Roman" w:hAnsi="Times New Roman"/>
        </w:rPr>
        <w:t>particulars of the reserve</w:t>
      </w:r>
      <w:r w:rsidR="001B490A" w:rsidRPr="000B4423">
        <w:rPr>
          <w:rFonts w:ascii="Times New Roman" w:hAnsi="Times New Roman"/>
        </w:rPr>
        <w:t>”</w:t>
      </w:r>
      <w:r w:rsidRPr="000B4423">
        <w:rPr>
          <w:rFonts w:ascii="Times New Roman" w:hAnsi="Times New Roman"/>
        </w:rPr>
        <w:t>.</w:t>
      </w:r>
    </w:p>
    <w:sectPr w:rsidR="005275CA" w:rsidRPr="000B4423" w:rsidSect="002A5B24">
      <w:headerReference w:type="even" r:id="rId8"/>
      <w:head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542" w:rsidRDefault="00006542" w:rsidP="008A6338">
      <w:pPr>
        <w:spacing w:after="0" w:line="240" w:lineRule="auto"/>
      </w:pPr>
      <w:r>
        <w:separator/>
      </w:r>
    </w:p>
  </w:endnote>
  <w:endnote w:type="continuationSeparator" w:id="0">
    <w:p w:rsidR="00006542" w:rsidRDefault="00006542" w:rsidP="008A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542" w:rsidRDefault="00006542" w:rsidP="008A6338">
      <w:pPr>
        <w:spacing w:after="0" w:line="240" w:lineRule="auto"/>
      </w:pPr>
      <w:r>
        <w:separator/>
      </w:r>
    </w:p>
  </w:footnote>
  <w:footnote w:type="continuationSeparator" w:id="0">
    <w:p w:rsidR="00006542" w:rsidRDefault="00006542" w:rsidP="008A6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38" w:rsidRPr="008A6338" w:rsidRDefault="00952525" w:rsidP="00981B3E">
    <w:pPr>
      <w:pStyle w:val="Header"/>
      <w:tabs>
        <w:tab w:val="clear" w:pos="9360"/>
        <w:tab w:val="right" w:pos="8640"/>
      </w:tabs>
      <w:rPr>
        <w:rFonts w:ascii="Times New Roman" w:hAnsi="Times New Roman"/>
        <w:sz w:val="20"/>
      </w:rPr>
    </w:pPr>
    <w:r>
      <w:rPr>
        <w:rFonts w:ascii="Times New Roman" w:hAnsi="Times New Roman"/>
        <w:sz w:val="20"/>
      </w:rPr>
      <w:t>1932</w:t>
    </w:r>
    <w:r w:rsidR="008A6338" w:rsidRPr="008A6338">
      <w:rPr>
        <w:rFonts w:ascii="Times New Roman" w:hAnsi="Times New Roman"/>
        <w:sz w:val="20"/>
      </w:rPr>
      <w:ptab w:relativeTo="margin" w:alignment="center" w:leader="none"/>
    </w:r>
    <w:r w:rsidR="008A6338" w:rsidRPr="008A6338">
      <w:rPr>
        <w:rFonts w:ascii="Times New Roman" w:hAnsi="Times New Roman"/>
        <w:i/>
        <w:sz w:val="20"/>
      </w:rPr>
      <w:t>Commonwealth Bank.</w:t>
    </w:r>
    <w:r w:rsidR="00981B3E">
      <w:rPr>
        <w:rFonts w:ascii="Times New Roman" w:hAnsi="Times New Roman"/>
        <w:i/>
        <w:sz w:val="20"/>
      </w:rPr>
      <w:tab/>
    </w:r>
    <w:r w:rsidRPr="008A6338">
      <w:rPr>
        <w:rFonts w:ascii="Times New Roman" w:hAnsi="Times New Roman"/>
        <w:sz w:val="20"/>
      </w:rPr>
      <w:t>No. 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38" w:rsidRPr="008A6338" w:rsidRDefault="008A6338" w:rsidP="00F115A3">
    <w:pPr>
      <w:pStyle w:val="Header"/>
      <w:tabs>
        <w:tab w:val="clear" w:pos="9360"/>
        <w:tab w:val="right" w:pos="8640"/>
      </w:tabs>
      <w:rPr>
        <w:rFonts w:ascii="Times New Roman" w:hAnsi="Times New Roman"/>
        <w:sz w:val="20"/>
      </w:rPr>
    </w:pPr>
    <w:r w:rsidRPr="008A6338">
      <w:rPr>
        <w:rFonts w:ascii="Times New Roman" w:hAnsi="Times New Roman"/>
        <w:sz w:val="20"/>
      </w:rPr>
      <w:t>No. 16.</w:t>
    </w:r>
    <w:r w:rsidRPr="008A6338">
      <w:rPr>
        <w:rFonts w:ascii="Times New Roman" w:hAnsi="Times New Roman"/>
        <w:sz w:val="20"/>
      </w:rPr>
      <w:ptab w:relativeTo="margin" w:alignment="center" w:leader="none"/>
    </w:r>
    <w:r w:rsidRPr="008A6338">
      <w:rPr>
        <w:rFonts w:ascii="Times New Roman" w:hAnsi="Times New Roman"/>
        <w:i/>
        <w:sz w:val="20"/>
      </w:rPr>
      <w:t>Commonwealth Bank.</w:t>
    </w:r>
    <w:r w:rsidR="00F115A3">
      <w:rPr>
        <w:rFonts w:ascii="Times New Roman" w:hAnsi="Times New Roman"/>
        <w:i/>
        <w:sz w:val="20"/>
      </w:rPr>
      <w:tab/>
    </w:r>
    <w:r w:rsidRPr="008A6338">
      <w:rPr>
        <w:rFonts w:ascii="Times New Roman" w:hAnsi="Times New Roman"/>
        <w:sz w:val="20"/>
      </w:rPr>
      <w:t>1932.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FEAD51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C13144"/>
    <w:rsid w:val="00006542"/>
    <w:rsid w:val="000B4423"/>
    <w:rsid w:val="000C1694"/>
    <w:rsid w:val="00117072"/>
    <w:rsid w:val="00153C1A"/>
    <w:rsid w:val="00176FDC"/>
    <w:rsid w:val="001B490A"/>
    <w:rsid w:val="001C0D5F"/>
    <w:rsid w:val="00200A4A"/>
    <w:rsid w:val="002A4B5B"/>
    <w:rsid w:val="002A5B24"/>
    <w:rsid w:val="002A614A"/>
    <w:rsid w:val="002C28D2"/>
    <w:rsid w:val="00341E90"/>
    <w:rsid w:val="003E506E"/>
    <w:rsid w:val="0045663D"/>
    <w:rsid w:val="00472186"/>
    <w:rsid w:val="005239F1"/>
    <w:rsid w:val="005275CA"/>
    <w:rsid w:val="00554409"/>
    <w:rsid w:val="005D5405"/>
    <w:rsid w:val="006C0D39"/>
    <w:rsid w:val="007B3CC9"/>
    <w:rsid w:val="00810F6D"/>
    <w:rsid w:val="00851774"/>
    <w:rsid w:val="008A6338"/>
    <w:rsid w:val="008B2EDF"/>
    <w:rsid w:val="009125A8"/>
    <w:rsid w:val="00925E76"/>
    <w:rsid w:val="00952525"/>
    <w:rsid w:val="00981B3E"/>
    <w:rsid w:val="009821AC"/>
    <w:rsid w:val="00A30487"/>
    <w:rsid w:val="00AE7BC5"/>
    <w:rsid w:val="00B577E2"/>
    <w:rsid w:val="00B76F44"/>
    <w:rsid w:val="00B941D1"/>
    <w:rsid w:val="00BC63EB"/>
    <w:rsid w:val="00C13144"/>
    <w:rsid w:val="00C25082"/>
    <w:rsid w:val="00CB4411"/>
    <w:rsid w:val="00E039E0"/>
    <w:rsid w:val="00F115A3"/>
    <w:rsid w:val="00F9482D"/>
    <w:rsid w:val="00FC5682"/>
    <w:rsid w:val="00FF4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5177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5177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5177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5177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5177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5177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5177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51774"/>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851774"/>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851774"/>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851774"/>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851774"/>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851774"/>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851774"/>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851774"/>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851774"/>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851774"/>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851774"/>
    <w:rPr>
      <w:rFonts w:ascii="Times New Roman" w:eastAsia="Times New Roman" w:hAnsi="Times New Roman" w:cs="Times New Roman"/>
      <w:b w:val="0"/>
      <w:bCs w:val="0"/>
      <w:i/>
      <w:iCs/>
      <w:smallCaps w:val="0"/>
      <w:sz w:val="26"/>
      <w:szCs w:val="26"/>
    </w:rPr>
  </w:style>
  <w:style w:type="character" w:customStyle="1" w:styleId="CharStyle5">
    <w:name w:val="CharStyle5"/>
    <w:basedOn w:val="DefaultParagraphFont"/>
    <w:rsid w:val="00851774"/>
    <w:rPr>
      <w:rFonts w:ascii="Times New Roman" w:eastAsia="Times New Roman" w:hAnsi="Times New Roman" w:cs="Times New Roman"/>
      <w:b w:val="0"/>
      <w:bCs w:val="0"/>
      <w:i w:val="0"/>
      <w:iCs w:val="0"/>
      <w:smallCaps w:val="0"/>
      <w:spacing w:val="10"/>
      <w:sz w:val="26"/>
      <w:szCs w:val="26"/>
    </w:rPr>
  </w:style>
  <w:style w:type="character" w:customStyle="1" w:styleId="CharStyle8">
    <w:name w:val="CharStyle8"/>
    <w:basedOn w:val="DefaultParagraphFont"/>
    <w:rsid w:val="00851774"/>
    <w:rPr>
      <w:rFonts w:ascii="Times New Roman" w:eastAsia="Times New Roman" w:hAnsi="Times New Roman" w:cs="Times New Roman"/>
      <w:b/>
      <w:bCs/>
      <w:i w:val="0"/>
      <w:iCs w:val="0"/>
      <w:smallCaps w:val="0"/>
      <w:sz w:val="22"/>
      <w:szCs w:val="22"/>
    </w:rPr>
  </w:style>
  <w:style w:type="character" w:customStyle="1" w:styleId="CharStyle9">
    <w:name w:val="CharStyle9"/>
    <w:basedOn w:val="DefaultParagraphFont"/>
    <w:rsid w:val="00851774"/>
    <w:rPr>
      <w:rFonts w:ascii="Times New Roman" w:eastAsia="Times New Roman" w:hAnsi="Times New Roman" w:cs="Times New Roman"/>
      <w:b w:val="0"/>
      <w:bCs w:val="0"/>
      <w:i w:val="0"/>
      <w:iCs w:val="0"/>
      <w:smallCaps w:val="0"/>
      <w:sz w:val="56"/>
      <w:szCs w:val="56"/>
    </w:rPr>
  </w:style>
  <w:style w:type="character" w:customStyle="1" w:styleId="CharStyle24">
    <w:name w:val="CharStyle24"/>
    <w:basedOn w:val="DefaultParagraphFont"/>
    <w:rsid w:val="00851774"/>
    <w:rPr>
      <w:rFonts w:ascii="Times New Roman" w:eastAsia="Times New Roman" w:hAnsi="Times New Roman" w:cs="Times New Roman"/>
      <w:b/>
      <w:bCs/>
      <w:i w:val="0"/>
      <w:iCs w:val="0"/>
      <w:smallCaps w:val="0"/>
      <w:sz w:val="14"/>
      <w:szCs w:val="14"/>
    </w:rPr>
  </w:style>
  <w:style w:type="character" w:customStyle="1" w:styleId="CharStyle27">
    <w:name w:val="CharStyle27"/>
    <w:basedOn w:val="DefaultParagraphFont"/>
    <w:rsid w:val="00851774"/>
    <w:rPr>
      <w:rFonts w:ascii="Times New Roman" w:eastAsia="Times New Roman" w:hAnsi="Times New Roman" w:cs="Times New Roman"/>
      <w:b/>
      <w:bCs/>
      <w:i/>
      <w:iCs/>
      <w:smallCaps w:val="0"/>
      <w:sz w:val="18"/>
      <w:szCs w:val="18"/>
    </w:rPr>
  </w:style>
  <w:style w:type="character" w:customStyle="1" w:styleId="CharStyle33">
    <w:name w:val="CharStyle33"/>
    <w:basedOn w:val="DefaultParagraphFont"/>
    <w:rsid w:val="00851774"/>
    <w:rPr>
      <w:rFonts w:ascii="Bookman Old Style" w:eastAsia="Bookman Old Style" w:hAnsi="Bookman Old Style" w:cs="Bookman Old Style"/>
      <w:b/>
      <w:bCs/>
      <w:i w:val="0"/>
      <w:iCs w:val="0"/>
      <w:smallCaps w:val="0"/>
      <w:sz w:val="18"/>
      <w:szCs w:val="18"/>
    </w:rPr>
  </w:style>
  <w:style w:type="character" w:customStyle="1" w:styleId="CharStyle41">
    <w:name w:val="CharStyle41"/>
    <w:basedOn w:val="DefaultParagraphFont"/>
    <w:rsid w:val="00851774"/>
    <w:rPr>
      <w:rFonts w:ascii="Times New Roman" w:eastAsia="Times New Roman" w:hAnsi="Times New Roman" w:cs="Times New Roman"/>
      <w:b/>
      <w:bCs/>
      <w:i w:val="0"/>
      <w:iCs w:val="0"/>
      <w:smallCaps/>
      <w:sz w:val="18"/>
      <w:szCs w:val="18"/>
    </w:rPr>
  </w:style>
  <w:style w:type="character" w:customStyle="1" w:styleId="CharStyle42">
    <w:name w:val="CharStyle42"/>
    <w:basedOn w:val="DefaultParagraphFont"/>
    <w:rsid w:val="00851774"/>
    <w:rPr>
      <w:rFonts w:ascii="Times New Roman" w:eastAsia="Times New Roman" w:hAnsi="Times New Roman" w:cs="Times New Roman"/>
      <w:b/>
      <w:bCs/>
      <w:i w:val="0"/>
      <w:iCs w:val="0"/>
      <w:smallCaps w:val="0"/>
      <w:sz w:val="18"/>
      <w:szCs w:val="18"/>
    </w:rPr>
  </w:style>
  <w:style w:type="paragraph" w:styleId="ListBullet">
    <w:name w:val="List Bullet"/>
    <w:basedOn w:val="Normal"/>
    <w:uiPriority w:val="99"/>
    <w:unhideWhenUsed/>
    <w:rsid w:val="002C28D2"/>
    <w:pPr>
      <w:numPr>
        <w:numId w:val="1"/>
      </w:numPr>
      <w:contextualSpacing/>
    </w:pPr>
  </w:style>
  <w:style w:type="paragraph" w:styleId="Header">
    <w:name w:val="header"/>
    <w:basedOn w:val="Normal"/>
    <w:link w:val="HeaderChar"/>
    <w:uiPriority w:val="99"/>
    <w:semiHidden/>
    <w:unhideWhenUsed/>
    <w:rsid w:val="008A63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338"/>
  </w:style>
  <w:style w:type="paragraph" w:styleId="Footer">
    <w:name w:val="footer"/>
    <w:basedOn w:val="Normal"/>
    <w:link w:val="FooterChar"/>
    <w:uiPriority w:val="99"/>
    <w:semiHidden/>
    <w:unhideWhenUsed/>
    <w:rsid w:val="008A63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6338"/>
  </w:style>
  <w:style w:type="paragraph" w:styleId="BalloonText">
    <w:name w:val="Balloon Text"/>
    <w:basedOn w:val="Normal"/>
    <w:link w:val="BalloonTextChar"/>
    <w:uiPriority w:val="99"/>
    <w:semiHidden/>
    <w:unhideWhenUsed/>
    <w:rsid w:val="008A6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3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39</cp:revision>
  <dcterms:created xsi:type="dcterms:W3CDTF">2017-04-07T03:59:00Z</dcterms:created>
  <dcterms:modified xsi:type="dcterms:W3CDTF">2017-08-28T20:21:00Z</dcterms:modified>
</cp:coreProperties>
</file>