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33" w:rsidRPr="0073120F" w:rsidRDefault="00363333" w:rsidP="0073120F">
      <w:pPr>
        <w:jc w:val="center"/>
        <w:rPr>
          <w:sz w:val="36"/>
          <w:szCs w:val="36"/>
        </w:rPr>
      </w:pPr>
      <w:r w:rsidRPr="0073120F">
        <w:rPr>
          <w:sz w:val="36"/>
          <w:szCs w:val="36"/>
        </w:rPr>
        <w:t>SULPHUR BOUNTY.</w:t>
      </w:r>
    </w:p>
    <w:p w:rsidR="0073120F" w:rsidRPr="00C613AC" w:rsidRDefault="0073120F" w:rsidP="00C613AC">
      <w:pPr>
        <w:pBdr>
          <w:bottom w:val="single" w:sz="4" w:space="1" w:color="auto"/>
        </w:pBdr>
        <w:spacing w:before="120" w:after="120"/>
        <w:ind w:left="3888" w:right="3888"/>
        <w:jc w:val="center"/>
        <w:rPr>
          <w:b/>
          <w:sz w:val="28"/>
        </w:rPr>
      </w:pPr>
    </w:p>
    <w:p w:rsidR="00CE7AEE" w:rsidRPr="0073120F" w:rsidRDefault="00B90914" w:rsidP="0073120F">
      <w:pPr>
        <w:spacing w:before="120" w:after="120"/>
        <w:jc w:val="center"/>
        <w:rPr>
          <w:sz w:val="28"/>
          <w:szCs w:val="28"/>
        </w:rPr>
      </w:pPr>
      <w:r w:rsidRPr="0073120F">
        <w:rPr>
          <w:b/>
          <w:sz w:val="28"/>
          <w:szCs w:val="28"/>
        </w:rPr>
        <w:t>No. 21 of 1923.</w:t>
      </w:r>
    </w:p>
    <w:p w:rsidR="00363333" w:rsidRPr="003947AB" w:rsidRDefault="00363333" w:rsidP="009C13FC">
      <w:pPr>
        <w:jc w:val="center"/>
        <w:rPr>
          <w:sz w:val="26"/>
          <w:szCs w:val="26"/>
        </w:rPr>
      </w:pPr>
      <w:r w:rsidRPr="003947AB">
        <w:rPr>
          <w:sz w:val="26"/>
          <w:szCs w:val="26"/>
        </w:rPr>
        <w:t>An Act to provide for the Payment of a Bounty on Sulphur.</w:t>
      </w:r>
    </w:p>
    <w:p w:rsidR="00363333" w:rsidRPr="003947AB" w:rsidRDefault="00363333" w:rsidP="003947AB">
      <w:pPr>
        <w:spacing w:before="120" w:after="120"/>
        <w:jc w:val="right"/>
        <w:rPr>
          <w:sz w:val="26"/>
          <w:szCs w:val="26"/>
        </w:rPr>
      </w:pPr>
      <w:r w:rsidRPr="003947AB">
        <w:rPr>
          <w:sz w:val="26"/>
          <w:szCs w:val="26"/>
        </w:rPr>
        <w:t xml:space="preserve">[Assented to </w:t>
      </w:r>
      <w:r w:rsidR="002F375A">
        <w:rPr>
          <w:sz w:val="26"/>
          <w:szCs w:val="26"/>
        </w:rPr>
        <w:t>1</w:t>
      </w:r>
      <w:r w:rsidRPr="003947AB">
        <w:rPr>
          <w:sz w:val="26"/>
          <w:szCs w:val="26"/>
        </w:rPr>
        <w:t>st September, 1923.]</w:t>
      </w:r>
    </w:p>
    <w:p w:rsidR="00CE7AEE" w:rsidRPr="003947AB" w:rsidRDefault="00B90914" w:rsidP="003A14B5">
      <w:pPr>
        <w:widowControl/>
        <w:spacing w:after="60"/>
        <w:jc w:val="both"/>
        <w:rPr>
          <w:b/>
          <w:sz w:val="20"/>
        </w:rPr>
      </w:pPr>
      <w:r w:rsidRPr="003947AB">
        <w:rPr>
          <w:b/>
          <w:sz w:val="20"/>
        </w:rPr>
        <w:t>Preamble.</w:t>
      </w:r>
    </w:p>
    <w:p w:rsidR="00363333" w:rsidRPr="006A1DAC" w:rsidRDefault="00363333" w:rsidP="0096725C">
      <w:pPr>
        <w:jc w:val="both"/>
        <w:rPr>
          <w:sz w:val="22"/>
          <w:szCs w:val="22"/>
        </w:rPr>
      </w:pPr>
      <w:r w:rsidRPr="006A1DAC">
        <w:rPr>
          <w:sz w:val="22"/>
          <w:szCs w:val="22"/>
        </w:rPr>
        <w:t>BE it enacted by the King</w:t>
      </w:r>
      <w:r w:rsidR="00752E89" w:rsidRPr="006A1DAC">
        <w:rPr>
          <w:sz w:val="22"/>
          <w:szCs w:val="22"/>
        </w:rPr>
        <w:t>’</w:t>
      </w:r>
      <w:r w:rsidRPr="006A1DAC">
        <w:rPr>
          <w:sz w:val="22"/>
          <w:szCs w:val="22"/>
        </w:rPr>
        <w:t xml:space="preserve">s Most Excellent Majesty, the Senate, and the House of Representatives of the Commonwealth </w:t>
      </w:r>
      <w:bookmarkStart w:id="0" w:name="_GoBack"/>
      <w:bookmarkEnd w:id="0"/>
      <w:r w:rsidRPr="006A1DAC">
        <w:rPr>
          <w:sz w:val="22"/>
          <w:szCs w:val="22"/>
        </w:rPr>
        <w:t>of Australia, for the purpose of appropriating the grant originated in the House</w:t>
      </w:r>
      <w:r w:rsidR="002F375A" w:rsidRPr="006A1DAC">
        <w:rPr>
          <w:sz w:val="22"/>
          <w:szCs w:val="22"/>
        </w:rPr>
        <w:t xml:space="preserve"> of Representatives, as follows</w:t>
      </w:r>
      <w:r w:rsidRPr="006A1DAC">
        <w:rPr>
          <w:sz w:val="22"/>
          <w:szCs w:val="22"/>
        </w:rPr>
        <w:t>:—</w:t>
      </w:r>
    </w:p>
    <w:p w:rsidR="00CE7AEE" w:rsidRPr="003947AB" w:rsidRDefault="00B90914" w:rsidP="0096725C">
      <w:pPr>
        <w:widowControl/>
        <w:spacing w:before="120" w:after="60"/>
        <w:jc w:val="both"/>
        <w:rPr>
          <w:b/>
          <w:sz w:val="20"/>
        </w:rPr>
      </w:pPr>
      <w:r w:rsidRPr="003947AB">
        <w:rPr>
          <w:b/>
          <w:sz w:val="20"/>
        </w:rPr>
        <w:t>Short title and commencement.</w:t>
      </w:r>
    </w:p>
    <w:p w:rsidR="00363333" w:rsidRPr="009A1E5E" w:rsidRDefault="00363333" w:rsidP="009D2996">
      <w:pPr>
        <w:widowControl/>
        <w:tabs>
          <w:tab w:val="left" w:pos="810"/>
        </w:tabs>
        <w:ind w:firstLine="432"/>
        <w:jc w:val="both"/>
        <w:rPr>
          <w:sz w:val="22"/>
        </w:rPr>
      </w:pPr>
      <w:r w:rsidRPr="00CE43AB">
        <w:rPr>
          <w:b/>
          <w:sz w:val="22"/>
        </w:rPr>
        <w:t>1.</w:t>
      </w:r>
      <w:r w:rsidR="003947AB">
        <w:rPr>
          <w:sz w:val="22"/>
        </w:rPr>
        <w:tab/>
      </w:r>
      <w:r w:rsidRPr="009A1E5E">
        <w:rPr>
          <w:sz w:val="22"/>
        </w:rPr>
        <w:t xml:space="preserve">This Act may be cited as the </w:t>
      </w:r>
      <w:r w:rsidR="00B90914" w:rsidRPr="009A1E5E">
        <w:rPr>
          <w:i/>
          <w:sz w:val="22"/>
        </w:rPr>
        <w:t xml:space="preserve">Sulphur Bounty Act </w:t>
      </w:r>
      <w:r w:rsidRPr="009A1E5E">
        <w:rPr>
          <w:sz w:val="22"/>
        </w:rPr>
        <w:t>1923, and shall commence on a date to be fixed by Proclamation.</w:t>
      </w:r>
    </w:p>
    <w:p w:rsidR="00CE7AEE" w:rsidRPr="003947AB" w:rsidRDefault="00B90914" w:rsidP="0096725C">
      <w:pPr>
        <w:widowControl/>
        <w:spacing w:before="120" w:after="60"/>
        <w:jc w:val="both"/>
        <w:rPr>
          <w:b/>
          <w:sz w:val="20"/>
        </w:rPr>
      </w:pPr>
      <w:r w:rsidRPr="003947AB">
        <w:rPr>
          <w:b/>
          <w:sz w:val="20"/>
        </w:rPr>
        <w:t>Appropriation for payment of bounty.</w:t>
      </w:r>
    </w:p>
    <w:p w:rsidR="00363333" w:rsidRPr="009A1E5E" w:rsidRDefault="00B90914" w:rsidP="009D2996">
      <w:pPr>
        <w:widowControl/>
        <w:tabs>
          <w:tab w:val="left" w:pos="810"/>
        </w:tabs>
        <w:ind w:firstLine="432"/>
        <w:jc w:val="both"/>
        <w:rPr>
          <w:sz w:val="22"/>
        </w:rPr>
      </w:pPr>
      <w:r w:rsidRPr="009A1E5E">
        <w:rPr>
          <w:b/>
          <w:sz w:val="22"/>
        </w:rPr>
        <w:t>2.</w:t>
      </w:r>
      <w:r w:rsidR="00F16058">
        <w:rPr>
          <w:b/>
          <w:sz w:val="22"/>
        </w:rPr>
        <w:tab/>
      </w:r>
      <w:r w:rsidR="00363333" w:rsidRPr="009A1E5E">
        <w:rPr>
          <w:sz w:val="22"/>
        </w:rPr>
        <w:t>There shall be payable out of the Consolidated Revenue Fund, which is hereby appropriated accordingly, the bounty specified in this Act.</w:t>
      </w:r>
    </w:p>
    <w:p w:rsidR="00CE7AEE" w:rsidRPr="00F16058" w:rsidRDefault="00B90914" w:rsidP="0096725C">
      <w:pPr>
        <w:widowControl/>
        <w:spacing w:before="120" w:after="60"/>
        <w:jc w:val="both"/>
        <w:rPr>
          <w:b/>
          <w:sz w:val="20"/>
        </w:rPr>
      </w:pPr>
      <w:r w:rsidRPr="00F16058">
        <w:rPr>
          <w:b/>
          <w:sz w:val="20"/>
        </w:rPr>
        <w:t>Specification of bounty.</w:t>
      </w:r>
    </w:p>
    <w:p w:rsidR="00363333" w:rsidRPr="009A1E5E" w:rsidRDefault="00B90914" w:rsidP="0096725C">
      <w:pPr>
        <w:widowControl/>
        <w:tabs>
          <w:tab w:val="left" w:pos="720"/>
        </w:tabs>
        <w:ind w:firstLine="432"/>
        <w:jc w:val="both"/>
        <w:rPr>
          <w:sz w:val="22"/>
        </w:rPr>
      </w:pPr>
      <w:r w:rsidRPr="009A1E5E">
        <w:rPr>
          <w:b/>
          <w:sz w:val="22"/>
        </w:rPr>
        <w:t>3.</w:t>
      </w:r>
      <w:r w:rsidR="00363333" w:rsidRPr="009A1E5E">
        <w:rPr>
          <w:sz w:val="22"/>
        </w:rPr>
        <w:t>—(1.)</w:t>
      </w:r>
      <w:r w:rsidR="00F16058">
        <w:rPr>
          <w:sz w:val="22"/>
        </w:rPr>
        <w:tab/>
      </w:r>
      <w:r w:rsidR="00363333" w:rsidRPr="009A1E5E">
        <w:rPr>
          <w:sz w:val="22"/>
        </w:rPr>
        <w:t xml:space="preserve">The bounty under this Act shall be payable in respect of the production in Australia, after the commencement of this Act, of </w:t>
      </w:r>
      <w:proofErr w:type="spellStart"/>
      <w:r w:rsidR="00363333" w:rsidRPr="009A1E5E">
        <w:rPr>
          <w:sz w:val="22"/>
        </w:rPr>
        <w:t>sulphur</w:t>
      </w:r>
      <w:proofErr w:type="spellEnd"/>
      <w:r w:rsidR="00363333" w:rsidRPr="009A1E5E">
        <w:rPr>
          <w:sz w:val="22"/>
        </w:rPr>
        <w:t xml:space="preserve"> from Australian pyrites and other </w:t>
      </w:r>
      <w:proofErr w:type="spellStart"/>
      <w:r w:rsidR="00363333" w:rsidRPr="009A1E5E">
        <w:rPr>
          <w:sz w:val="22"/>
        </w:rPr>
        <w:t>sulphide</w:t>
      </w:r>
      <w:proofErr w:type="spellEnd"/>
      <w:r w:rsidR="00363333" w:rsidRPr="009A1E5E">
        <w:rPr>
          <w:sz w:val="22"/>
        </w:rPr>
        <w:t xml:space="preserve"> ores or concentrates.</w:t>
      </w:r>
    </w:p>
    <w:p w:rsidR="00363333" w:rsidRPr="009A1E5E" w:rsidRDefault="00363333" w:rsidP="009D2996">
      <w:pPr>
        <w:widowControl/>
        <w:tabs>
          <w:tab w:val="left" w:pos="990"/>
        </w:tabs>
        <w:ind w:firstLine="432"/>
        <w:jc w:val="both"/>
        <w:rPr>
          <w:sz w:val="22"/>
        </w:rPr>
      </w:pPr>
      <w:r w:rsidRPr="009A1E5E">
        <w:rPr>
          <w:sz w:val="22"/>
        </w:rPr>
        <w:t>(2.)</w:t>
      </w:r>
      <w:r w:rsidR="00F16058">
        <w:rPr>
          <w:sz w:val="22"/>
        </w:rPr>
        <w:tab/>
      </w:r>
      <w:r w:rsidRPr="009A1E5E">
        <w:rPr>
          <w:sz w:val="22"/>
        </w:rPr>
        <w:t xml:space="preserve">The bounty payable in respect of the production of </w:t>
      </w:r>
      <w:proofErr w:type="spellStart"/>
      <w:r w:rsidRPr="009A1E5E">
        <w:rPr>
          <w:sz w:val="22"/>
        </w:rPr>
        <w:t>sulphur</w:t>
      </w:r>
      <w:proofErr w:type="spellEnd"/>
      <w:r w:rsidRPr="009A1E5E">
        <w:rPr>
          <w:sz w:val="22"/>
        </w:rPr>
        <w:t xml:space="preserve"> in accordance with this Act shall be payable at the rate of Two pounds five shillings per ton.</w:t>
      </w:r>
    </w:p>
    <w:p w:rsidR="00CE7AEE" w:rsidRPr="00F16058" w:rsidRDefault="00B90914" w:rsidP="0096725C">
      <w:pPr>
        <w:widowControl/>
        <w:spacing w:before="120" w:after="60"/>
        <w:jc w:val="both"/>
        <w:rPr>
          <w:b/>
          <w:sz w:val="20"/>
        </w:rPr>
      </w:pPr>
      <w:r w:rsidRPr="00F16058">
        <w:rPr>
          <w:b/>
          <w:sz w:val="20"/>
        </w:rPr>
        <w:t xml:space="preserve">Production of </w:t>
      </w:r>
      <w:proofErr w:type="spellStart"/>
      <w:r w:rsidRPr="00F16058">
        <w:rPr>
          <w:b/>
          <w:sz w:val="20"/>
        </w:rPr>
        <w:t>sulphur</w:t>
      </w:r>
      <w:proofErr w:type="spellEnd"/>
      <w:r w:rsidRPr="00F16058">
        <w:rPr>
          <w:b/>
          <w:sz w:val="20"/>
        </w:rPr>
        <w:t>.</w:t>
      </w:r>
    </w:p>
    <w:p w:rsidR="00363333" w:rsidRPr="009A1E5E" w:rsidRDefault="00B90914" w:rsidP="009D2996">
      <w:pPr>
        <w:widowControl/>
        <w:tabs>
          <w:tab w:val="left" w:pos="810"/>
        </w:tabs>
        <w:ind w:firstLine="432"/>
        <w:jc w:val="both"/>
        <w:rPr>
          <w:sz w:val="22"/>
        </w:rPr>
      </w:pPr>
      <w:r w:rsidRPr="009A1E5E">
        <w:rPr>
          <w:b/>
          <w:sz w:val="22"/>
        </w:rPr>
        <w:t>4.</w:t>
      </w:r>
      <w:r w:rsidR="00F16058">
        <w:rPr>
          <w:b/>
          <w:sz w:val="22"/>
        </w:rPr>
        <w:tab/>
      </w:r>
      <w:r w:rsidR="00363333" w:rsidRPr="009A1E5E">
        <w:rPr>
          <w:sz w:val="22"/>
        </w:rPr>
        <w:t xml:space="preserve">When </w:t>
      </w:r>
      <w:proofErr w:type="spellStart"/>
      <w:r w:rsidR="00363333" w:rsidRPr="009A1E5E">
        <w:rPr>
          <w:sz w:val="22"/>
        </w:rPr>
        <w:t>sulphuric</w:t>
      </w:r>
      <w:proofErr w:type="spellEnd"/>
      <w:r w:rsidR="00363333" w:rsidRPr="009A1E5E">
        <w:rPr>
          <w:sz w:val="22"/>
        </w:rPr>
        <w:t xml:space="preserve"> acid is produced in Australia from Australian pyrites or other </w:t>
      </w:r>
      <w:proofErr w:type="spellStart"/>
      <w:r w:rsidR="00363333" w:rsidRPr="009A1E5E">
        <w:rPr>
          <w:sz w:val="22"/>
        </w:rPr>
        <w:t>sulphide</w:t>
      </w:r>
      <w:proofErr w:type="spellEnd"/>
      <w:r w:rsidR="00363333" w:rsidRPr="009A1E5E">
        <w:rPr>
          <w:sz w:val="22"/>
        </w:rPr>
        <w:t xml:space="preserve"> ores or concentrates, </w:t>
      </w:r>
      <w:proofErr w:type="spellStart"/>
      <w:r w:rsidR="00363333" w:rsidRPr="009A1E5E">
        <w:rPr>
          <w:sz w:val="22"/>
        </w:rPr>
        <w:t>sulphur</w:t>
      </w:r>
      <w:proofErr w:type="spellEnd"/>
      <w:r w:rsidR="00363333" w:rsidRPr="009A1E5E">
        <w:rPr>
          <w:sz w:val="22"/>
        </w:rPr>
        <w:t xml:space="preserve"> shall, for the purposes of this Act, be deemed to have been produced to the quantity of the </w:t>
      </w:r>
      <w:proofErr w:type="spellStart"/>
      <w:r w:rsidR="00363333" w:rsidRPr="009A1E5E">
        <w:rPr>
          <w:sz w:val="22"/>
        </w:rPr>
        <w:t>sulphur</w:t>
      </w:r>
      <w:proofErr w:type="spellEnd"/>
      <w:r w:rsidR="00363333" w:rsidRPr="009A1E5E">
        <w:rPr>
          <w:sz w:val="22"/>
        </w:rPr>
        <w:t xml:space="preserve"> or brimstone of good commercial quality which it would be necessary to use in producing that </w:t>
      </w:r>
      <w:proofErr w:type="spellStart"/>
      <w:r w:rsidR="00363333" w:rsidRPr="009A1E5E">
        <w:rPr>
          <w:sz w:val="22"/>
        </w:rPr>
        <w:t>sulphuric</w:t>
      </w:r>
      <w:proofErr w:type="spellEnd"/>
      <w:r w:rsidR="00363333" w:rsidRPr="009A1E5E">
        <w:rPr>
          <w:sz w:val="22"/>
        </w:rPr>
        <w:t xml:space="preserve"> acid, which quantity shall be ascertained in the prescribed manner.</w:t>
      </w:r>
    </w:p>
    <w:p w:rsidR="00CE7AEE" w:rsidRPr="00F16058" w:rsidRDefault="00B90914" w:rsidP="0096725C">
      <w:pPr>
        <w:widowControl/>
        <w:spacing w:before="120" w:after="60"/>
        <w:jc w:val="both"/>
        <w:rPr>
          <w:b/>
          <w:sz w:val="20"/>
        </w:rPr>
      </w:pPr>
      <w:r w:rsidRPr="00F16058">
        <w:rPr>
          <w:b/>
          <w:sz w:val="20"/>
        </w:rPr>
        <w:t>Certificate to be supplied by claimant in support of claim.</w:t>
      </w:r>
    </w:p>
    <w:p w:rsidR="00363333" w:rsidRPr="009A1E5E" w:rsidRDefault="00B90914" w:rsidP="00FA570E">
      <w:pPr>
        <w:widowControl/>
        <w:tabs>
          <w:tab w:val="left" w:pos="810"/>
        </w:tabs>
        <w:ind w:firstLine="432"/>
        <w:jc w:val="both"/>
        <w:rPr>
          <w:sz w:val="22"/>
        </w:rPr>
      </w:pPr>
      <w:r w:rsidRPr="009A1E5E">
        <w:rPr>
          <w:b/>
          <w:sz w:val="22"/>
        </w:rPr>
        <w:t>5.</w:t>
      </w:r>
      <w:r w:rsidR="00F16058">
        <w:rPr>
          <w:b/>
          <w:sz w:val="22"/>
        </w:rPr>
        <w:tab/>
      </w:r>
      <w:r w:rsidR="00363333" w:rsidRPr="009A1E5E">
        <w:rPr>
          <w:sz w:val="22"/>
        </w:rPr>
        <w:t xml:space="preserve">Every claimant of bounty under this Act shall supply with his claim a certificate, from the manufacturer of the </w:t>
      </w:r>
      <w:proofErr w:type="spellStart"/>
      <w:r w:rsidR="00363333" w:rsidRPr="009A1E5E">
        <w:rPr>
          <w:sz w:val="22"/>
        </w:rPr>
        <w:t>sulphuric</w:t>
      </w:r>
      <w:proofErr w:type="spellEnd"/>
      <w:r w:rsidR="00363333" w:rsidRPr="009A1E5E">
        <w:rPr>
          <w:sz w:val="22"/>
        </w:rPr>
        <w:t xml:space="preserve"> acid containing the </w:t>
      </w:r>
      <w:proofErr w:type="spellStart"/>
      <w:r w:rsidR="00363333" w:rsidRPr="009A1E5E">
        <w:rPr>
          <w:sz w:val="22"/>
        </w:rPr>
        <w:t>sulphur</w:t>
      </w:r>
      <w:proofErr w:type="spellEnd"/>
      <w:r w:rsidR="00363333" w:rsidRPr="009A1E5E">
        <w:rPr>
          <w:sz w:val="22"/>
        </w:rPr>
        <w:t xml:space="preserve"> in respect of which bounty is claimed, stating the number of tons of that </w:t>
      </w:r>
      <w:proofErr w:type="spellStart"/>
      <w:r w:rsidR="00363333" w:rsidRPr="009A1E5E">
        <w:rPr>
          <w:sz w:val="22"/>
        </w:rPr>
        <w:t>sulphuric</w:t>
      </w:r>
      <w:proofErr w:type="spellEnd"/>
      <w:r w:rsidR="00363333" w:rsidRPr="009A1E5E">
        <w:rPr>
          <w:sz w:val="22"/>
        </w:rPr>
        <w:t xml:space="preserve"> acid calculated to a strength of one hundred per centum, and that the </w:t>
      </w:r>
      <w:proofErr w:type="spellStart"/>
      <w:r w:rsidR="00363333" w:rsidRPr="009A1E5E">
        <w:rPr>
          <w:sz w:val="22"/>
        </w:rPr>
        <w:t>sulphuric</w:t>
      </w:r>
      <w:proofErr w:type="spellEnd"/>
      <w:r w:rsidR="00363333" w:rsidRPr="009A1E5E">
        <w:rPr>
          <w:sz w:val="22"/>
        </w:rPr>
        <w:t xml:space="preserve"> acid has been manufactured from Australian pyrites or other </w:t>
      </w:r>
      <w:proofErr w:type="spellStart"/>
      <w:r w:rsidR="00363333" w:rsidRPr="009A1E5E">
        <w:rPr>
          <w:sz w:val="22"/>
        </w:rPr>
        <w:t>sulphide</w:t>
      </w:r>
      <w:proofErr w:type="spellEnd"/>
      <w:r w:rsidR="00363333" w:rsidRPr="009A1E5E">
        <w:rPr>
          <w:sz w:val="22"/>
        </w:rPr>
        <w:t xml:space="preserve"> ores or concentrates.</w:t>
      </w:r>
    </w:p>
    <w:p w:rsidR="00CE7AEE" w:rsidRPr="00F16058" w:rsidRDefault="00B90914" w:rsidP="0096725C">
      <w:pPr>
        <w:widowControl/>
        <w:spacing w:before="120" w:after="60"/>
        <w:jc w:val="both"/>
        <w:rPr>
          <w:b/>
          <w:sz w:val="20"/>
        </w:rPr>
      </w:pPr>
      <w:r w:rsidRPr="00F16058">
        <w:rPr>
          <w:b/>
          <w:sz w:val="20"/>
        </w:rPr>
        <w:t>Persons entitled to bounty.</w:t>
      </w:r>
    </w:p>
    <w:p w:rsidR="00363333" w:rsidRPr="009A1E5E" w:rsidRDefault="00B90914" w:rsidP="009D2996">
      <w:pPr>
        <w:widowControl/>
        <w:tabs>
          <w:tab w:val="left" w:pos="810"/>
        </w:tabs>
        <w:ind w:firstLine="432"/>
        <w:jc w:val="both"/>
        <w:rPr>
          <w:sz w:val="22"/>
        </w:rPr>
      </w:pPr>
      <w:r w:rsidRPr="009A1E5E">
        <w:rPr>
          <w:b/>
          <w:sz w:val="22"/>
        </w:rPr>
        <w:t>6.</w:t>
      </w:r>
      <w:r w:rsidR="00F16058">
        <w:rPr>
          <w:b/>
          <w:sz w:val="22"/>
        </w:rPr>
        <w:tab/>
      </w:r>
      <w:r w:rsidR="00363333" w:rsidRPr="009A1E5E">
        <w:rPr>
          <w:sz w:val="22"/>
        </w:rPr>
        <w:t xml:space="preserve">The person who is, at the time when any pyrites or other </w:t>
      </w:r>
      <w:proofErr w:type="spellStart"/>
      <w:r w:rsidR="00363333" w:rsidRPr="009A1E5E">
        <w:rPr>
          <w:sz w:val="22"/>
        </w:rPr>
        <w:t>sulphide</w:t>
      </w:r>
      <w:proofErr w:type="spellEnd"/>
      <w:r w:rsidR="00363333" w:rsidRPr="009A1E5E">
        <w:rPr>
          <w:sz w:val="22"/>
        </w:rPr>
        <w:t xml:space="preserve"> ores or concentrates are treated for and in </w:t>
      </w:r>
      <w:proofErr w:type="spellStart"/>
      <w:r w:rsidR="00363333" w:rsidRPr="009A1E5E">
        <w:rPr>
          <w:sz w:val="22"/>
        </w:rPr>
        <w:t>connexion</w:t>
      </w:r>
      <w:proofErr w:type="spellEnd"/>
      <w:r w:rsidR="00363333" w:rsidRPr="009A1E5E">
        <w:rPr>
          <w:sz w:val="22"/>
        </w:rPr>
        <w:t xml:space="preserve"> with the production therefrom of </w:t>
      </w:r>
      <w:proofErr w:type="spellStart"/>
      <w:r w:rsidR="002F375A" w:rsidRPr="009A1E5E">
        <w:rPr>
          <w:sz w:val="22"/>
        </w:rPr>
        <w:t>sulphuric</w:t>
      </w:r>
      <w:proofErr w:type="spellEnd"/>
      <w:r w:rsidR="00363333" w:rsidRPr="009A1E5E">
        <w:rPr>
          <w:sz w:val="22"/>
        </w:rPr>
        <w:t xml:space="preserve"> acid</w:t>
      </w:r>
      <w:r w:rsidR="002F375A">
        <w:rPr>
          <w:sz w:val="22"/>
        </w:rPr>
        <w:t>,</w:t>
      </w:r>
      <w:r w:rsidR="00363333" w:rsidRPr="009A1E5E">
        <w:rPr>
          <w:sz w:val="22"/>
        </w:rPr>
        <w:t xml:space="preserve"> the owner of the pyrites or other ores or concentrates shall, subject to this Act, be deemed to be the producer of the </w:t>
      </w:r>
      <w:proofErr w:type="spellStart"/>
      <w:r w:rsidR="00363333" w:rsidRPr="009A1E5E">
        <w:rPr>
          <w:sz w:val="22"/>
        </w:rPr>
        <w:t>sulphur</w:t>
      </w:r>
      <w:proofErr w:type="spellEnd"/>
      <w:r w:rsidR="00363333" w:rsidRPr="009A1E5E">
        <w:rPr>
          <w:sz w:val="22"/>
        </w:rPr>
        <w:t xml:space="preserve">, and shall be the person who is entitled, under this Act, to claim bounty in respect of the production of the </w:t>
      </w:r>
      <w:proofErr w:type="spellStart"/>
      <w:r w:rsidR="00363333" w:rsidRPr="009A1E5E">
        <w:rPr>
          <w:sz w:val="22"/>
        </w:rPr>
        <w:t>sulphur</w:t>
      </w:r>
      <w:proofErr w:type="spellEnd"/>
      <w:r w:rsidR="00363333" w:rsidRPr="009A1E5E">
        <w:rPr>
          <w:sz w:val="22"/>
        </w:rPr>
        <w:t xml:space="preserve"> in the </w:t>
      </w:r>
      <w:proofErr w:type="spellStart"/>
      <w:r w:rsidR="00363333" w:rsidRPr="009A1E5E">
        <w:rPr>
          <w:sz w:val="22"/>
        </w:rPr>
        <w:t>sulphuric</w:t>
      </w:r>
      <w:proofErr w:type="spellEnd"/>
      <w:r w:rsidR="00363333" w:rsidRPr="009A1E5E">
        <w:rPr>
          <w:sz w:val="22"/>
        </w:rPr>
        <w:t xml:space="preserve"> acid.</w:t>
      </w:r>
    </w:p>
    <w:p w:rsidR="00CE7AEE" w:rsidRPr="00F16058" w:rsidRDefault="009A1E5E" w:rsidP="002C5E81">
      <w:pPr>
        <w:widowControl/>
        <w:spacing w:after="60"/>
        <w:jc w:val="both"/>
        <w:rPr>
          <w:b/>
          <w:sz w:val="20"/>
        </w:rPr>
      </w:pPr>
      <w:r>
        <w:rPr>
          <w:sz w:val="22"/>
        </w:rPr>
        <w:br w:type="page"/>
      </w:r>
      <w:r w:rsidR="00B90914" w:rsidRPr="00F16058">
        <w:rPr>
          <w:b/>
          <w:sz w:val="20"/>
        </w:rPr>
        <w:lastRenderedPageBreak/>
        <w:t>Minister may require information.</w:t>
      </w:r>
    </w:p>
    <w:p w:rsidR="00363333" w:rsidRPr="009A1E5E" w:rsidRDefault="00B90914" w:rsidP="00327B9D">
      <w:pPr>
        <w:widowControl/>
        <w:tabs>
          <w:tab w:val="left" w:pos="810"/>
        </w:tabs>
        <w:ind w:firstLine="432"/>
        <w:jc w:val="both"/>
        <w:rPr>
          <w:sz w:val="22"/>
        </w:rPr>
      </w:pPr>
      <w:r w:rsidRPr="009A1E5E">
        <w:rPr>
          <w:b/>
          <w:sz w:val="22"/>
        </w:rPr>
        <w:t>7.</w:t>
      </w:r>
      <w:r w:rsidR="00F16058">
        <w:rPr>
          <w:sz w:val="22"/>
        </w:rPr>
        <w:tab/>
      </w:r>
      <w:r w:rsidR="00363333" w:rsidRPr="009A1E5E">
        <w:rPr>
          <w:sz w:val="22"/>
        </w:rPr>
        <w:t>The Minister may, in relation to any claim for bounty under this Act, require such information as to the correctness of any certificate, or otherwise, as he deems necessary.</w:t>
      </w:r>
    </w:p>
    <w:p w:rsidR="00CE7AEE" w:rsidRPr="00F16058" w:rsidRDefault="00B90914" w:rsidP="0096725C">
      <w:pPr>
        <w:widowControl/>
        <w:spacing w:before="120" w:after="60"/>
        <w:jc w:val="both"/>
        <w:rPr>
          <w:b/>
          <w:sz w:val="20"/>
        </w:rPr>
      </w:pPr>
      <w:r w:rsidRPr="00F16058">
        <w:rPr>
          <w:b/>
          <w:sz w:val="20"/>
        </w:rPr>
        <w:t>Limit of total amount of bounties.</w:t>
      </w:r>
    </w:p>
    <w:p w:rsidR="00363333" w:rsidRPr="009A1E5E" w:rsidRDefault="00B90914" w:rsidP="009D2996">
      <w:pPr>
        <w:widowControl/>
        <w:tabs>
          <w:tab w:val="left" w:pos="630"/>
          <w:tab w:val="left" w:pos="1350"/>
        </w:tabs>
        <w:ind w:firstLine="432"/>
        <w:jc w:val="both"/>
        <w:rPr>
          <w:sz w:val="22"/>
        </w:rPr>
      </w:pPr>
      <w:r w:rsidRPr="009A1E5E">
        <w:rPr>
          <w:b/>
          <w:sz w:val="22"/>
        </w:rPr>
        <w:t>8.</w:t>
      </w:r>
      <w:r w:rsidR="00363333" w:rsidRPr="009A1E5E">
        <w:rPr>
          <w:sz w:val="22"/>
        </w:rPr>
        <w:t>—(1.)</w:t>
      </w:r>
      <w:r w:rsidR="00F16058">
        <w:rPr>
          <w:b/>
          <w:sz w:val="22"/>
        </w:rPr>
        <w:tab/>
      </w:r>
      <w:r w:rsidR="00363333" w:rsidRPr="009A1E5E">
        <w:rPr>
          <w:sz w:val="22"/>
        </w:rPr>
        <w:t>The total amount of the bounty authorized to be paid in any one year shall not exceed the sum of One hundred thousand pounds.</w:t>
      </w:r>
    </w:p>
    <w:p w:rsidR="00363333" w:rsidRPr="009A1E5E" w:rsidRDefault="00363333" w:rsidP="0096725C">
      <w:pPr>
        <w:widowControl/>
        <w:tabs>
          <w:tab w:val="left" w:pos="907"/>
        </w:tabs>
        <w:ind w:firstLine="432"/>
        <w:jc w:val="both"/>
        <w:rPr>
          <w:sz w:val="22"/>
        </w:rPr>
      </w:pPr>
      <w:r w:rsidRPr="009A1E5E">
        <w:rPr>
          <w:sz w:val="22"/>
        </w:rPr>
        <w:t>(2.)</w:t>
      </w:r>
      <w:r w:rsidR="00F16058">
        <w:rPr>
          <w:sz w:val="22"/>
        </w:rPr>
        <w:tab/>
      </w:r>
      <w:r w:rsidRPr="009A1E5E">
        <w:rPr>
          <w:sz w:val="22"/>
        </w:rPr>
        <w:t>Where the maximum amount of bounty which may be paid in any year has not been paid in that year the unpaid balance, or any part thereof, may be paid in any subsequent year in addition to the maximum amount for that year.</w:t>
      </w:r>
    </w:p>
    <w:p w:rsidR="00CE7AEE" w:rsidRPr="00F16058" w:rsidRDefault="00B90914" w:rsidP="0096725C">
      <w:pPr>
        <w:widowControl/>
        <w:spacing w:before="120" w:after="60"/>
        <w:jc w:val="both"/>
        <w:rPr>
          <w:b/>
          <w:sz w:val="20"/>
        </w:rPr>
      </w:pPr>
      <w:r w:rsidRPr="00F16058">
        <w:rPr>
          <w:b/>
          <w:sz w:val="20"/>
        </w:rPr>
        <w:t>Proof of good quality and of compliance with the Act to be furnished.</w:t>
      </w:r>
    </w:p>
    <w:p w:rsidR="00363333" w:rsidRPr="009A1E5E" w:rsidRDefault="00363333" w:rsidP="009D2996">
      <w:pPr>
        <w:widowControl/>
        <w:tabs>
          <w:tab w:val="left" w:pos="810"/>
        </w:tabs>
        <w:ind w:firstLine="432"/>
        <w:jc w:val="both"/>
        <w:rPr>
          <w:sz w:val="22"/>
        </w:rPr>
      </w:pPr>
      <w:r w:rsidRPr="00CE43AB">
        <w:rPr>
          <w:b/>
          <w:sz w:val="22"/>
        </w:rPr>
        <w:t>9.</w:t>
      </w:r>
      <w:r w:rsidR="00F16058">
        <w:rPr>
          <w:sz w:val="22"/>
        </w:rPr>
        <w:tab/>
      </w:r>
      <w:r w:rsidRPr="009A1E5E">
        <w:rPr>
          <w:sz w:val="22"/>
        </w:rPr>
        <w:t xml:space="preserve">No bounty shall be authorized to be paid to any person other than the producer of the </w:t>
      </w:r>
      <w:proofErr w:type="spellStart"/>
      <w:r w:rsidRPr="009A1E5E">
        <w:rPr>
          <w:sz w:val="22"/>
        </w:rPr>
        <w:t>sulphur</w:t>
      </w:r>
      <w:proofErr w:type="spellEnd"/>
      <w:r w:rsidRPr="009A1E5E">
        <w:rPr>
          <w:sz w:val="22"/>
        </w:rPr>
        <w:t xml:space="preserve">, nor unless the producer of the </w:t>
      </w:r>
      <w:proofErr w:type="spellStart"/>
      <w:r w:rsidRPr="009A1E5E">
        <w:rPr>
          <w:sz w:val="22"/>
        </w:rPr>
        <w:t>sulphur</w:t>
      </w:r>
      <w:proofErr w:type="spellEnd"/>
      <w:r w:rsidRPr="009A1E5E">
        <w:rPr>
          <w:sz w:val="22"/>
        </w:rPr>
        <w:t xml:space="preserve"> furnishes proof to the satisfaction of the Minister that the requirements of this Act and the Regulations have been com plied with.</w:t>
      </w:r>
    </w:p>
    <w:p w:rsidR="00CE7AEE" w:rsidRPr="00F16058" w:rsidRDefault="00B90914" w:rsidP="0096725C">
      <w:pPr>
        <w:widowControl/>
        <w:spacing w:before="120" w:after="60"/>
        <w:jc w:val="both"/>
        <w:rPr>
          <w:b/>
          <w:sz w:val="20"/>
        </w:rPr>
      </w:pPr>
      <w:r w:rsidRPr="00F16058">
        <w:rPr>
          <w:b/>
          <w:sz w:val="20"/>
        </w:rPr>
        <w:t>Conditions of employment and rates of wages.</w:t>
      </w:r>
    </w:p>
    <w:p w:rsidR="00363333" w:rsidRPr="009A1E5E" w:rsidRDefault="00B90914" w:rsidP="0096725C">
      <w:pPr>
        <w:widowControl/>
        <w:tabs>
          <w:tab w:val="left" w:pos="720"/>
        </w:tabs>
        <w:ind w:firstLine="432"/>
        <w:jc w:val="both"/>
        <w:rPr>
          <w:sz w:val="22"/>
        </w:rPr>
      </w:pPr>
      <w:r w:rsidRPr="009A1E5E">
        <w:rPr>
          <w:b/>
          <w:sz w:val="22"/>
        </w:rPr>
        <w:t>10.</w:t>
      </w:r>
      <w:r w:rsidR="00363333" w:rsidRPr="009A1E5E">
        <w:rPr>
          <w:sz w:val="22"/>
        </w:rPr>
        <w:t>—(1.)</w:t>
      </w:r>
      <w:r w:rsidR="00F16058">
        <w:rPr>
          <w:sz w:val="22"/>
        </w:rPr>
        <w:tab/>
      </w:r>
      <w:r w:rsidR="00363333" w:rsidRPr="009A1E5E">
        <w:rPr>
          <w:sz w:val="22"/>
        </w:rPr>
        <w:t xml:space="preserve">The Minister may make application to the President of the Commonwealth Court of Conciliation and Arbitration, or to any Judge of a Federal or State Court or to any person or persons who compose a State Industrial Authority, for a declaration as to what wages and conditions of employment are fair and reasonable for </w:t>
      </w:r>
      <w:proofErr w:type="spellStart"/>
      <w:r w:rsidR="00363333" w:rsidRPr="009A1E5E">
        <w:rPr>
          <w:sz w:val="22"/>
        </w:rPr>
        <w:t>labour</w:t>
      </w:r>
      <w:proofErr w:type="spellEnd"/>
      <w:r w:rsidR="00363333" w:rsidRPr="009A1E5E">
        <w:rPr>
          <w:sz w:val="22"/>
        </w:rPr>
        <w:t xml:space="preserve"> employed in the production of the goods.</w:t>
      </w:r>
    </w:p>
    <w:p w:rsidR="00363333" w:rsidRPr="009A1E5E" w:rsidRDefault="00B90914" w:rsidP="00FA570E">
      <w:pPr>
        <w:widowControl/>
        <w:tabs>
          <w:tab w:val="left" w:pos="907"/>
        </w:tabs>
        <w:ind w:firstLine="432"/>
        <w:jc w:val="both"/>
        <w:rPr>
          <w:sz w:val="22"/>
        </w:rPr>
      </w:pPr>
      <w:r w:rsidRPr="00CE43AB">
        <w:rPr>
          <w:sz w:val="22"/>
        </w:rPr>
        <w:t>(2.)</w:t>
      </w:r>
      <w:r w:rsidR="00F16058">
        <w:rPr>
          <w:sz w:val="22"/>
        </w:rPr>
        <w:tab/>
      </w:r>
      <w:r w:rsidR="00363333" w:rsidRPr="009A1E5E">
        <w:rPr>
          <w:sz w:val="22"/>
        </w:rPr>
        <w:t xml:space="preserve">On the hearing and determination of the application, the President, Judge, person or persons shall have all the powers which under the </w:t>
      </w:r>
      <w:r w:rsidRPr="007040E1">
        <w:rPr>
          <w:i/>
          <w:sz w:val="22"/>
        </w:rPr>
        <w:t xml:space="preserve">Excise Procedure Act </w:t>
      </w:r>
      <w:r w:rsidR="00363333" w:rsidRPr="009A1E5E">
        <w:rPr>
          <w:sz w:val="22"/>
        </w:rPr>
        <w:t xml:space="preserve">1907 belong to the President of the Commonwealth Court of Conciliation and Arbitration, and all witnesses and persons summoned to appear or appearing before him or them shall be subject to the same liabilities and penalties, as witnesses or persons summoned to appear or appearing before the President on an application within the meaning of that Act, and the provisions of that Act, shall, so far as they are applicable, apply accordingly, </w:t>
      </w:r>
      <w:r w:rsidRPr="007040E1">
        <w:rPr>
          <w:i/>
          <w:sz w:val="22"/>
        </w:rPr>
        <w:t xml:space="preserve">mutatis mutandis, </w:t>
      </w:r>
      <w:r w:rsidR="00363333" w:rsidRPr="009A1E5E">
        <w:rPr>
          <w:sz w:val="22"/>
        </w:rPr>
        <w:t>as if the application were an application within the meaning of that Act.</w:t>
      </w:r>
    </w:p>
    <w:p w:rsidR="00363333" w:rsidRPr="009A1E5E" w:rsidRDefault="00363333" w:rsidP="0096725C">
      <w:pPr>
        <w:widowControl/>
        <w:tabs>
          <w:tab w:val="left" w:pos="907"/>
        </w:tabs>
        <w:ind w:firstLine="432"/>
        <w:jc w:val="both"/>
        <w:rPr>
          <w:sz w:val="22"/>
        </w:rPr>
      </w:pPr>
      <w:r w:rsidRPr="009A1E5E">
        <w:rPr>
          <w:sz w:val="22"/>
        </w:rPr>
        <w:t>(3.)</w:t>
      </w:r>
      <w:r w:rsidR="00F16058">
        <w:rPr>
          <w:sz w:val="22"/>
        </w:rPr>
        <w:tab/>
      </w:r>
      <w:r w:rsidRPr="009A1E5E">
        <w:rPr>
          <w:sz w:val="22"/>
        </w:rPr>
        <w:t xml:space="preserve">Every person who claims the bounty payable under the Act shall, in making his claim, certify to the Minister the conditions of employment and the rates of wages paid to any </w:t>
      </w:r>
      <w:proofErr w:type="spellStart"/>
      <w:r w:rsidRPr="009A1E5E">
        <w:rPr>
          <w:sz w:val="22"/>
        </w:rPr>
        <w:t>labour</w:t>
      </w:r>
      <w:proofErr w:type="spellEnd"/>
      <w:r w:rsidRPr="009A1E5E">
        <w:rPr>
          <w:sz w:val="22"/>
        </w:rPr>
        <w:t xml:space="preserve"> employed by him in </w:t>
      </w:r>
      <w:proofErr w:type="spellStart"/>
      <w:r w:rsidRPr="009A1E5E">
        <w:rPr>
          <w:sz w:val="22"/>
        </w:rPr>
        <w:t>connexion</w:t>
      </w:r>
      <w:proofErr w:type="spellEnd"/>
      <w:r w:rsidRPr="009A1E5E">
        <w:rPr>
          <w:sz w:val="22"/>
        </w:rPr>
        <w:t xml:space="preserve"> with the production of </w:t>
      </w:r>
      <w:proofErr w:type="spellStart"/>
      <w:r w:rsidRPr="009A1E5E">
        <w:rPr>
          <w:sz w:val="22"/>
        </w:rPr>
        <w:t>sulphur</w:t>
      </w:r>
      <w:proofErr w:type="spellEnd"/>
      <w:r w:rsidRPr="009A1E5E">
        <w:rPr>
          <w:sz w:val="22"/>
        </w:rPr>
        <w:t xml:space="preserve">, other than the </w:t>
      </w:r>
      <w:proofErr w:type="spellStart"/>
      <w:r w:rsidRPr="009A1E5E">
        <w:rPr>
          <w:sz w:val="22"/>
        </w:rPr>
        <w:t>labour</w:t>
      </w:r>
      <w:proofErr w:type="spellEnd"/>
      <w:r w:rsidRPr="009A1E5E">
        <w:rPr>
          <w:sz w:val="22"/>
        </w:rPr>
        <w:t xml:space="preserve"> of members of his family.</w:t>
      </w:r>
    </w:p>
    <w:p w:rsidR="00363333" w:rsidRPr="009A1E5E" w:rsidRDefault="00363333" w:rsidP="0096725C">
      <w:pPr>
        <w:widowControl/>
        <w:tabs>
          <w:tab w:val="left" w:pos="907"/>
        </w:tabs>
        <w:ind w:firstLine="432"/>
        <w:jc w:val="both"/>
        <w:rPr>
          <w:sz w:val="22"/>
        </w:rPr>
      </w:pPr>
      <w:r w:rsidRPr="009A1E5E">
        <w:rPr>
          <w:sz w:val="22"/>
        </w:rPr>
        <w:t>(4.)</w:t>
      </w:r>
      <w:r w:rsidR="00F16058">
        <w:rPr>
          <w:sz w:val="22"/>
        </w:rPr>
        <w:tab/>
      </w:r>
      <w:r w:rsidRPr="009A1E5E">
        <w:rPr>
          <w:sz w:val="22"/>
        </w:rPr>
        <w:t>If the Minister finds that the rates of wages and conditions of employment, or any of them—</w:t>
      </w:r>
    </w:p>
    <w:p w:rsidR="006C1723" w:rsidRDefault="00B90914" w:rsidP="0096725C">
      <w:pPr>
        <w:widowControl/>
        <w:ind w:left="1296" w:hanging="576"/>
        <w:jc w:val="both"/>
        <w:rPr>
          <w:sz w:val="22"/>
        </w:rPr>
      </w:pPr>
      <w:r w:rsidRPr="00CE43AB">
        <w:rPr>
          <w:sz w:val="22"/>
        </w:rPr>
        <w:t>(</w:t>
      </w:r>
      <w:r w:rsidRPr="00CE43AB">
        <w:rPr>
          <w:i/>
          <w:sz w:val="22"/>
        </w:rPr>
        <w:t>a</w:t>
      </w:r>
      <w:r w:rsidRPr="00CE43AB">
        <w:rPr>
          <w:sz w:val="22"/>
        </w:rPr>
        <w:t>)</w:t>
      </w:r>
      <w:r w:rsidRPr="007040E1">
        <w:t xml:space="preserve"> </w:t>
      </w:r>
      <w:r w:rsidR="00363333" w:rsidRPr="009A1E5E">
        <w:rPr>
          <w:sz w:val="22"/>
        </w:rPr>
        <w:t>are below the standard rates and conditions of employment prescribed by any Commonwealth or State Industrial Authority, or</w:t>
      </w:r>
    </w:p>
    <w:p w:rsidR="00F16058" w:rsidRDefault="00363333" w:rsidP="0096725C">
      <w:pPr>
        <w:widowControl/>
        <w:ind w:left="1296" w:hanging="576"/>
        <w:jc w:val="both"/>
        <w:rPr>
          <w:sz w:val="22"/>
        </w:rPr>
      </w:pPr>
      <w:r w:rsidRPr="009A1E5E">
        <w:rPr>
          <w:sz w:val="22"/>
        </w:rPr>
        <w:t>(</w:t>
      </w:r>
      <w:r w:rsidR="00B90914" w:rsidRPr="009A1E5E">
        <w:rPr>
          <w:i/>
          <w:sz w:val="22"/>
        </w:rPr>
        <w:t>b</w:t>
      </w:r>
      <w:r w:rsidRPr="009A1E5E">
        <w:rPr>
          <w:sz w:val="22"/>
        </w:rPr>
        <w:t>) are below the standard rates and conditions applicable to the locality and agreed upon between representatives of associations of employers and employees registered under any Commonwealth or State Act, or</w:t>
      </w:r>
    </w:p>
    <w:p w:rsidR="00363333" w:rsidRPr="009A1E5E" w:rsidRDefault="00363333" w:rsidP="0096725C">
      <w:pPr>
        <w:widowControl/>
        <w:ind w:left="1296" w:hanging="576"/>
        <w:jc w:val="both"/>
        <w:rPr>
          <w:sz w:val="22"/>
        </w:rPr>
      </w:pPr>
      <w:r w:rsidRPr="009A1E5E">
        <w:rPr>
          <w:sz w:val="22"/>
        </w:rPr>
        <w:t>(</w:t>
      </w:r>
      <w:r w:rsidR="00B90914" w:rsidRPr="009A1E5E">
        <w:rPr>
          <w:i/>
          <w:sz w:val="22"/>
        </w:rPr>
        <w:t>c</w:t>
      </w:r>
      <w:r w:rsidRPr="009A1E5E">
        <w:rPr>
          <w:sz w:val="22"/>
        </w:rPr>
        <w:t>) are below the rates and conditions declared, as in the first sub-section of this section mentioned, to be fair and reasonable,</w:t>
      </w:r>
    </w:p>
    <w:p w:rsidR="00363333" w:rsidRPr="009A1E5E" w:rsidRDefault="00363333" w:rsidP="0096725C">
      <w:pPr>
        <w:jc w:val="both"/>
        <w:rPr>
          <w:sz w:val="22"/>
        </w:rPr>
      </w:pPr>
      <w:r w:rsidRPr="009A1E5E">
        <w:rPr>
          <w:sz w:val="22"/>
        </w:rPr>
        <w:t>the Minister may withhold the whole or any part of the bounty payable.</w:t>
      </w:r>
    </w:p>
    <w:p w:rsidR="00CE7AEE" w:rsidRPr="00F16058" w:rsidRDefault="009A1E5E" w:rsidP="00FA570E">
      <w:pPr>
        <w:widowControl/>
        <w:spacing w:after="60"/>
        <w:jc w:val="both"/>
        <w:rPr>
          <w:b/>
          <w:sz w:val="20"/>
        </w:rPr>
      </w:pPr>
      <w:r>
        <w:rPr>
          <w:sz w:val="22"/>
        </w:rPr>
        <w:br w:type="page"/>
      </w:r>
      <w:r w:rsidR="00B90914" w:rsidRPr="00F16058">
        <w:rPr>
          <w:b/>
          <w:sz w:val="20"/>
        </w:rPr>
        <w:lastRenderedPageBreak/>
        <w:t>Offences against Act.</w:t>
      </w:r>
    </w:p>
    <w:p w:rsidR="00363333" w:rsidRPr="009A1E5E" w:rsidRDefault="00B90914" w:rsidP="000366E6">
      <w:pPr>
        <w:widowControl/>
        <w:tabs>
          <w:tab w:val="left" w:pos="907"/>
        </w:tabs>
        <w:ind w:firstLine="432"/>
        <w:jc w:val="both"/>
        <w:rPr>
          <w:sz w:val="22"/>
        </w:rPr>
      </w:pPr>
      <w:r w:rsidRPr="009A1E5E">
        <w:rPr>
          <w:b/>
          <w:sz w:val="22"/>
        </w:rPr>
        <w:t>11.</w:t>
      </w:r>
      <w:r w:rsidR="00F16058">
        <w:rPr>
          <w:b/>
          <w:sz w:val="22"/>
        </w:rPr>
        <w:tab/>
      </w:r>
      <w:r w:rsidR="00363333" w:rsidRPr="009A1E5E">
        <w:rPr>
          <w:sz w:val="22"/>
        </w:rPr>
        <w:t>No person shall—</w:t>
      </w:r>
    </w:p>
    <w:p w:rsidR="00363333" w:rsidRPr="009A1E5E" w:rsidRDefault="00363333" w:rsidP="0096725C">
      <w:pPr>
        <w:widowControl/>
        <w:ind w:left="1296" w:hanging="576"/>
        <w:jc w:val="both"/>
        <w:rPr>
          <w:sz w:val="22"/>
        </w:rPr>
      </w:pPr>
      <w:r w:rsidRPr="009A1E5E">
        <w:rPr>
          <w:sz w:val="22"/>
        </w:rPr>
        <w:t>(</w:t>
      </w:r>
      <w:r w:rsidR="00B90914" w:rsidRPr="009A1E5E">
        <w:rPr>
          <w:i/>
          <w:sz w:val="22"/>
        </w:rPr>
        <w:t>a</w:t>
      </w:r>
      <w:r w:rsidRPr="009A1E5E">
        <w:rPr>
          <w:sz w:val="22"/>
        </w:rPr>
        <w:t>)</w:t>
      </w:r>
      <w:r w:rsidR="00B90914" w:rsidRPr="009A1E5E">
        <w:rPr>
          <w:i/>
          <w:sz w:val="22"/>
        </w:rPr>
        <w:t xml:space="preserve"> </w:t>
      </w:r>
      <w:r w:rsidRPr="009A1E5E">
        <w:rPr>
          <w:sz w:val="22"/>
        </w:rPr>
        <w:t>obtain any bounty which is not payable ;</w:t>
      </w:r>
    </w:p>
    <w:p w:rsidR="00363333" w:rsidRPr="009A1E5E" w:rsidRDefault="00B90914" w:rsidP="0096725C">
      <w:pPr>
        <w:widowControl/>
        <w:ind w:left="1296" w:hanging="576"/>
        <w:jc w:val="both"/>
        <w:rPr>
          <w:sz w:val="22"/>
        </w:rPr>
      </w:pPr>
      <w:r w:rsidRPr="00CE43AB">
        <w:rPr>
          <w:sz w:val="22"/>
        </w:rPr>
        <w:t>(</w:t>
      </w:r>
      <w:r w:rsidRPr="00CE43AB">
        <w:rPr>
          <w:i/>
          <w:sz w:val="22"/>
        </w:rPr>
        <w:t>b</w:t>
      </w:r>
      <w:r w:rsidRPr="00CE43AB">
        <w:rPr>
          <w:sz w:val="22"/>
        </w:rPr>
        <w:t>)</w:t>
      </w:r>
      <w:r w:rsidRPr="00CE43AB">
        <w:rPr>
          <w:i/>
          <w:sz w:val="22"/>
        </w:rPr>
        <w:t xml:space="preserve"> </w:t>
      </w:r>
      <w:r w:rsidR="00363333" w:rsidRPr="009A1E5E">
        <w:rPr>
          <w:sz w:val="22"/>
        </w:rPr>
        <w:t>obtain payment of any bounty by means of an</w:t>
      </w:r>
      <w:r w:rsidR="002F375A">
        <w:rPr>
          <w:sz w:val="22"/>
        </w:rPr>
        <w:t>y false or misleading statement</w:t>
      </w:r>
      <w:r w:rsidR="00363333" w:rsidRPr="009A1E5E">
        <w:rPr>
          <w:sz w:val="22"/>
        </w:rPr>
        <w:t>; or</w:t>
      </w:r>
    </w:p>
    <w:p w:rsidR="00363333" w:rsidRPr="009A1E5E" w:rsidRDefault="00363333" w:rsidP="0096725C">
      <w:pPr>
        <w:widowControl/>
        <w:ind w:left="1296" w:hanging="576"/>
        <w:jc w:val="both"/>
        <w:rPr>
          <w:sz w:val="22"/>
        </w:rPr>
      </w:pPr>
      <w:r w:rsidRPr="009A1E5E">
        <w:rPr>
          <w:sz w:val="22"/>
        </w:rPr>
        <w:t>(</w:t>
      </w:r>
      <w:r w:rsidR="00B90914" w:rsidRPr="009A1E5E">
        <w:rPr>
          <w:i/>
          <w:sz w:val="22"/>
        </w:rPr>
        <w:t>c</w:t>
      </w:r>
      <w:r w:rsidRPr="009A1E5E">
        <w:rPr>
          <w:sz w:val="22"/>
        </w:rPr>
        <w:t>) present to any officer or other person doing duty in relation to this Act or the Regulations any document, or make to any such officer or person any statement, which is false in any particular.</w:t>
      </w:r>
    </w:p>
    <w:p w:rsidR="00363333" w:rsidRPr="009A1E5E" w:rsidRDefault="00363333" w:rsidP="0096725C">
      <w:pPr>
        <w:widowControl/>
        <w:tabs>
          <w:tab w:val="left" w:pos="1080"/>
        </w:tabs>
        <w:ind w:firstLine="432"/>
        <w:jc w:val="both"/>
        <w:rPr>
          <w:sz w:val="22"/>
        </w:rPr>
      </w:pPr>
      <w:r w:rsidRPr="009A1E5E">
        <w:rPr>
          <w:sz w:val="22"/>
        </w:rPr>
        <w:t>Penalty</w:t>
      </w:r>
      <w:r w:rsidR="00F16058">
        <w:rPr>
          <w:sz w:val="22"/>
        </w:rPr>
        <w:t xml:space="preserve"> </w:t>
      </w:r>
      <w:r w:rsidRPr="009A1E5E">
        <w:rPr>
          <w:sz w:val="22"/>
        </w:rPr>
        <w:t>: One hundred pounds or imprisonment for twelve months.</w:t>
      </w:r>
    </w:p>
    <w:p w:rsidR="00CE7AEE" w:rsidRPr="00F16058" w:rsidRDefault="00B90914" w:rsidP="0096725C">
      <w:pPr>
        <w:widowControl/>
        <w:spacing w:before="120" w:after="60"/>
        <w:jc w:val="both"/>
        <w:rPr>
          <w:b/>
          <w:sz w:val="20"/>
        </w:rPr>
      </w:pPr>
      <w:r w:rsidRPr="00F16058">
        <w:rPr>
          <w:b/>
          <w:sz w:val="20"/>
        </w:rPr>
        <w:t>Return to be laid before Parliament.</w:t>
      </w:r>
    </w:p>
    <w:p w:rsidR="00363333" w:rsidRPr="009A1E5E" w:rsidRDefault="00B90914" w:rsidP="0096725C">
      <w:pPr>
        <w:widowControl/>
        <w:tabs>
          <w:tab w:val="left" w:pos="900"/>
        </w:tabs>
        <w:ind w:firstLine="432"/>
        <w:jc w:val="both"/>
        <w:rPr>
          <w:sz w:val="22"/>
        </w:rPr>
      </w:pPr>
      <w:r w:rsidRPr="009A1E5E">
        <w:rPr>
          <w:b/>
          <w:sz w:val="22"/>
        </w:rPr>
        <w:t>12.</w:t>
      </w:r>
      <w:r w:rsidR="00F16058">
        <w:rPr>
          <w:sz w:val="22"/>
        </w:rPr>
        <w:tab/>
      </w:r>
      <w:r w:rsidR="00363333" w:rsidRPr="009A1E5E">
        <w:rPr>
          <w:sz w:val="22"/>
        </w:rPr>
        <w:t>A return setting forth—</w:t>
      </w:r>
    </w:p>
    <w:p w:rsidR="00363333" w:rsidRPr="009A1E5E" w:rsidRDefault="00363333" w:rsidP="0096725C">
      <w:pPr>
        <w:widowControl/>
        <w:ind w:left="1296" w:hanging="576"/>
        <w:jc w:val="both"/>
        <w:rPr>
          <w:sz w:val="22"/>
        </w:rPr>
      </w:pPr>
      <w:r w:rsidRPr="009A1E5E">
        <w:rPr>
          <w:sz w:val="22"/>
        </w:rPr>
        <w:t>(</w:t>
      </w:r>
      <w:r w:rsidR="00B90914" w:rsidRPr="009A1E5E">
        <w:rPr>
          <w:i/>
          <w:sz w:val="22"/>
        </w:rPr>
        <w:t>a</w:t>
      </w:r>
      <w:r w:rsidRPr="009A1E5E">
        <w:rPr>
          <w:sz w:val="22"/>
        </w:rPr>
        <w:t>)</w:t>
      </w:r>
      <w:r w:rsidR="009A1E5E">
        <w:rPr>
          <w:i/>
          <w:sz w:val="22"/>
        </w:rPr>
        <w:t xml:space="preserve"> </w:t>
      </w:r>
      <w:r w:rsidRPr="009A1E5E">
        <w:rPr>
          <w:sz w:val="22"/>
        </w:rPr>
        <w:t>the names of all persons to whom bounty was paid duri</w:t>
      </w:r>
      <w:r w:rsidR="00433D6F">
        <w:rPr>
          <w:sz w:val="22"/>
        </w:rPr>
        <w:t>ng the preceding financial year</w:t>
      </w:r>
      <w:r w:rsidRPr="009A1E5E">
        <w:rPr>
          <w:sz w:val="22"/>
        </w:rPr>
        <w:t>;</w:t>
      </w:r>
    </w:p>
    <w:p w:rsidR="00363333" w:rsidRPr="009A1E5E" w:rsidRDefault="00363333" w:rsidP="0096725C">
      <w:pPr>
        <w:widowControl/>
        <w:ind w:left="1296" w:hanging="576"/>
        <w:jc w:val="both"/>
        <w:rPr>
          <w:sz w:val="22"/>
        </w:rPr>
      </w:pPr>
      <w:r w:rsidRPr="009A1E5E">
        <w:rPr>
          <w:sz w:val="22"/>
        </w:rPr>
        <w:t>(</w:t>
      </w:r>
      <w:r w:rsidR="00B90914" w:rsidRPr="009A1E5E">
        <w:rPr>
          <w:i/>
          <w:sz w:val="22"/>
        </w:rPr>
        <w:t>b</w:t>
      </w:r>
      <w:r w:rsidRPr="009A1E5E">
        <w:rPr>
          <w:sz w:val="22"/>
        </w:rPr>
        <w:t>)</w:t>
      </w:r>
      <w:r w:rsidR="009A1E5E">
        <w:rPr>
          <w:i/>
          <w:sz w:val="22"/>
        </w:rPr>
        <w:t xml:space="preserve"> </w:t>
      </w:r>
      <w:r w:rsidR="00433D6F">
        <w:rPr>
          <w:sz w:val="22"/>
        </w:rPr>
        <w:t>the amounts of all such bounty</w:t>
      </w:r>
      <w:r w:rsidRPr="009A1E5E">
        <w:rPr>
          <w:sz w:val="22"/>
        </w:rPr>
        <w:t>;</w:t>
      </w:r>
    </w:p>
    <w:p w:rsidR="00363333" w:rsidRPr="009A1E5E" w:rsidRDefault="00B90914" w:rsidP="0096725C">
      <w:pPr>
        <w:widowControl/>
        <w:ind w:left="1296" w:hanging="576"/>
        <w:jc w:val="both"/>
        <w:rPr>
          <w:sz w:val="22"/>
        </w:rPr>
      </w:pPr>
      <w:r w:rsidRPr="00CE43AB">
        <w:rPr>
          <w:sz w:val="22"/>
        </w:rPr>
        <w:t>(</w:t>
      </w:r>
      <w:r w:rsidRPr="00CE43AB">
        <w:rPr>
          <w:i/>
          <w:sz w:val="22"/>
        </w:rPr>
        <w:t>c</w:t>
      </w:r>
      <w:r w:rsidRPr="00CE43AB">
        <w:rPr>
          <w:sz w:val="22"/>
        </w:rPr>
        <w:t>)</w:t>
      </w:r>
      <w:r w:rsidRPr="009A1E5E">
        <w:rPr>
          <w:i/>
          <w:sz w:val="22"/>
        </w:rPr>
        <w:t xml:space="preserve"> </w:t>
      </w:r>
      <w:r w:rsidR="00363333" w:rsidRPr="009A1E5E">
        <w:rPr>
          <w:sz w:val="22"/>
        </w:rPr>
        <w:t>the names of the places and States i</w:t>
      </w:r>
      <w:r w:rsidR="00433D6F">
        <w:rPr>
          <w:sz w:val="22"/>
        </w:rPr>
        <w:t>n which the goods were produced</w:t>
      </w:r>
      <w:r w:rsidR="00363333" w:rsidRPr="009A1E5E">
        <w:rPr>
          <w:sz w:val="22"/>
        </w:rPr>
        <w:t>;</w:t>
      </w:r>
    </w:p>
    <w:p w:rsidR="00F16058" w:rsidRDefault="00B90914" w:rsidP="0096725C">
      <w:pPr>
        <w:widowControl/>
        <w:ind w:left="1296" w:hanging="576"/>
        <w:jc w:val="both"/>
        <w:rPr>
          <w:sz w:val="22"/>
        </w:rPr>
      </w:pPr>
      <w:r w:rsidRPr="00CE43AB">
        <w:rPr>
          <w:sz w:val="22"/>
        </w:rPr>
        <w:t>(</w:t>
      </w:r>
      <w:r w:rsidRPr="00CE43AB">
        <w:rPr>
          <w:i/>
          <w:sz w:val="22"/>
        </w:rPr>
        <w:t>d</w:t>
      </w:r>
      <w:r w:rsidRPr="00CE43AB">
        <w:rPr>
          <w:sz w:val="22"/>
        </w:rPr>
        <w:t>)</w:t>
      </w:r>
      <w:r w:rsidRPr="009A1E5E">
        <w:rPr>
          <w:i/>
          <w:sz w:val="22"/>
        </w:rPr>
        <w:t xml:space="preserve"> </w:t>
      </w:r>
      <w:r w:rsidR="00363333" w:rsidRPr="009A1E5E">
        <w:rPr>
          <w:sz w:val="22"/>
        </w:rPr>
        <w:t>the number of persons employed in each of the works, wages paid, and hours observed in the production of the goods,</w:t>
      </w:r>
    </w:p>
    <w:p w:rsidR="00363333" w:rsidRPr="009A1E5E" w:rsidRDefault="00363333" w:rsidP="0096725C">
      <w:pPr>
        <w:widowControl/>
        <w:jc w:val="both"/>
        <w:rPr>
          <w:sz w:val="22"/>
        </w:rPr>
      </w:pPr>
      <w:r w:rsidRPr="009A1E5E">
        <w:rPr>
          <w:sz w:val="22"/>
        </w:rPr>
        <w:t>shall be prepared in the month of July in each year and shall be laid before both Houses of the Parliament within thirty days after its preparation if the Parliament is then sitting, and if not, then within thirty days after the next meeting thereof.</w:t>
      </w:r>
    </w:p>
    <w:p w:rsidR="00CE7AEE" w:rsidRPr="00F16058" w:rsidRDefault="00B90914" w:rsidP="0096725C">
      <w:pPr>
        <w:widowControl/>
        <w:spacing w:before="120" w:after="60"/>
        <w:jc w:val="both"/>
        <w:rPr>
          <w:b/>
          <w:sz w:val="20"/>
        </w:rPr>
      </w:pPr>
      <w:r w:rsidRPr="00F16058">
        <w:rPr>
          <w:b/>
          <w:sz w:val="20"/>
        </w:rPr>
        <w:t>Regulations.</w:t>
      </w:r>
    </w:p>
    <w:p w:rsidR="00363333" w:rsidRPr="009A1E5E" w:rsidRDefault="00B90914" w:rsidP="0096725C">
      <w:pPr>
        <w:widowControl/>
        <w:tabs>
          <w:tab w:val="left" w:pos="907"/>
        </w:tabs>
        <w:ind w:firstLine="432"/>
        <w:jc w:val="both"/>
        <w:rPr>
          <w:sz w:val="22"/>
        </w:rPr>
      </w:pPr>
      <w:r w:rsidRPr="009A1E5E">
        <w:rPr>
          <w:b/>
          <w:sz w:val="22"/>
        </w:rPr>
        <w:t>13.</w:t>
      </w:r>
      <w:r w:rsidR="00F16058">
        <w:rPr>
          <w:b/>
          <w:sz w:val="22"/>
        </w:rPr>
        <w:tab/>
      </w:r>
      <w:r w:rsidR="00363333" w:rsidRPr="009A1E5E">
        <w:rPr>
          <w:sz w:val="22"/>
        </w:rPr>
        <w:t>The Governor-General may make regulations, not inconsistent with this Act, prescribing all matters which by this Act are required or permitted to be prescribed or are necessary or convenient to be prescribed for giving effect to this Act, and in particular fo</w:t>
      </w:r>
      <w:r w:rsidR="00433D6F">
        <w:rPr>
          <w:sz w:val="22"/>
        </w:rPr>
        <w:t>r any of the following purposes</w:t>
      </w:r>
      <w:r w:rsidR="00363333" w:rsidRPr="009A1E5E">
        <w:rPr>
          <w:sz w:val="22"/>
        </w:rPr>
        <w:t>:—</w:t>
      </w:r>
    </w:p>
    <w:p w:rsidR="00F16058" w:rsidRDefault="00363333" w:rsidP="0096725C">
      <w:pPr>
        <w:widowControl/>
        <w:ind w:left="1296" w:hanging="576"/>
        <w:jc w:val="both"/>
        <w:rPr>
          <w:sz w:val="22"/>
        </w:rPr>
      </w:pPr>
      <w:r w:rsidRPr="009A1E5E">
        <w:rPr>
          <w:sz w:val="22"/>
        </w:rPr>
        <w:t>(</w:t>
      </w:r>
      <w:r w:rsidR="00B90914" w:rsidRPr="009A1E5E">
        <w:rPr>
          <w:i/>
          <w:sz w:val="22"/>
        </w:rPr>
        <w:t>a</w:t>
      </w:r>
      <w:r w:rsidRPr="009A1E5E">
        <w:rPr>
          <w:sz w:val="22"/>
        </w:rPr>
        <w:t>) For prescribing the minimum quantity of goods to be produced to entitle the producer to claim the bounty;</w:t>
      </w:r>
    </w:p>
    <w:p w:rsidR="00363333" w:rsidRPr="009A1E5E" w:rsidRDefault="00B90914" w:rsidP="0096725C">
      <w:pPr>
        <w:widowControl/>
        <w:ind w:left="1296" w:hanging="576"/>
        <w:jc w:val="both"/>
        <w:rPr>
          <w:sz w:val="22"/>
        </w:rPr>
      </w:pPr>
      <w:r w:rsidRPr="006A1DAC">
        <w:rPr>
          <w:sz w:val="22"/>
        </w:rPr>
        <w:t>(</w:t>
      </w:r>
      <w:r w:rsidRPr="006A1DAC">
        <w:rPr>
          <w:i/>
          <w:sz w:val="22"/>
        </w:rPr>
        <w:t>b</w:t>
      </w:r>
      <w:r w:rsidRPr="006A1DAC">
        <w:rPr>
          <w:sz w:val="22"/>
        </w:rPr>
        <w:t xml:space="preserve">) </w:t>
      </w:r>
      <w:r w:rsidR="00363333" w:rsidRPr="009A1E5E">
        <w:rPr>
          <w:sz w:val="22"/>
        </w:rPr>
        <w:t>For prescribing the proportion in which bounty shall be payable to claimants who have complied with the prescribed conditions, in cases where there is not sufficient money available to pay the full boun</w:t>
      </w:r>
      <w:r w:rsidR="00433D6F">
        <w:rPr>
          <w:sz w:val="22"/>
        </w:rPr>
        <w:t>ty in respect of all the claims</w:t>
      </w:r>
      <w:r w:rsidR="00363333" w:rsidRPr="009A1E5E">
        <w:rPr>
          <w:sz w:val="22"/>
        </w:rPr>
        <w:t>;</w:t>
      </w:r>
    </w:p>
    <w:p w:rsidR="00363333" w:rsidRPr="009A1E5E" w:rsidRDefault="00363333" w:rsidP="0096725C">
      <w:pPr>
        <w:widowControl/>
        <w:ind w:left="1296" w:hanging="576"/>
        <w:jc w:val="both"/>
        <w:rPr>
          <w:sz w:val="22"/>
        </w:rPr>
      </w:pPr>
      <w:r w:rsidRPr="009A1E5E">
        <w:rPr>
          <w:sz w:val="22"/>
        </w:rPr>
        <w:t>(</w:t>
      </w:r>
      <w:r w:rsidRPr="00CE43AB">
        <w:rPr>
          <w:i/>
          <w:sz w:val="22"/>
        </w:rPr>
        <w:t>c</w:t>
      </w:r>
      <w:r w:rsidRPr="009A1E5E">
        <w:rPr>
          <w:sz w:val="22"/>
        </w:rPr>
        <w:t>) For requiring each producer to keep books showing in detail the cost of production, and for the inspection of all books and balance-sheets of each producer, and of the process of production, for the purposes of—</w:t>
      </w:r>
    </w:p>
    <w:p w:rsidR="00363333" w:rsidRPr="009A1E5E" w:rsidRDefault="00363333" w:rsidP="0096725C">
      <w:pPr>
        <w:widowControl/>
        <w:ind w:left="2448" w:hanging="576"/>
        <w:jc w:val="both"/>
        <w:rPr>
          <w:sz w:val="22"/>
        </w:rPr>
      </w:pPr>
      <w:r w:rsidRPr="009A1E5E">
        <w:rPr>
          <w:sz w:val="22"/>
        </w:rPr>
        <w:t>(</w:t>
      </w:r>
      <w:proofErr w:type="spellStart"/>
      <w:r w:rsidRPr="009A1E5E">
        <w:rPr>
          <w:sz w:val="22"/>
        </w:rPr>
        <w:t>i</w:t>
      </w:r>
      <w:proofErr w:type="spellEnd"/>
      <w:r w:rsidRPr="009A1E5E">
        <w:rPr>
          <w:sz w:val="22"/>
        </w:rPr>
        <w:t>) ascertaining and reporting on the conditions of employment obtain</w:t>
      </w:r>
      <w:r w:rsidR="00433D6F">
        <w:rPr>
          <w:sz w:val="22"/>
        </w:rPr>
        <w:t>ing and the rates of wages paid</w:t>
      </w:r>
      <w:r w:rsidRPr="009A1E5E">
        <w:rPr>
          <w:sz w:val="22"/>
        </w:rPr>
        <w:t>; and</w:t>
      </w:r>
    </w:p>
    <w:p w:rsidR="00363333" w:rsidRPr="009A1E5E" w:rsidRDefault="00363333" w:rsidP="0096725C">
      <w:pPr>
        <w:widowControl/>
        <w:ind w:left="2448" w:hanging="576"/>
        <w:jc w:val="both"/>
        <w:rPr>
          <w:sz w:val="22"/>
        </w:rPr>
      </w:pPr>
      <w:r w:rsidRPr="009A1E5E">
        <w:rPr>
          <w:sz w:val="22"/>
        </w:rPr>
        <w:t>(ii)</w:t>
      </w:r>
      <w:r w:rsidR="009A1E5E">
        <w:rPr>
          <w:sz w:val="22"/>
        </w:rPr>
        <w:t xml:space="preserve"> </w:t>
      </w:r>
      <w:r w:rsidRPr="009A1E5E">
        <w:rPr>
          <w:sz w:val="22"/>
        </w:rPr>
        <w:t>ascertaining the cost of production and t</w:t>
      </w:r>
      <w:r w:rsidR="00433D6F">
        <w:rPr>
          <w:sz w:val="22"/>
        </w:rPr>
        <w:t>he percentage of profits earned</w:t>
      </w:r>
      <w:r w:rsidRPr="009A1E5E">
        <w:rPr>
          <w:sz w:val="22"/>
        </w:rPr>
        <w:t>; and</w:t>
      </w:r>
    </w:p>
    <w:p w:rsidR="00363333" w:rsidRPr="009A1E5E" w:rsidRDefault="00B90914" w:rsidP="0096725C">
      <w:pPr>
        <w:widowControl/>
        <w:ind w:left="1296" w:hanging="576"/>
        <w:jc w:val="both"/>
        <w:rPr>
          <w:sz w:val="22"/>
        </w:rPr>
      </w:pPr>
      <w:r w:rsidRPr="00CE43AB">
        <w:rPr>
          <w:sz w:val="22"/>
        </w:rPr>
        <w:t>(</w:t>
      </w:r>
      <w:r w:rsidRPr="00CE43AB">
        <w:rPr>
          <w:i/>
          <w:sz w:val="22"/>
        </w:rPr>
        <w:t>d</w:t>
      </w:r>
      <w:r w:rsidRPr="00CE43AB">
        <w:rPr>
          <w:sz w:val="22"/>
        </w:rPr>
        <w:t>)</w:t>
      </w:r>
      <w:r w:rsidRPr="009A1E5E">
        <w:rPr>
          <w:i/>
          <w:sz w:val="22"/>
        </w:rPr>
        <w:t xml:space="preserve"> </w:t>
      </w:r>
      <w:r w:rsidR="00363333" w:rsidRPr="009A1E5E">
        <w:rPr>
          <w:sz w:val="22"/>
        </w:rPr>
        <w:t>For empowering the Minister from time to time to determine the amount which shall for the purposes of this Act be deemed to be the capital invested by any producer in the production of the goods, and to deduct from any bounty payable to the producer an amount to be determined by the Minister, not exceeding the amount by which the profits earned exceed ten per centum per annum upon the amount of capital so determined.</w:t>
      </w:r>
    </w:p>
    <w:sectPr w:rsidR="00363333" w:rsidRPr="009A1E5E" w:rsidSect="00521C03">
      <w:headerReference w:type="even" r:id="rId7"/>
      <w:headerReference w:type="default" r:id="rId8"/>
      <w:pgSz w:w="11909" w:h="16834" w:code="9"/>
      <w:pgMar w:top="1440" w:right="1440" w:bottom="1152"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C6" w:rsidRDefault="00C23CC6">
      <w:r>
        <w:separator/>
      </w:r>
    </w:p>
  </w:endnote>
  <w:endnote w:type="continuationSeparator" w:id="0">
    <w:p w:rsidR="00C23CC6" w:rsidRDefault="00C2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C6" w:rsidRDefault="00C23CC6">
      <w:r>
        <w:separator/>
      </w:r>
    </w:p>
  </w:footnote>
  <w:footnote w:type="continuationSeparator" w:id="0">
    <w:p w:rsidR="00C23CC6" w:rsidRDefault="00C2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BE" w:rsidRDefault="006B2EBE" w:rsidP="007529FC">
    <w:pPr>
      <w:pStyle w:val="Header"/>
      <w:tabs>
        <w:tab w:val="clear" w:pos="4680"/>
        <w:tab w:val="clear" w:pos="9360"/>
        <w:tab w:val="center" w:pos="4514"/>
        <w:tab w:val="left" w:pos="8370"/>
      </w:tabs>
    </w:pPr>
    <w:r>
      <w:rPr>
        <w:sz w:val="20"/>
      </w:rPr>
      <w:t xml:space="preserve">No. </w:t>
    </w:r>
    <w:r w:rsidRPr="006B2EBE">
      <w:rPr>
        <w:sz w:val="20"/>
      </w:rPr>
      <w:t>21.</w:t>
    </w:r>
    <w:r w:rsidRPr="006B2EBE">
      <w:rPr>
        <w:i/>
        <w:sz w:val="20"/>
      </w:rPr>
      <w:tab/>
      <w:t>Sulphur Bounty</w:t>
    </w:r>
    <w:r w:rsidR="00F26DDF">
      <w:rPr>
        <w:i/>
        <w:sz w:val="20"/>
      </w:rPr>
      <w:t>.</w:t>
    </w:r>
    <w:r>
      <w:rPr>
        <w:sz w:val="20"/>
      </w:rPr>
      <w:tab/>
    </w:r>
    <w:r w:rsidRPr="006B2EBE">
      <w:rPr>
        <w:sz w:val="20"/>
      </w:rPr>
      <w:t>1923.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BE" w:rsidRPr="006B2EBE" w:rsidRDefault="006B2EBE" w:rsidP="007529FC">
    <w:pPr>
      <w:pStyle w:val="Header"/>
      <w:tabs>
        <w:tab w:val="clear" w:pos="4680"/>
        <w:tab w:val="clear" w:pos="9360"/>
        <w:tab w:val="center" w:pos="4514"/>
        <w:tab w:val="left" w:pos="8370"/>
      </w:tabs>
      <w:rPr>
        <w:sz w:val="20"/>
      </w:rPr>
    </w:pPr>
    <w:r w:rsidRPr="006B2EBE">
      <w:rPr>
        <w:sz w:val="20"/>
      </w:rPr>
      <w:t>1923.</w:t>
    </w:r>
    <w:r w:rsidRPr="006B2EBE">
      <w:rPr>
        <w:i/>
        <w:sz w:val="20"/>
      </w:rPr>
      <w:tab/>
      <w:t>Sulphur Bounty.</w:t>
    </w:r>
    <w:r w:rsidR="00797B12">
      <w:rPr>
        <w:i/>
        <w:sz w:val="20"/>
      </w:rPr>
      <w:tab/>
    </w:r>
    <w:r w:rsidRPr="006B2EBE">
      <w:rPr>
        <w:sz w:val="20"/>
      </w:rPr>
      <w:t>No. 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E7AEE"/>
    <w:rsid w:val="0000391D"/>
    <w:rsid w:val="00012F02"/>
    <w:rsid w:val="00033A20"/>
    <w:rsid w:val="000366E6"/>
    <w:rsid w:val="00061DD1"/>
    <w:rsid w:val="00062647"/>
    <w:rsid w:val="000762EA"/>
    <w:rsid w:val="000778A3"/>
    <w:rsid w:val="00085E86"/>
    <w:rsid w:val="000D01B3"/>
    <w:rsid w:val="000E1F95"/>
    <w:rsid w:val="000E3288"/>
    <w:rsid w:val="00126687"/>
    <w:rsid w:val="00141752"/>
    <w:rsid w:val="00181E83"/>
    <w:rsid w:val="001956DC"/>
    <w:rsid w:val="001B3B2F"/>
    <w:rsid w:val="001B3DF5"/>
    <w:rsid w:val="001D4E42"/>
    <w:rsid w:val="001F42E8"/>
    <w:rsid w:val="001F6CC6"/>
    <w:rsid w:val="00200DD1"/>
    <w:rsid w:val="00204BB5"/>
    <w:rsid w:val="002131F3"/>
    <w:rsid w:val="002875C9"/>
    <w:rsid w:val="00290E8E"/>
    <w:rsid w:val="002C1B4E"/>
    <w:rsid w:val="002C5E81"/>
    <w:rsid w:val="002D1445"/>
    <w:rsid w:val="002E2B02"/>
    <w:rsid w:val="002E3425"/>
    <w:rsid w:val="002E70D2"/>
    <w:rsid w:val="002F375A"/>
    <w:rsid w:val="00302D70"/>
    <w:rsid w:val="00327B9D"/>
    <w:rsid w:val="00343E61"/>
    <w:rsid w:val="00363333"/>
    <w:rsid w:val="00387745"/>
    <w:rsid w:val="003947AB"/>
    <w:rsid w:val="003A0D67"/>
    <w:rsid w:val="003A14B5"/>
    <w:rsid w:val="003A3BA1"/>
    <w:rsid w:val="003A57D3"/>
    <w:rsid w:val="003C7AFC"/>
    <w:rsid w:val="003E4616"/>
    <w:rsid w:val="003F6F96"/>
    <w:rsid w:val="004022F0"/>
    <w:rsid w:val="00407CA4"/>
    <w:rsid w:val="00416EA5"/>
    <w:rsid w:val="00422822"/>
    <w:rsid w:val="00427064"/>
    <w:rsid w:val="00433D6F"/>
    <w:rsid w:val="0047622E"/>
    <w:rsid w:val="004B2A59"/>
    <w:rsid w:val="004C0291"/>
    <w:rsid w:val="004D0431"/>
    <w:rsid w:val="004E522B"/>
    <w:rsid w:val="005061D2"/>
    <w:rsid w:val="00521C03"/>
    <w:rsid w:val="00523E6A"/>
    <w:rsid w:val="005251E6"/>
    <w:rsid w:val="0053165C"/>
    <w:rsid w:val="005409BD"/>
    <w:rsid w:val="005429E7"/>
    <w:rsid w:val="005554B2"/>
    <w:rsid w:val="00563669"/>
    <w:rsid w:val="0057195F"/>
    <w:rsid w:val="0058362B"/>
    <w:rsid w:val="005838EF"/>
    <w:rsid w:val="005A6122"/>
    <w:rsid w:val="005C246B"/>
    <w:rsid w:val="005C25C2"/>
    <w:rsid w:val="005D539E"/>
    <w:rsid w:val="0066241C"/>
    <w:rsid w:val="00667E1A"/>
    <w:rsid w:val="006702A0"/>
    <w:rsid w:val="00682573"/>
    <w:rsid w:val="0068773D"/>
    <w:rsid w:val="006936A5"/>
    <w:rsid w:val="00694EE4"/>
    <w:rsid w:val="006A1DAC"/>
    <w:rsid w:val="006B0FF7"/>
    <w:rsid w:val="006B2EBE"/>
    <w:rsid w:val="006B529F"/>
    <w:rsid w:val="006B5704"/>
    <w:rsid w:val="006C1723"/>
    <w:rsid w:val="006D78E7"/>
    <w:rsid w:val="007040E1"/>
    <w:rsid w:val="00707BF1"/>
    <w:rsid w:val="0073120F"/>
    <w:rsid w:val="00732F7E"/>
    <w:rsid w:val="00737F5F"/>
    <w:rsid w:val="007529FC"/>
    <w:rsid w:val="00752E89"/>
    <w:rsid w:val="00797B12"/>
    <w:rsid w:val="00797D81"/>
    <w:rsid w:val="007C42BE"/>
    <w:rsid w:val="008000E4"/>
    <w:rsid w:val="008071ED"/>
    <w:rsid w:val="0082278B"/>
    <w:rsid w:val="00822C76"/>
    <w:rsid w:val="008673CF"/>
    <w:rsid w:val="00871B64"/>
    <w:rsid w:val="00883A4E"/>
    <w:rsid w:val="00892076"/>
    <w:rsid w:val="008A3EAA"/>
    <w:rsid w:val="008B792B"/>
    <w:rsid w:val="008D7868"/>
    <w:rsid w:val="0093438B"/>
    <w:rsid w:val="0095307E"/>
    <w:rsid w:val="00957914"/>
    <w:rsid w:val="0096725C"/>
    <w:rsid w:val="0098504C"/>
    <w:rsid w:val="009A1E5E"/>
    <w:rsid w:val="009A3B91"/>
    <w:rsid w:val="009B771D"/>
    <w:rsid w:val="009C13FC"/>
    <w:rsid w:val="009C17EB"/>
    <w:rsid w:val="009C3AE3"/>
    <w:rsid w:val="009D2996"/>
    <w:rsid w:val="009D5120"/>
    <w:rsid w:val="009F0DC8"/>
    <w:rsid w:val="009F2C28"/>
    <w:rsid w:val="009F5000"/>
    <w:rsid w:val="009F700A"/>
    <w:rsid w:val="00A13E81"/>
    <w:rsid w:val="00A41E33"/>
    <w:rsid w:val="00A545C8"/>
    <w:rsid w:val="00A74178"/>
    <w:rsid w:val="00A7429B"/>
    <w:rsid w:val="00A83FC6"/>
    <w:rsid w:val="00AA3E3A"/>
    <w:rsid w:val="00AA4D2D"/>
    <w:rsid w:val="00AB012E"/>
    <w:rsid w:val="00AD7A17"/>
    <w:rsid w:val="00B3285D"/>
    <w:rsid w:val="00B86764"/>
    <w:rsid w:val="00B90914"/>
    <w:rsid w:val="00BB651F"/>
    <w:rsid w:val="00BC58AD"/>
    <w:rsid w:val="00BD4E45"/>
    <w:rsid w:val="00BD6934"/>
    <w:rsid w:val="00BF5A2D"/>
    <w:rsid w:val="00C23CC6"/>
    <w:rsid w:val="00C5717A"/>
    <w:rsid w:val="00C613AC"/>
    <w:rsid w:val="00C6279D"/>
    <w:rsid w:val="00C754F1"/>
    <w:rsid w:val="00CB60DC"/>
    <w:rsid w:val="00CC6285"/>
    <w:rsid w:val="00CD27B1"/>
    <w:rsid w:val="00CE43AB"/>
    <w:rsid w:val="00CE7AEE"/>
    <w:rsid w:val="00D003C6"/>
    <w:rsid w:val="00D03FBB"/>
    <w:rsid w:val="00D41B66"/>
    <w:rsid w:val="00D44EAC"/>
    <w:rsid w:val="00D53F93"/>
    <w:rsid w:val="00D572A8"/>
    <w:rsid w:val="00D671FE"/>
    <w:rsid w:val="00D7370D"/>
    <w:rsid w:val="00DA13E2"/>
    <w:rsid w:val="00DA5110"/>
    <w:rsid w:val="00DB22A4"/>
    <w:rsid w:val="00DB73BC"/>
    <w:rsid w:val="00DD7179"/>
    <w:rsid w:val="00DE2C57"/>
    <w:rsid w:val="00DE41B9"/>
    <w:rsid w:val="00DF0AD1"/>
    <w:rsid w:val="00E1382D"/>
    <w:rsid w:val="00E2210E"/>
    <w:rsid w:val="00E445B5"/>
    <w:rsid w:val="00E537B0"/>
    <w:rsid w:val="00E75A9D"/>
    <w:rsid w:val="00E76EE0"/>
    <w:rsid w:val="00E94448"/>
    <w:rsid w:val="00EA34F2"/>
    <w:rsid w:val="00EB25F0"/>
    <w:rsid w:val="00EE618C"/>
    <w:rsid w:val="00F123A6"/>
    <w:rsid w:val="00F16058"/>
    <w:rsid w:val="00F21343"/>
    <w:rsid w:val="00F26DDF"/>
    <w:rsid w:val="00F32268"/>
    <w:rsid w:val="00F603AE"/>
    <w:rsid w:val="00F767AC"/>
    <w:rsid w:val="00F8243C"/>
    <w:rsid w:val="00FA226F"/>
    <w:rsid w:val="00FA570E"/>
    <w:rsid w:val="00FC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ED"/>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071ED"/>
  </w:style>
  <w:style w:type="paragraph" w:customStyle="1" w:styleId="Style2">
    <w:name w:val="Style2"/>
    <w:basedOn w:val="Normal"/>
    <w:uiPriority w:val="99"/>
    <w:rsid w:val="008071ED"/>
  </w:style>
  <w:style w:type="paragraph" w:customStyle="1" w:styleId="Style3">
    <w:name w:val="Style3"/>
    <w:basedOn w:val="Normal"/>
    <w:uiPriority w:val="99"/>
    <w:rsid w:val="008071ED"/>
  </w:style>
  <w:style w:type="paragraph" w:customStyle="1" w:styleId="Style4">
    <w:name w:val="Style4"/>
    <w:basedOn w:val="Normal"/>
    <w:uiPriority w:val="99"/>
    <w:rsid w:val="008071ED"/>
  </w:style>
  <w:style w:type="paragraph" w:customStyle="1" w:styleId="Style5">
    <w:name w:val="Style5"/>
    <w:basedOn w:val="Normal"/>
    <w:uiPriority w:val="99"/>
    <w:rsid w:val="008071ED"/>
  </w:style>
  <w:style w:type="paragraph" w:customStyle="1" w:styleId="Style6">
    <w:name w:val="Style6"/>
    <w:basedOn w:val="Normal"/>
    <w:uiPriority w:val="99"/>
    <w:rsid w:val="008071ED"/>
  </w:style>
  <w:style w:type="paragraph" w:customStyle="1" w:styleId="Style7">
    <w:name w:val="Style7"/>
    <w:basedOn w:val="Normal"/>
    <w:uiPriority w:val="99"/>
    <w:rsid w:val="008071ED"/>
  </w:style>
  <w:style w:type="paragraph" w:customStyle="1" w:styleId="Style8">
    <w:name w:val="Style8"/>
    <w:basedOn w:val="Normal"/>
    <w:uiPriority w:val="99"/>
    <w:rsid w:val="008071ED"/>
  </w:style>
  <w:style w:type="paragraph" w:customStyle="1" w:styleId="Style9">
    <w:name w:val="Style9"/>
    <w:basedOn w:val="Normal"/>
    <w:uiPriority w:val="99"/>
    <w:rsid w:val="008071ED"/>
  </w:style>
  <w:style w:type="paragraph" w:customStyle="1" w:styleId="Style10">
    <w:name w:val="Style10"/>
    <w:basedOn w:val="Normal"/>
    <w:uiPriority w:val="99"/>
    <w:rsid w:val="008071ED"/>
  </w:style>
  <w:style w:type="paragraph" w:customStyle="1" w:styleId="Style11">
    <w:name w:val="Style11"/>
    <w:basedOn w:val="Normal"/>
    <w:uiPriority w:val="99"/>
    <w:rsid w:val="008071ED"/>
  </w:style>
  <w:style w:type="paragraph" w:customStyle="1" w:styleId="Style12">
    <w:name w:val="Style12"/>
    <w:basedOn w:val="Normal"/>
    <w:uiPriority w:val="99"/>
    <w:rsid w:val="008071ED"/>
  </w:style>
  <w:style w:type="paragraph" w:customStyle="1" w:styleId="Style13">
    <w:name w:val="Style13"/>
    <w:basedOn w:val="Normal"/>
    <w:uiPriority w:val="99"/>
    <w:rsid w:val="008071ED"/>
  </w:style>
  <w:style w:type="paragraph" w:customStyle="1" w:styleId="Style14">
    <w:name w:val="Style14"/>
    <w:basedOn w:val="Normal"/>
    <w:uiPriority w:val="99"/>
    <w:rsid w:val="008071ED"/>
  </w:style>
  <w:style w:type="paragraph" w:customStyle="1" w:styleId="Style15">
    <w:name w:val="Style15"/>
    <w:basedOn w:val="Normal"/>
    <w:uiPriority w:val="99"/>
    <w:rsid w:val="008071ED"/>
  </w:style>
  <w:style w:type="paragraph" w:customStyle="1" w:styleId="Style16">
    <w:name w:val="Style16"/>
    <w:basedOn w:val="Normal"/>
    <w:uiPriority w:val="99"/>
    <w:rsid w:val="008071ED"/>
  </w:style>
  <w:style w:type="paragraph" w:customStyle="1" w:styleId="Style17">
    <w:name w:val="Style17"/>
    <w:basedOn w:val="Normal"/>
    <w:uiPriority w:val="99"/>
    <w:rsid w:val="008071ED"/>
  </w:style>
  <w:style w:type="paragraph" w:customStyle="1" w:styleId="Style18">
    <w:name w:val="Style18"/>
    <w:basedOn w:val="Normal"/>
    <w:uiPriority w:val="99"/>
    <w:rsid w:val="008071ED"/>
  </w:style>
  <w:style w:type="paragraph" w:customStyle="1" w:styleId="Style19">
    <w:name w:val="Style19"/>
    <w:basedOn w:val="Normal"/>
    <w:uiPriority w:val="99"/>
    <w:rsid w:val="008071ED"/>
  </w:style>
  <w:style w:type="paragraph" w:customStyle="1" w:styleId="Style20">
    <w:name w:val="Style20"/>
    <w:basedOn w:val="Normal"/>
    <w:uiPriority w:val="99"/>
    <w:rsid w:val="008071ED"/>
  </w:style>
  <w:style w:type="paragraph" w:customStyle="1" w:styleId="Style21">
    <w:name w:val="Style21"/>
    <w:basedOn w:val="Normal"/>
    <w:uiPriority w:val="99"/>
    <w:rsid w:val="008071ED"/>
  </w:style>
  <w:style w:type="paragraph" w:customStyle="1" w:styleId="Style22">
    <w:name w:val="Style22"/>
    <w:basedOn w:val="Normal"/>
    <w:uiPriority w:val="99"/>
    <w:rsid w:val="008071ED"/>
  </w:style>
  <w:style w:type="paragraph" w:customStyle="1" w:styleId="Style23">
    <w:name w:val="Style23"/>
    <w:basedOn w:val="Normal"/>
    <w:uiPriority w:val="99"/>
    <w:rsid w:val="008071ED"/>
  </w:style>
  <w:style w:type="paragraph" w:customStyle="1" w:styleId="Style24">
    <w:name w:val="Style24"/>
    <w:basedOn w:val="Normal"/>
    <w:uiPriority w:val="99"/>
    <w:rsid w:val="008071ED"/>
  </w:style>
  <w:style w:type="paragraph" w:customStyle="1" w:styleId="Style25">
    <w:name w:val="Style25"/>
    <w:basedOn w:val="Normal"/>
    <w:uiPriority w:val="99"/>
    <w:rsid w:val="008071ED"/>
  </w:style>
  <w:style w:type="paragraph" w:customStyle="1" w:styleId="Style26">
    <w:name w:val="Style26"/>
    <w:basedOn w:val="Normal"/>
    <w:uiPriority w:val="99"/>
    <w:rsid w:val="008071ED"/>
  </w:style>
  <w:style w:type="paragraph" w:customStyle="1" w:styleId="Style27">
    <w:name w:val="Style27"/>
    <w:basedOn w:val="Normal"/>
    <w:uiPriority w:val="99"/>
    <w:rsid w:val="008071ED"/>
  </w:style>
  <w:style w:type="paragraph" w:customStyle="1" w:styleId="Style28">
    <w:name w:val="Style28"/>
    <w:basedOn w:val="Normal"/>
    <w:uiPriority w:val="99"/>
    <w:rsid w:val="008071ED"/>
  </w:style>
  <w:style w:type="paragraph" w:customStyle="1" w:styleId="Style29">
    <w:name w:val="Style29"/>
    <w:basedOn w:val="Normal"/>
    <w:uiPriority w:val="99"/>
    <w:rsid w:val="008071ED"/>
  </w:style>
  <w:style w:type="paragraph" w:customStyle="1" w:styleId="Style30">
    <w:name w:val="Style30"/>
    <w:basedOn w:val="Normal"/>
    <w:uiPriority w:val="99"/>
    <w:rsid w:val="008071ED"/>
  </w:style>
  <w:style w:type="paragraph" w:customStyle="1" w:styleId="Style31">
    <w:name w:val="Style31"/>
    <w:basedOn w:val="Normal"/>
    <w:uiPriority w:val="99"/>
    <w:rsid w:val="008071ED"/>
  </w:style>
  <w:style w:type="paragraph" w:customStyle="1" w:styleId="Style32">
    <w:name w:val="Style32"/>
    <w:basedOn w:val="Normal"/>
    <w:uiPriority w:val="99"/>
    <w:rsid w:val="008071ED"/>
  </w:style>
  <w:style w:type="paragraph" w:customStyle="1" w:styleId="Style33">
    <w:name w:val="Style33"/>
    <w:basedOn w:val="Normal"/>
    <w:uiPriority w:val="99"/>
    <w:rsid w:val="008071ED"/>
  </w:style>
  <w:style w:type="paragraph" w:customStyle="1" w:styleId="Style34">
    <w:name w:val="Style34"/>
    <w:basedOn w:val="Normal"/>
    <w:uiPriority w:val="99"/>
    <w:rsid w:val="008071ED"/>
  </w:style>
  <w:style w:type="paragraph" w:customStyle="1" w:styleId="Style35">
    <w:name w:val="Style35"/>
    <w:basedOn w:val="Normal"/>
    <w:uiPriority w:val="99"/>
    <w:rsid w:val="008071ED"/>
  </w:style>
  <w:style w:type="paragraph" w:customStyle="1" w:styleId="Style36">
    <w:name w:val="Style36"/>
    <w:basedOn w:val="Normal"/>
    <w:uiPriority w:val="99"/>
    <w:rsid w:val="008071ED"/>
  </w:style>
  <w:style w:type="paragraph" w:customStyle="1" w:styleId="Style37">
    <w:name w:val="Style37"/>
    <w:basedOn w:val="Normal"/>
    <w:uiPriority w:val="99"/>
    <w:rsid w:val="008071ED"/>
  </w:style>
  <w:style w:type="paragraph" w:customStyle="1" w:styleId="Style38">
    <w:name w:val="Style38"/>
    <w:basedOn w:val="Normal"/>
    <w:uiPriority w:val="99"/>
    <w:rsid w:val="008071ED"/>
  </w:style>
  <w:style w:type="paragraph" w:customStyle="1" w:styleId="Style39">
    <w:name w:val="Style39"/>
    <w:basedOn w:val="Normal"/>
    <w:uiPriority w:val="99"/>
    <w:rsid w:val="008071ED"/>
  </w:style>
  <w:style w:type="paragraph" w:customStyle="1" w:styleId="Style40">
    <w:name w:val="Style40"/>
    <w:basedOn w:val="Normal"/>
    <w:uiPriority w:val="99"/>
    <w:rsid w:val="008071ED"/>
  </w:style>
  <w:style w:type="paragraph" w:customStyle="1" w:styleId="Style41">
    <w:name w:val="Style41"/>
    <w:basedOn w:val="Normal"/>
    <w:uiPriority w:val="99"/>
    <w:rsid w:val="008071ED"/>
  </w:style>
  <w:style w:type="paragraph" w:customStyle="1" w:styleId="Style42">
    <w:name w:val="Style42"/>
    <w:basedOn w:val="Normal"/>
    <w:uiPriority w:val="99"/>
    <w:rsid w:val="008071ED"/>
  </w:style>
  <w:style w:type="paragraph" w:customStyle="1" w:styleId="Style43">
    <w:name w:val="Style43"/>
    <w:basedOn w:val="Normal"/>
    <w:uiPriority w:val="99"/>
    <w:rsid w:val="008071ED"/>
  </w:style>
  <w:style w:type="paragraph" w:customStyle="1" w:styleId="Style44">
    <w:name w:val="Style44"/>
    <w:basedOn w:val="Normal"/>
    <w:uiPriority w:val="99"/>
    <w:rsid w:val="008071ED"/>
  </w:style>
  <w:style w:type="paragraph" w:customStyle="1" w:styleId="Style45">
    <w:name w:val="Style45"/>
    <w:basedOn w:val="Normal"/>
    <w:uiPriority w:val="99"/>
    <w:rsid w:val="008071ED"/>
  </w:style>
  <w:style w:type="paragraph" w:customStyle="1" w:styleId="Style46">
    <w:name w:val="Style46"/>
    <w:basedOn w:val="Normal"/>
    <w:uiPriority w:val="99"/>
    <w:rsid w:val="008071ED"/>
  </w:style>
  <w:style w:type="paragraph" w:customStyle="1" w:styleId="Style47">
    <w:name w:val="Style47"/>
    <w:basedOn w:val="Normal"/>
    <w:uiPriority w:val="99"/>
    <w:rsid w:val="008071ED"/>
  </w:style>
  <w:style w:type="paragraph" w:customStyle="1" w:styleId="Style48">
    <w:name w:val="Style48"/>
    <w:basedOn w:val="Normal"/>
    <w:uiPriority w:val="99"/>
    <w:rsid w:val="008071ED"/>
  </w:style>
  <w:style w:type="paragraph" w:customStyle="1" w:styleId="Style49">
    <w:name w:val="Style49"/>
    <w:basedOn w:val="Normal"/>
    <w:uiPriority w:val="99"/>
    <w:rsid w:val="008071ED"/>
  </w:style>
  <w:style w:type="paragraph" w:customStyle="1" w:styleId="Style50">
    <w:name w:val="Style50"/>
    <w:basedOn w:val="Normal"/>
    <w:uiPriority w:val="99"/>
    <w:rsid w:val="008071ED"/>
  </w:style>
  <w:style w:type="character" w:customStyle="1" w:styleId="FontStyle52">
    <w:name w:val="Font Style52"/>
    <w:basedOn w:val="DefaultParagraphFont"/>
    <w:uiPriority w:val="99"/>
    <w:rsid w:val="008071ED"/>
    <w:rPr>
      <w:rFonts w:ascii="Times New Roman" w:hAnsi="Times New Roman" w:cs="Times New Roman"/>
      <w:sz w:val="30"/>
      <w:szCs w:val="30"/>
    </w:rPr>
  </w:style>
  <w:style w:type="character" w:customStyle="1" w:styleId="FontStyle53">
    <w:name w:val="Font Style53"/>
    <w:basedOn w:val="DefaultParagraphFont"/>
    <w:uiPriority w:val="99"/>
    <w:rsid w:val="008071ED"/>
    <w:rPr>
      <w:rFonts w:ascii="Times New Roman" w:hAnsi="Times New Roman" w:cs="Times New Roman"/>
      <w:b/>
      <w:bCs/>
      <w:sz w:val="24"/>
      <w:szCs w:val="24"/>
    </w:rPr>
  </w:style>
  <w:style w:type="character" w:customStyle="1" w:styleId="FontStyle54">
    <w:name w:val="Font Style54"/>
    <w:basedOn w:val="DefaultParagraphFont"/>
    <w:uiPriority w:val="99"/>
    <w:rsid w:val="008071ED"/>
    <w:rPr>
      <w:rFonts w:ascii="Times New Roman" w:hAnsi="Times New Roman" w:cs="Times New Roman"/>
      <w:sz w:val="24"/>
      <w:szCs w:val="24"/>
    </w:rPr>
  </w:style>
  <w:style w:type="character" w:customStyle="1" w:styleId="FontStyle55">
    <w:name w:val="Font Style55"/>
    <w:basedOn w:val="DefaultParagraphFont"/>
    <w:uiPriority w:val="99"/>
    <w:rsid w:val="008071ED"/>
    <w:rPr>
      <w:rFonts w:ascii="Times New Roman" w:hAnsi="Times New Roman" w:cs="Times New Roman"/>
      <w:sz w:val="48"/>
      <w:szCs w:val="48"/>
    </w:rPr>
  </w:style>
  <w:style w:type="character" w:customStyle="1" w:styleId="FontStyle56">
    <w:name w:val="Font Style56"/>
    <w:basedOn w:val="DefaultParagraphFont"/>
    <w:uiPriority w:val="99"/>
    <w:rsid w:val="008071ED"/>
    <w:rPr>
      <w:rFonts w:ascii="Times New Roman" w:hAnsi="Times New Roman" w:cs="Times New Roman"/>
      <w:b/>
      <w:bCs/>
      <w:i/>
      <w:iCs/>
      <w:sz w:val="18"/>
      <w:szCs w:val="18"/>
    </w:rPr>
  </w:style>
  <w:style w:type="character" w:customStyle="1" w:styleId="FontStyle57">
    <w:name w:val="Font Style57"/>
    <w:basedOn w:val="DefaultParagraphFont"/>
    <w:uiPriority w:val="99"/>
    <w:rsid w:val="008071ED"/>
    <w:rPr>
      <w:rFonts w:ascii="Times New Roman" w:hAnsi="Times New Roman" w:cs="Times New Roman"/>
      <w:b/>
      <w:bCs/>
      <w:sz w:val="14"/>
      <w:szCs w:val="14"/>
    </w:rPr>
  </w:style>
  <w:style w:type="character" w:customStyle="1" w:styleId="FontStyle58">
    <w:name w:val="Font Style58"/>
    <w:basedOn w:val="DefaultParagraphFont"/>
    <w:uiPriority w:val="99"/>
    <w:rsid w:val="008071ED"/>
    <w:rPr>
      <w:rFonts w:ascii="Times New Roman" w:hAnsi="Times New Roman" w:cs="Times New Roman"/>
      <w:sz w:val="18"/>
      <w:szCs w:val="18"/>
    </w:rPr>
  </w:style>
  <w:style w:type="character" w:customStyle="1" w:styleId="FontStyle59">
    <w:name w:val="Font Style59"/>
    <w:basedOn w:val="DefaultParagraphFont"/>
    <w:uiPriority w:val="99"/>
    <w:rsid w:val="008071ED"/>
    <w:rPr>
      <w:rFonts w:ascii="Franklin Gothic Medium" w:hAnsi="Franklin Gothic Medium" w:cs="Franklin Gothic Medium"/>
      <w:b/>
      <w:bCs/>
      <w:sz w:val="18"/>
      <w:szCs w:val="18"/>
    </w:rPr>
  </w:style>
  <w:style w:type="character" w:customStyle="1" w:styleId="FontStyle60">
    <w:name w:val="Font Style60"/>
    <w:basedOn w:val="DefaultParagraphFont"/>
    <w:uiPriority w:val="99"/>
    <w:rsid w:val="008071ED"/>
    <w:rPr>
      <w:rFonts w:ascii="Times New Roman" w:hAnsi="Times New Roman" w:cs="Times New Roman"/>
      <w:b/>
      <w:bCs/>
      <w:sz w:val="12"/>
      <w:szCs w:val="12"/>
    </w:rPr>
  </w:style>
  <w:style w:type="character" w:customStyle="1" w:styleId="FontStyle61">
    <w:name w:val="Font Style61"/>
    <w:basedOn w:val="DefaultParagraphFont"/>
    <w:uiPriority w:val="99"/>
    <w:rsid w:val="008071ED"/>
    <w:rPr>
      <w:rFonts w:ascii="Times New Roman" w:hAnsi="Times New Roman" w:cs="Times New Roman"/>
      <w:b/>
      <w:bCs/>
      <w:sz w:val="18"/>
      <w:szCs w:val="18"/>
    </w:rPr>
  </w:style>
  <w:style w:type="character" w:customStyle="1" w:styleId="FontStyle62">
    <w:name w:val="Font Style62"/>
    <w:basedOn w:val="DefaultParagraphFont"/>
    <w:uiPriority w:val="99"/>
    <w:rsid w:val="008071ED"/>
    <w:rPr>
      <w:rFonts w:ascii="Times New Roman" w:hAnsi="Times New Roman" w:cs="Times New Roman"/>
      <w:b/>
      <w:bCs/>
      <w:i/>
      <w:iCs/>
      <w:sz w:val="12"/>
      <w:szCs w:val="12"/>
    </w:rPr>
  </w:style>
  <w:style w:type="character" w:customStyle="1" w:styleId="FontStyle63">
    <w:name w:val="Font Style63"/>
    <w:basedOn w:val="DefaultParagraphFont"/>
    <w:uiPriority w:val="99"/>
    <w:rsid w:val="008071ED"/>
    <w:rPr>
      <w:rFonts w:ascii="Times New Roman" w:hAnsi="Times New Roman" w:cs="Times New Roman"/>
      <w:i/>
      <w:iCs/>
      <w:sz w:val="24"/>
      <w:szCs w:val="24"/>
    </w:rPr>
  </w:style>
  <w:style w:type="character" w:customStyle="1" w:styleId="FontStyle64">
    <w:name w:val="Font Style64"/>
    <w:basedOn w:val="DefaultParagraphFont"/>
    <w:uiPriority w:val="99"/>
    <w:rsid w:val="008071ED"/>
    <w:rPr>
      <w:rFonts w:ascii="Times New Roman" w:hAnsi="Times New Roman" w:cs="Times New Roman"/>
      <w:b/>
      <w:bCs/>
      <w:smallCaps/>
      <w:sz w:val="12"/>
      <w:szCs w:val="12"/>
    </w:rPr>
  </w:style>
  <w:style w:type="character" w:customStyle="1" w:styleId="FontStyle65">
    <w:name w:val="Font Style65"/>
    <w:basedOn w:val="DefaultParagraphFont"/>
    <w:uiPriority w:val="99"/>
    <w:rsid w:val="008071ED"/>
    <w:rPr>
      <w:rFonts w:ascii="Franklin Gothic Medium" w:hAnsi="Franklin Gothic Medium" w:cs="Franklin Gothic Medium"/>
      <w:smallCaps/>
      <w:sz w:val="16"/>
      <w:szCs w:val="16"/>
    </w:rPr>
  </w:style>
  <w:style w:type="character" w:customStyle="1" w:styleId="FontStyle66">
    <w:name w:val="Font Style66"/>
    <w:basedOn w:val="DefaultParagraphFont"/>
    <w:uiPriority w:val="99"/>
    <w:rsid w:val="008071ED"/>
    <w:rPr>
      <w:rFonts w:ascii="Times New Roman" w:hAnsi="Times New Roman" w:cs="Times New Roman"/>
      <w:b/>
      <w:bCs/>
      <w:spacing w:val="10"/>
      <w:sz w:val="18"/>
      <w:szCs w:val="18"/>
    </w:rPr>
  </w:style>
  <w:style w:type="character" w:customStyle="1" w:styleId="FontStyle67">
    <w:name w:val="Font Style67"/>
    <w:basedOn w:val="DefaultParagraphFont"/>
    <w:uiPriority w:val="99"/>
    <w:rsid w:val="008071ED"/>
    <w:rPr>
      <w:rFonts w:ascii="Times New Roman" w:hAnsi="Times New Roman" w:cs="Times New Roman"/>
      <w:b/>
      <w:bCs/>
      <w:smallCaps/>
      <w:sz w:val="18"/>
      <w:szCs w:val="18"/>
    </w:rPr>
  </w:style>
  <w:style w:type="character" w:customStyle="1" w:styleId="FontStyle68">
    <w:name w:val="Font Style68"/>
    <w:basedOn w:val="DefaultParagraphFont"/>
    <w:uiPriority w:val="99"/>
    <w:rsid w:val="008071ED"/>
    <w:rPr>
      <w:rFonts w:ascii="Courier New" w:hAnsi="Courier New" w:cs="Courier New"/>
      <w:sz w:val="60"/>
      <w:szCs w:val="60"/>
    </w:rPr>
  </w:style>
  <w:style w:type="character" w:customStyle="1" w:styleId="FontStyle69">
    <w:name w:val="Font Style69"/>
    <w:basedOn w:val="DefaultParagraphFont"/>
    <w:uiPriority w:val="99"/>
    <w:rsid w:val="008071ED"/>
    <w:rPr>
      <w:rFonts w:ascii="Times New Roman" w:hAnsi="Times New Roman" w:cs="Times New Roman"/>
      <w:b/>
      <w:bCs/>
      <w:smallCaps/>
      <w:sz w:val="18"/>
      <w:szCs w:val="18"/>
    </w:rPr>
  </w:style>
  <w:style w:type="character" w:customStyle="1" w:styleId="FontStyle70">
    <w:name w:val="Font Style70"/>
    <w:basedOn w:val="DefaultParagraphFont"/>
    <w:uiPriority w:val="99"/>
    <w:rsid w:val="008071ED"/>
    <w:rPr>
      <w:rFonts w:ascii="Times New Roman" w:hAnsi="Times New Roman" w:cs="Times New Roman"/>
      <w:b/>
      <w:bCs/>
      <w:i/>
      <w:iCs/>
      <w:sz w:val="14"/>
      <w:szCs w:val="14"/>
    </w:rPr>
  </w:style>
  <w:style w:type="character" w:customStyle="1" w:styleId="FontStyle71">
    <w:name w:val="Font Style71"/>
    <w:basedOn w:val="DefaultParagraphFont"/>
    <w:uiPriority w:val="99"/>
    <w:rsid w:val="008071ED"/>
    <w:rPr>
      <w:rFonts w:ascii="Times New Roman" w:hAnsi="Times New Roman" w:cs="Times New Roman"/>
      <w:i/>
      <w:iCs/>
      <w:spacing w:val="20"/>
      <w:sz w:val="18"/>
      <w:szCs w:val="18"/>
    </w:rPr>
  </w:style>
  <w:style w:type="character" w:customStyle="1" w:styleId="FontStyle72">
    <w:name w:val="Font Style72"/>
    <w:basedOn w:val="DefaultParagraphFont"/>
    <w:uiPriority w:val="99"/>
    <w:rsid w:val="008071ED"/>
    <w:rPr>
      <w:rFonts w:ascii="Times New Roman" w:hAnsi="Times New Roman" w:cs="Times New Roman"/>
      <w:b/>
      <w:bCs/>
      <w:sz w:val="14"/>
      <w:szCs w:val="14"/>
    </w:rPr>
  </w:style>
  <w:style w:type="character" w:customStyle="1" w:styleId="FontStyle73">
    <w:name w:val="Font Style73"/>
    <w:basedOn w:val="DefaultParagraphFont"/>
    <w:uiPriority w:val="99"/>
    <w:rsid w:val="008071ED"/>
    <w:rPr>
      <w:rFonts w:ascii="Times New Roman" w:hAnsi="Times New Roman" w:cs="Times New Roman"/>
      <w:sz w:val="18"/>
      <w:szCs w:val="18"/>
    </w:rPr>
  </w:style>
  <w:style w:type="character" w:customStyle="1" w:styleId="FontStyle74">
    <w:name w:val="Font Style74"/>
    <w:basedOn w:val="DefaultParagraphFont"/>
    <w:uiPriority w:val="99"/>
    <w:rsid w:val="008071ED"/>
    <w:rPr>
      <w:rFonts w:ascii="Times New Roman" w:hAnsi="Times New Roman" w:cs="Times New Roman"/>
      <w:b/>
      <w:bCs/>
      <w:sz w:val="14"/>
      <w:szCs w:val="14"/>
    </w:rPr>
  </w:style>
  <w:style w:type="character" w:customStyle="1" w:styleId="FontStyle75">
    <w:name w:val="Font Style75"/>
    <w:basedOn w:val="DefaultParagraphFont"/>
    <w:uiPriority w:val="99"/>
    <w:rsid w:val="008071ED"/>
    <w:rPr>
      <w:rFonts w:ascii="Times New Roman" w:hAnsi="Times New Roman" w:cs="Times New Roman"/>
      <w:b/>
      <w:bCs/>
      <w:smallCaps/>
      <w:sz w:val="14"/>
      <w:szCs w:val="14"/>
    </w:rPr>
  </w:style>
  <w:style w:type="character" w:customStyle="1" w:styleId="FontStyle76">
    <w:name w:val="Font Style76"/>
    <w:basedOn w:val="DefaultParagraphFont"/>
    <w:uiPriority w:val="99"/>
    <w:rsid w:val="008071ED"/>
    <w:rPr>
      <w:rFonts w:ascii="Courier New" w:hAnsi="Courier New" w:cs="Courier New"/>
      <w:b/>
      <w:bCs/>
      <w:i/>
      <w:iCs/>
      <w:sz w:val="24"/>
      <w:szCs w:val="24"/>
    </w:rPr>
  </w:style>
  <w:style w:type="character" w:customStyle="1" w:styleId="FontStyle77">
    <w:name w:val="Font Style77"/>
    <w:basedOn w:val="DefaultParagraphFont"/>
    <w:uiPriority w:val="99"/>
    <w:rsid w:val="008071ED"/>
    <w:rPr>
      <w:rFonts w:ascii="Book Antiqua" w:hAnsi="Book Antiqua" w:cs="Book Antiqua"/>
      <w:b/>
      <w:bCs/>
      <w:i/>
      <w:iCs/>
      <w:spacing w:val="10"/>
      <w:sz w:val="14"/>
      <w:szCs w:val="14"/>
    </w:rPr>
  </w:style>
  <w:style w:type="character" w:customStyle="1" w:styleId="FontStyle78">
    <w:name w:val="Font Style78"/>
    <w:basedOn w:val="DefaultParagraphFont"/>
    <w:uiPriority w:val="99"/>
    <w:rsid w:val="008071ED"/>
    <w:rPr>
      <w:rFonts w:ascii="Georgia" w:hAnsi="Georgia" w:cs="Georgia"/>
      <w:b/>
      <w:bCs/>
      <w:sz w:val="16"/>
      <w:szCs w:val="16"/>
    </w:rPr>
  </w:style>
  <w:style w:type="character" w:customStyle="1" w:styleId="FontStyle79">
    <w:name w:val="Font Style79"/>
    <w:basedOn w:val="DefaultParagraphFont"/>
    <w:uiPriority w:val="99"/>
    <w:rsid w:val="008071ED"/>
    <w:rPr>
      <w:rFonts w:ascii="Franklin Gothic Medium" w:hAnsi="Franklin Gothic Medium" w:cs="Franklin Gothic Medium"/>
      <w:i/>
      <w:iCs/>
      <w:smallCaps/>
      <w:sz w:val="16"/>
      <w:szCs w:val="16"/>
    </w:rPr>
  </w:style>
  <w:style w:type="character" w:customStyle="1" w:styleId="FontStyle80">
    <w:name w:val="Font Style80"/>
    <w:basedOn w:val="DefaultParagraphFont"/>
    <w:uiPriority w:val="99"/>
    <w:rsid w:val="008071ED"/>
    <w:rPr>
      <w:rFonts w:ascii="Times New Roman" w:hAnsi="Times New Roman" w:cs="Times New Roman"/>
      <w:b/>
      <w:bCs/>
      <w:smallCaps/>
      <w:spacing w:val="20"/>
      <w:sz w:val="16"/>
      <w:szCs w:val="16"/>
    </w:rPr>
  </w:style>
  <w:style w:type="paragraph" w:styleId="Header">
    <w:name w:val="header"/>
    <w:basedOn w:val="Normal"/>
    <w:link w:val="HeaderChar"/>
    <w:uiPriority w:val="99"/>
    <w:semiHidden/>
    <w:unhideWhenUsed/>
    <w:rsid w:val="006B2EBE"/>
    <w:pPr>
      <w:tabs>
        <w:tab w:val="center" w:pos="4680"/>
        <w:tab w:val="right" w:pos="9360"/>
      </w:tabs>
    </w:pPr>
  </w:style>
  <w:style w:type="character" w:customStyle="1" w:styleId="HeaderChar">
    <w:name w:val="Header Char"/>
    <w:basedOn w:val="DefaultParagraphFont"/>
    <w:link w:val="Header"/>
    <w:uiPriority w:val="99"/>
    <w:semiHidden/>
    <w:rsid w:val="006B2EBE"/>
    <w:rPr>
      <w:rFonts w:hAnsi="Times New Roman"/>
      <w:sz w:val="24"/>
      <w:szCs w:val="24"/>
    </w:rPr>
  </w:style>
  <w:style w:type="paragraph" w:styleId="Footer">
    <w:name w:val="footer"/>
    <w:basedOn w:val="Normal"/>
    <w:link w:val="FooterChar"/>
    <w:uiPriority w:val="99"/>
    <w:semiHidden/>
    <w:unhideWhenUsed/>
    <w:rsid w:val="006B2EBE"/>
    <w:pPr>
      <w:tabs>
        <w:tab w:val="center" w:pos="4680"/>
        <w:tab w:val="right" w:pos="9360"/>
      </w:tabs>
    </w:pPr>
  </w:style>
  <w:style w:type="character" w:customStyle="1" w:styleId="FooterChar">
    <w:name w:val="Footer Char"/>
    <w:basedOn w:val="DefaultParagraphFont"/>
    <w:link w:val="Footer"/>
    <w:uiPriority w:val="99"/>
    <w:semiHidden/>
    <w:rsid w:val="006B2EBE"/>
    <w:rPr>
      <w:rFonts w:hAnsi="Times New Roman"/>
      <w:sz w:val="24"/>
      <w:szCs w:val="24"/>
    </w:rPr>
  </w:style>
  <w:style w:type="paragraph" w:styleId="BalloonText">
    <w:name w:val="Balloon Text"/>
    <w:basedOn w:val="Normal"/>
    <w:link w:val="BalloonTextChar"/>
    <w:uiPriority w:val="99"/>
    <w:semiHidden/>
    <w:unhideWhenUsed/>
    <w:rsid w:val="006B2EBE"/>
    <w:rPr>
      <w:rFonts w:ascii="Tahoma" w:hAnsi="Tahoma" w:cs="Tahoma"/>
      <w:sz w:val="16"/>
      <w:szCs w:val="16"/>
    </w:rPr>
  </w:style>
  <w:style w:type="character" w:customStyle="1" w:styleId="BalloonTextChar">
    <w:name w:val="Balloon Text Char"/>
    <w:basedOn w:val="DefaultParagraphFont"/>
    <w:link w:val="BalloonText"/>
    <w:uiPriority w:val="99"/>
    <w:semiHidden/>
    <w:rsid w:val="006B2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1362</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76</cp:revision>
  <dcterms:created xsi:type="dcterms:W3CDTF">2017-04-04T09:35:00Z</dcterms:created>
  <dcterms:modified xsi:type="dcterms:W3CDTF">2017-07-11T23:36:00Z</dcterms:modified>
</cp:coreProperties>
</file>