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91" w:rsidRDefault="004C0291" w:rsidP="00684F53">
      <w:pPr>
        <w:pBdr>
          <w:top w:val="single" w:sz="4" w:space="1" w:color="auto"/>
        </w:pBdr>
        <w:spacing w:before="6400" w:after="120"/>
        <w:ind w:left="3312" w:right="3312"/>
        <w:jc w:val="center"/>
        <w:rPr>
          <w:sz w:val="22"/>
        </w:rPr>
      </w:pPr>
    </w:p>
    <w:p w:rsidR="00363333" w:rsidRPr="004C0291" w:rsidRDefault="00363333" w:rsidP="004C0291">
      <w:pPr>
        <w:spacing w:before="240" w:after="240"/>
        <w:jc w:val="center"/>
        <w:rPr>
          <w:sz w:val="36"/>
          <w:szCs w:val="36"/>
        </w:rPr>
      </w:pPr>
      <w:r w:rsidRPr="004C0291">
        <w:rPr>
          <w:sz w:val="36"/>
          <w:szCs w:val="36"/>
        </w:rPr>
        <w:t>ADVANCES TO SETTLERS.</w:t>
      </w:r>
    </w:p>
    <w:p w:rsidR="004C0291" w:rsidRDefault="004C0291" w:rsidP="00684F53">
      <w:pPr>
        <w:pBdr>
          <w:bottom w:val="single" w:sz="4" w:space="1" w:color="auto"/>
        </w:pBdr>
        <w:spacing w:before="120" w:after="120"/>
        <w:ind w:left="4032" w:right="4032"/>
        <w:jc w:val="center"/>
        <w:rPr>
          <w:b/>
          <w:sz w:val="22"/>
        </w:rPr>
      </w:pPr>
    </w:p>
    <w:p w:rsidR="00CE7AEE" w:rsidRPr="004C0291" w:rsidRDefault="00B90914" w:rsidP="004C0291">
      <w:pPr>
        <w:spacing w:before="240" w:after="240"/>
        <w:jc w:val="center"/>
        <w:rPr>
          <w:sz w:val="28"/>
          <w:szCs w:val="28"/>
        </w:rPr>
      </w:pPr>
      <w:r w:rsidRPr="004C0291">
        <w:rPr>
          <w:b/>
          <w:sz w:val="28"/>
          <w:szCs w:val="28"/>
        </w:rPr>
        <w:t>No. 19 of 1923.</w:t>
      </w:r>
    </w:p>
    <w:p w:rsidR="00363333" w:rsidRPr="004C0291" w:rsidRDefault="00363333" w:rsidP="00DE0C69">
      <w:pPr>
        <w:jc w:val="center"/>
        <w:rPr>
          <w:sz w:val="26"/>
          <w:szCs w:val="26"/>
        </w:rPr>
      </w:pPr>
      <w:r w:rsidRPr="004C0291">
        <w:rPr>
          <w:sz w:val="26"/>
          <w:szCs w:val="26"/>
        </w:rPr>
        <w:t>An Act to provide for the Supply of Wire Netting to Settlers.</w:t>
      </w:r>
    </w:p>
    <w:p w:rsidR="00363333" w:rsidRPr="004C0291" w:rsidRDefault="00363333" w:rsidP="00982856">
      <w:pPr>
        <w:spacing w:before="120" w:after="120"/>
        <w:jc w:val="right"/>
        <w:rPr>
          <w:sz w:val="26"/>
          <w:szCs w:val="26"/>
        </w:rPr>
      </w:pPr>
      <w:r w:rsidRPr="004C0291">
        <w:rPr>
          <w:sz w:val="26"/>
          <w:szCs w:val="26"/>
        </w:rPr>
        <w:t>[Assented to 1st September, 1923.]</w:t>
      </w:r>
    </w:p>
    <w:p w:rsidR="00CE7AEE" w:rsidRPr="004C0291" w:rsidRDefault="00B90914" w:rsidP="00564A46">
      <w:pPr>
        <w:widowControl/>
        <w:spacing w:after="60"/>
        <w:jc w:val="both"/>
        <w:rPr>
          <w:b/>
          <w:sz w:val="20"/>
        </w:rPr>
      </w:pPr>
      <w:r w:rsidRPr="004C0291">
        <w:rPr>
          <w:b/>
          <w:sz w:val="20"/>
        </w:rPr>
        <w:t>Preamble.</w:t>
      </w:r>
    </w:p>
    <w:p w:rsidR="00363333" w:rsidRPr="004D0911" w:rsidRDefault="00363333" w:rsidP="00564A46">
      <w:pPr>
        <w:jc w:val="both"/>
        <w:rPr>
          <w:sz w:val="22"/>
          <w:szCs w:val="22"/>
        </w:rPr>
      </w:pPr>
      <w:r w:rsidRPr="004D0911">
        <w:rPr>
          <w:sz w:val="22"/>
          <w:szCs w:val="22"/>
        </w:rPr>
        <w:t>BE it enacted by the King</w:t>
      </w:r>
      <w:r w:rsidR="00891B8C" w:rsidRPr="004D0911">
        <w:rPr>
          <w:sz w:val="22"/>
          <w:szCs w:val="22"/>
        </w:rPr>
        <w:t>’</w:t>
      </w:r>
      <w:r w:rsidRPr="004D0911">
        <w:rPr>
          <w:sz w:val="22"/>
          <w:szCs w:val="22"/>
        </w:rPr>
        <w:t>s Most Excellent Majesty, the Senate, and the House of Representatives of the Commonwealth of Australia, for t</w:t>
      </w:r>
      <w:bookmarkStart w:id="0" w:name="_GoBack"/>
      <w:bookmarkEnd w:id="0"/>
      <w:r w:rsidRPr="004D0911">
        <w:rPr>
          <w:sz w:val="22"/>
          <w:szCs w:val="22"/>
        </w:rPr>
        <w:t>he purpose of appropriating the grant originated in the House</w:t>
      </w:r>
      <w:r w:rsidR="00EA3319" w:rsidRPr="004D0911">
        <w:rPr>
          <w:sz w:val="22"/>
          <w:szCs w:val="22"/>
        </w:rPr>
        <w:t xml:space="preserve"> of Representatives, as follows</w:t>
      </w:r>
      <w:r w:rsidRPr="004D0911">
        <w:rPr>
          <w:sz w:val="22"/>
          <w:szCs w:val="22"/>
        </w:rPr>
        <w:t>:—</w:t>
      </w:r>
    </w:p>
    <w:p w:rsidR="00CE7AEE" w:rsidRPr="004C0291" w:rsidRDefault="00B90914" w:rsidP="00564A46">
      <w:pPr>
        <w:widowControl/>
        <w:spacing w:before="120" w:after="60"/>
        <w:jc w:val="both"/>
        <w:rPr>
          <w:b/>
          <w:sz w:val="20"/>
        </w:rPr>
      </w:pPr>
      <w:r w:rsidRPr="004C0291">
        <w:rPr>
          <w:b/>
          <w:sz w:val="20"/>
        </w:rPr>
        <w:t>Short title.</w:t>
      </w:r>
    </w:p>
    <w:p w:rsidR="00363333" w:rsidRPr="009A1E5E" w:rsidRDefault="00B90914" w:rsidP="00646D4D">
      <w:pPr>
        <w:widowControl/>
        <w:tabs>
          <w:tab w:val="left" w:pos="810"/>
          <w:tab w:val="left" w:pos="900"/>
        </w:tabs>
        <w:ind w:firstLine="432"/>
        <w:jc w:val="both"/>
        <w:rPr>
          <w:sz w:val="22"/>
        </w:rPr>
      </w:pPr>
      <w:r w:rsidRPr="009A1E5E">
        <w:rPr>
          <w:b/>
          <w:sz w:val="22"/>
        </w:rPr>
        <w:t>1.</w:t>
      </w:r>
      <w:r w:rsidR="004C0291">
        <w:rPr>
          <w:sz w:val="22"/>
        </w:rPr>
        <w:tab/>
      </w:r>
      <w:r w:rsidR="00363333" w:rsidRPr="009A1E5E">
        <w:rPr>
          <w:sz w:val="22"/>
        </w:rPr>
        <w:t xml:space="preserve">This Act may be cited as the </w:t>
      </w:r>
      <w:r w:rsidRPr="007040E1">
        <w:rPr>
          <w:i/>
          <w:sz w:val="22"/>
        </w:rPr>
        <w:t xml:space="preserve">Advances to Settlers Act </w:t>
      </w:r>
      <w:r w:rsidR="00363333" w:rsidRPr="009A1E5E">
        <w:rPr>
          <w:sz w:val="22"/>
        </w:rPr>
        <w:t>1923.</w:t>
      </w:r>
    </w:p>
    <w:p w:rsidR="00CE7AEE" w:rsidRPr="004C0291" w:rsidRDefault="00B90914" w:rsidP="00564A46">
      <w:pPr>
        <w:widowControl/>
        <w:spacing w:before="120" w:after="60"/>
        <w:jc w:val="both"/>
        <w:rPr>
          <w:b/>
          <w:sz w:val="20"/>
        </w:rPr>
      </w:pPr>
      <w:r w:rsidRPr="004C0291">
        <w:rPr>
          <w:b/>
          <w:sz w:val="20"/>
        </w:rPr>
        <w:t>Commencement.</w:t>
      </w:r>
    </w:p>
    <w:p w:rsidR="00363333" w:rsidRPr="009A1E5E" w:rsidRDefault="00B90914" w:rsidP="00646D4D">
      <w:pPr>
        <w:widowControl/>
        <w:tabs>
          <w:tab w:val="left" w:pos="810"/>
          <w:tab w:val="left" w:pos="900"/>
        </w:tabs>
        <w:ind w:firstLine="432"/>
        <w:jc w:val="both"/>
        <w:rPr>
          <w:sz w:val="22"/>
        </w:rPr>
      </w:pPr>
      <w:r w:rsidRPr="009A1E5E">
        <w:rPr>
          <w:b/>
          <w:sz w:val="22"/>
        </w:rPr>
        <w:t>2.</w:t>
      </w:r>
      <w:r w:rsidR="004C0291">
        <w:rPr>
          <w:sz w:val="22"/>
        </w:rPr>
        <w:tab/>
      </w:r>
      <w:r w:rsidR="00363333" w:rsidRPr="009A1E5E">
        <w:rPr>
          <w:sz w:val="22"/>
        </w:rPr>
        <w:t>This Act shall be deemed to have commenced on the thirtieth day of June One thousand nine hundred and twenty-three.</w:t>
      </w:r>
    </w:p>
    <w:p w:rsidR="00CE7AEE" w:rsidRPr="004C0291" w:rsidRDefault="00B90914" w:rsidP="00564A46">
      <w:pPr>
        <w:widowControl/>
        <w:spacing w:before="120" w:after="60"/>
        <w:jc w:val="both"/>
        <w:rPr>
          <w:b/>
          <w:sz w:val="20"/>
        </w:rPr>
      </w:pPr>
      <w:r w:rsidRPr="004C0291">
        <w:rPr>
          <w:b/>
          <w:sz w:val="20"/>
        </w:rPr>
        <w:t>Trust Account.</w:t>
      </w:r>
    </w:p>
    <w:p w:rsidR="00363333" w:rsidRPr="009A1E5E" w:rsidRDefault="00B90914" w:rsidP="00564A46">
      <w:pPr>
        <w:widowControl/>
        <w:tabs>
          <w:tab w:val="left" w:pos="810"/>
        </w:tabs>
        <w:ind w:firstLine="432"/>
        <w:jc w:val="both"/>
        <w:rPr>
          <w:sz w:val="22"/>
        </w:rPr>
      </w:pPr>
      <w:r w:rsidRPr="009A1E5E">
        <w:rPr>
          <w:b/>
          <w:sz w:val="22"/>
        </w:rPr>
        <w:t>3.</w:t>
      </w:r>
      <w:r w:rsidR="004C0291">
        <w:rPr>
          <w:b/>
          <w:sz w:val="22"/>
        </w:rPr>
        <w:tab/>
      </w:r>
      <w:r w:rsidR="00363333" w:rsidRPr="009A1E5E">
        <w:rPr>
          <w:sz w:val="22"/>
        </w:rPr>
        <w:t>For the purposes of this Act there shall be established in the books of the Treasury a Trust Account which shall be known as the</w:t>
      </w:r>
    </w:p>
    <w:p w:rsidR="00363333" w:rsidRPr="009A1E5E" w:rsidRDefault="009A1E5E" w:rsidP="0038133D">
      <w:pPr>
        <w:jc w:val="both"/>
        <w:rPr>
          <w:sz w:val="22"/>
        </w:rPr>
      </w:pPr>
      <w:r>
        <w:rPr>
          <w:sz w:val="22"/>
        </w:rPr>
        <w:br w:type="page"/>
      </w:r>
      <w:r w:rsidR="00891B8C">
        <w:rPr>
          <w:sz w:val="22"/>
        </w:rPr>
        <w:lastRenderedPageBreak/>
        <w:t>“</w:t>
      </w:r>
      <w:r w:rsidR="00363333" w:rsidRPr="009A1E5E">
        <w:rPr>
          <w:sz w:val="22"/>
        </w:rPr>
        <w:t>Advances to the States for the benefit of Settlers Trust Account</w:t>
      </w:r>
      <w:r w:rsidR="00891B8C">
        <w:rPr>
          <w:sz w:val="22"/>
        </w:rPr>
        <w:t>”</w:t>
      </w:r>
      <w:r w:rsidR="00363333" w:rsidRPr="009A1E5E">
        <w:rPr>
          <w:sz w:val="22"/>
        </w:rPr>
        <w:t xml:space="preserve"> and that account shall be a Trust Account for the purposes of section sixty-two</w:t>
      </w:r>
      <w:r w:rsidR="00363333" w:rsidRPr="00EA3319">
        <w:rPr>
          <w:sz w:val="22"/>
        </w:rPr>
        <w:t xml:space="preserve"> </w:t>
      </w:r>
      <w:r w:rsidR="00B90914" w:rsidRPr="00EA3319">
        <w:rPr>
          <w:smallCaps/>
          <w:sz w:val="22"/>
        </w:rPr>
        <w:t xml:space="preserve">a </w:t>
      </w:r>
      <w:r w:rsidR="00363333" w:rsidRPr="009A1E5E">
        <w:rPr>
          <w:sz w:val="22"/>
        </w:rPr>
        <w:t xml:space="preserve">of the </w:t>
      </w:r>
      <w:r w:rsidR="00B90914" w:rsidRPr="007040E1">
        <w:rPr>
          <w:i/>
          <w:sz w:val="22"/>
        </w:rPr>
        <w:t xml:space="preserve">Audit Act </w:t>
      </w:r>
      <w:r w:rsidR="00363333" w:rsidRPr="009A1E5E">
        <w:rPr>
          <w:sz w:val="22"/>
        </w:rPr>
        <w:t>1901-1920.</w:t>
      </w:r>
    </w:p>
    <w:p w:rsidR="00CE7AEE" w:rsidRPr="004C0291" w:rsidRDefault="00B90914" w:rsidP="0038133D">
      <w:pPr>
        <w:widowControl/>
        <w:spacing w:before="120" w:after="60"/>
        <w:jc w:val="both"/>
        <w:rPr>
          <w:b/>
          <w:sz w:val="20"/>
        </w:rPr>
      </w:pPr>
      <w:r w:rsidRPr="004C0291">
        <w:rPr>
          <w:b/>
          <w:sz w:val="20"/>
        </w:rPr>
        <w:t>Payments to Trust Account.</w:t>
      </w:r>
    </w:p>
    <w:p w:rsidR="00363333" w:rsidRPr="009A1E5E" w:rsidRDefault="00363333" w:rsidP="0038133D">
      <w:pPr>
        <w:widowControl/>
        <w:tabs>
          <w:tab w:val="left" w:pos="720"/>
          <w:tab w:val="left" w:pos="1350"/>
        </w:tabs>
        <w:ind w:firstLine="432"/>
        <w:jc w:val="both"/>
        <w:rPr>
          <w:sz w:val="22"/>
        </w:rPr>
      </w:pPr>
      <w:r w:rsidRPr="002131F3">
        <w:rPr>
          <w:b/>
          <w:sz w:val="22"/>
        </w:rPr>
        <w:t>4.</w:t>
      </w:r>
      <w:r w:rsidRPr="009A1E5E">
        <w:rPr>
          <w:sz w:val="22"/>
        </w:rPr>
        <w:t>—(1.)</w:t>
      </w:r>
      <w:r w:rsidR="004C0291">
        <w:rPr>
          <w:sz w:val="22"/>
        </w:rPr>
        <w:tab/>
      </w:r>
      <w:r w:rsidRPr="009A1E5E">
        <w:rPr>
          <w:sz w:val="22"/>
        </w:rPr>
        <w:t>There shall be payable out of the Consolidated Revenue Fund, which is hereby appropriated accordingly, an amount not exceeding Two hundred and fifty thousand pounds, for the purposes of this Act.</w:t>
      </w:r>
    </w:p>
    <w:p w:rsidR="00363333" w:rsidRPr="009A1E5E" w:rsidRDefault="00363333" w:rsidP="004F067D">
      <w:pPr>
        <w:widowControl/>
        <w:tabs>
          <w:tab w:val="left" w:pos="907"/>
        </w:tabs>
        <w:ind w:firstLine="432"/>
        <w:jc w:val="both"/>
        <w:rPr>
          <w:sz w:val="22"/>
        </w:rPr>
      </w:pPr>
      <w:r w:rsidRPr="009A1E5E">
        <w:rPr>
          <w:sz w:val="22"/>
        </w:rPr>
        <w:t>(2.)</w:t>
      </w:r>
      <w:r w:rsidR="004C0291">
        <w:rPr>
          <w:sz w:val="22"/>
        </w:rPr>
        <w:tab/>
      </w:r>
      <w:r w:rsidRPr="009A1E5E">
        <w:rPr>
          <w:sz w:val="22"/>
        </w:rPr>
        <w:t>The amount appropriated by this Act shall be deemed to have been paid to the Trust Account on the thirtieth day of June One thousand nine hundred and twenty-three and to have formed part of that Account on that date.</w:t>
      </w:r>
    </w:p>
    <w:p w:rsidR="00CE7AEE" w:rsidRPr="004C0291" w:rsidRDefault="00B90914" w:rsidP="0038133D">
      <w:pPr>
        <w:widowControl/>
        <w:spacing w:before="120" w:after="60"/>
        <w:jc w:val="both"/>
        <w:rPr>
          <w:b/>
          <w:sz w:val="20"/>
        </w:rPr>
      </w:pPr>
      <w:r w:rsidRPr="004C0291">
        <w:rPr>
          <w:b/>
          <w:sz w:val="20"/>
        </w:rPr>
        <w:t>Loans from</w:t>
      </w:r>
      <w:r w:rsidR="00EA3319">
        <w:rPr>
          <w:b/>
          <w:sz w:val="20"/>
        </w:rPr>
        <w:t xml:space="preserve"> </w:t>
      </w:r>
      <w:r w:rsidRPr="004C0291">
        <w:rPr>
          <w:b/>
          <w:sz w:val="20"/>
        </w:rPr>
        <w:t>Trust Account.</w:t>
      </w:r>
    </w:p>
    <w:p w:rsidR="00363333" w:rsidRPr="009A1E5E" w:rsidRDefault="00B90914" w:rsidP="0038133D">
      <w:pPr>
        <w:widowControl/>
        <w:tabs>
          <w:tab w:val="left" w:pos="720"/>
          <w:tab w:val="left" w:pos="1350"/>
        </w:tabs>
        <w:ind w:firstLine="432"/>
        <w:jc w:val="both"/>
        <w:rPr>
          <w:sz w:val="22"/>
        </w:rPr>
      </w:pPr>
      <w:r w:rsidRPr="002131F3">
        <w:rPr>
          <w:b/>
          <w:sz w:val="22"/>
        </w:rPr>
        <w:t>5.</w:t>
      </w:r>
      <w:r w:rsidR="00363333" w:rsidRPr="009A1E5E">
        <w:rPr>
          <w:sz w:val="22"/>
        </w:rPr>
        <w:t>—(1.)</w:t>
      </w:r>
      <w:r w:rsidR="004C0291">
        <w:rPr>
          <w:sz w:val="22"/>
        </w:rPr>
        <w:tab/>
      </w:r>
      <w:r w:rsidR="00363333" w:rsidRPr="009A1E5E">
        <w:rPr>
          <w:sz w:val="22"/>
        </w:rPr>
        <w:t>The Minister may, out of the moneys standing to the credit of the Trust Account, make advances to the States and the Northern Territory for the purchase of wire netting.</w:t>
      </w:r>
    </w:p>
    <w:p w:rsidR="00363333" w:rsidRPr="009A1E5E" w:rsidRDefault="00363333" w:rsidP="0038133D">
      <w:pPr>
        <w:widowControl/>
        <w:tabs>
          <w:tab w:val="left" w:pos="907"/>
        </w:tabs>
        <w:ind w:firstLine="432"/>
        <w:jc w:val="both"/>
        <w:rPr>
          <w:sz w:val="22"/>
        </w:rPr>
      </w:pPr>
      <w:r w:rsidRPr="009A1E5E">
        <w:rPr>
          <w:sz w:val="22"/>
        </w:rPr>
        <w:t>(2.)</w:t>
      </w:r>
      <w:r w:rsidR="004C0291">
        <w:rPr>
          <w:sz w:val="22"/>
        </w:rPr>
        <w:tab/>
      </w:r>
      <w:r w:rsidRPr="009A1E5E">
        <w:rPr>
          <w:sz w:val="22"/>
        </w:rPr>
        <w:t>Any wire netting so purchased may be supplied to settlers in the Commonwealth at such price, upon such conditions and security, and subject to such terms as to payment, as are prescribed.</w:t>
      </w:r>
    </w:p>
    <w:p w:rsidR="00CE7AEE" w:rsidRPr="004C0291" w:rsidRDefault="00B90914" w:rsidP="0038133D">
      <w:pPr>
        <w:widowControl/>
        <w:spacing w:before="120" w:after="60"/>
        <w:jc w:val="both"/>
        <w:rPr>
          <w:b/>
          <w:sz w:val="20"/>
        </w:rPr>
      </w:pPr>
      <w:r w:rsidRPr="004C0291">
        <w:rPr>
          <w:b/>
          <w:sz w:val="20"/>
        </w:rPr>
        <w:t>Repayments to Trust Account.</w:t>
      </w:r>
    </w:p>
    <w:p w:rsidR="00363333" w:rsidRPr="009A1E5E" w:rsidRDefault="00B90914" w:rsidP="0038133D">
      <w:pPr>
        <w:widowControl/>
        <w:tabs>
          <w:tab w:val="left" w:pos="810"/>
          <w:tab w:val="left" w:pos="900"/>
        </w:tabs>
        <w:ind w:firstLine="432"/>
        <w:jc w:val="both"/>
        <w:rPr>
          <w:sz w:val="22"/>
        </w:rPr>
      </w:pPr>
      <w:r w:rsidRPr="009A1E5E">
        <w:rPr>
          <w:b/>
          <w:sz w:val="22"/>
        </w:rPr>
        <w:t>6.</w:t>
      </w:r>
      <w:r w:rsidR="004C0291">
        <w:rPr>
          <w:sz w:val="22"/>
        </w:rPr>
        <w:tab/>
      </w:r>
      <w:r w:rsidR="00363333" w:rsidRPr="009A1E5E">
        <w:rPr>
          <w:sz w:val="22"/>
        </w:rPr>
        <w:t>Any moneys received by way of payment for wire netting supplied under this Act shall be paid to the Trust Account.</w:t>
      </w:r>
    </w:p>
    <w:p w:rsidR="00CE7AEE" w:rsidRPr="004C0291" w:rsidRDefault="00B90914" w:rsidP="0038133D">
      <w:pPr>
        <w:widowControl/>
        <w:spacing w:before="120" w:after="60"/>
        <w:jc w:val="both"/>
        <w:rPr>
          <w:b/>
          <w:sz w:val="20"/>
        </w:rPr>
      </w:pPr>
      <w:r w:rsidRPr="004C0291">
        <w:rPr>
          <w:b/>
          <w:sz w:val="20"/>
        </w:rPr>
        <w:t>Regulations.</w:t>
      </w:r>
    </w:p>
    <w:p w:rsidR="00363333" w:rsidRDefault="00B90914" w:rsidP="0038133D">
      <w:pPr>
        <w:widowControl/>
        <w:tabs>
          <w:tab w:val="left" w:pos="810"/>
          <w:tab w:val="left" w:pos="900"/>
        </w:tabs>
        <w:ind w:firstLine="432"/>
        <w:jc w:val="both"/>
        <w:rPr>
          <w:sz w:val="22"/>
        </w:rPr>
      </w:pPr>
      <w:r w:rsidRPr="009A1E5E">
        <w:rPr>
          <w:b/>
          <w:sz w:val="22"/>
        </w:rPr>
        <w:t>7.</w:t>
      </w:r>
      <w:r w:rsidR="00D41B66">
        <w:rPr>
          <w:sz w:val="22"/>
        </w:rPr>
        <w:tab/>
      </w:r>
      <w:r w:rsidR="00363333" w:rsidRPr="009A1E5E">
        <w:rPr>
          <w:sz w:val="22"/>
        </w:rPr>
        <w:t>The Governor-General may make regulations, not inconsistent with this Act, prescribing all matters which are required or permitted to be prescribed, or which are necessary or convenient to be prescribed, for carrying out or giving effect to this Act.</w:t>
      </w:r>
    </w:p>
    <w:p w:rsidR="005C25C2" w:rsidRPr="009A1E5E" w:rsidRDefault="005C25C2" w:rsidP="0038133D">
      <w:pPr>
        <w:pBdr>
          <w:top w:val="single" w:sz="4" w:space="1" w:color="auto"/>
        </w:pBdr>
        <w:spacing w:before="360"/>
        <w:ind w:left="2880" w:right="2880"/>
        <w:jc w:val="center"/>
        <w:rPr>
          <w:sz w:val="22"/>
        </w:rPr>
      </w:pPr>
    </w:p>
    <w:sectPr w:rsidR="005C25C2" w:rsidRPr="009A1E5E" w:rsidSect="0099062C">
      <w:headerReference w:type="even" r:id="rId7"/>
      <w:pgSz w:w="11909" w:h="16834" w:code="9"/>
      <w:pgMar w:top="1440" w:right="1440" w:bottom="1152"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E3" w:rsidRDefault="00AC68E3">
      <w:r>
        <w:separator/>
      </w:r>
    </w:p>
  </w:endnote>
  <w:endnote w:type="continuationSeparator" w:id="0">
    <w:p w:rsidR="00AC68E3" w:rsidRDefault="00AC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E3" w:rsidRDefault="00AC68E3">
      <w:r>
        <w:separator/>
      </w:r>
    </w:p>
  </w:footnote>
  <w:footnote w:type="continuationSeparator" w:id="0">
    <w:p w:rsidR="00AC68E3" w:rsidRDefault="00AC6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3B" w:rsidRPr="0020323B" w:rsidRDefault="0020323B" w:rsidP="004C0F77">
    <w:pPr>
      <w:pStyle w:val="Header"/>
      <w:tabs>
        <w:tab w:val="clear" w:pos="4680"/>
        <w:tab w:val="clear" w:pos="9360"/>
        <w:tab w:val="center" w:pos="4514"/>
        <w:tab w:val="left" w:pos="8370"/>
      </w:tabs>
      <w:rPr>
        <w:sz w:val="20"/>
      </w:rPr>
    </w:pPr>
    <w:r w:rsidRPr="0020323B">
      <w:rPr>
        <w:sz w:val="20"/>
      </w:rPr>
      <w:t>1923.</w:t>
    </w:r>
    <w:r w:rsidRPr="0020323B">
      <w:rPr>
        <w:sz w:val="20"/>
      </w:rPr>
      <w:tab/>
    </w:r>
    <w:r w:rsidRPr="004C0F77">
      <w:rPr>
        <w:i/>
        <w:sz w:val="20"/>
      </w:rPr>
      <w:t>Advances to Settlers.</w:t>
    </w:r>
    <w:r w:rsidR="004C0F77">
      <w:rPr>
        <w:sz w:val="20"/>
      </w:rPr>
      <w:tab/>
    </w:r>
    <w:r w:rsidRPr="0020323B">
      <w:rPr>
        <w:sz w:val="20"/>
      </w:rPr>
      <w:t>No. 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CE7AEE"/>
    <w:rsid w:val="0000391D"/>
    <w:rsid w:val="00012F02"/>
    <w:rsid w:val="00061DD1"/>
    <w:rsid w:val="00062647"/>
    <w:rsid w:val="000762EA"/>
    <w:rsid w:val="00085E86"/>
    <w:rsid w:val="000D01B3"/>
    <w:rsid w:val="000E3288"/>
    <w:rsid w:val="00126687"/>
    <w:rsid w:val="001360D9"/>
    <w:rsid w:val="00137D07"/>
    <w:rsid w:val="00141752"/>
    <w:rsid w:val="00181E83"/>
    <w:rsid w:val="001956DC"/>
    <w:rsid w:val="001A6876"/>
    <w:rsid w:val="001B3DF5"/>
    <w:rsid w:val="001D4E42"/>
    <w:rsid w:val="001F42E8"/>
    <w:rsid w:val="001F6CC6"/>
    <w:rsid w:val="00200DD1"/>
    <w:rsid w:val="0020323B"/>
    <w:rsid w:val="00204BB5"/>
    <w:rsid w:val="002131F3"/>
    <w:rsid w:val="002378FA"/>
    <w:rsid w:val="002875C9"/>
    <w:rsid w:val="00290E8E"/>
    <w:rsid w:val="002C1B4E"/>
    <w:rsid w:val="002D1445"/>
    <w:rsid w:val="002E2B02"/>
    <w:rsid w:val="002E3425"/>
    <w:rsid w:val="002E70D2"/>
    <w:rsid w:val="00302D70"/>
    <w:rsid w:val="00343E61"/>
    <w:rsid w:val="00363333"/>
    <w:rsid w:val="0038133D"/>
    <w:rsid w:val="00387745"/>
    <w:rsid w:val="003947AB"/>
    <w:rsid w:val="00396CDD"/>
    <w:rsid w:val="003A0D67"/>
    <w:rsid w:val="003A3BA1"/>
    <w:rsid w:val="003A57D3"/>
    <w:rsid w:val="003C7AFC"/>
    <w:rsid w:val="003D4FE2"/>
    <w:rsid w:val="003E4616"/>
    <w:rsid w:val="003F6F96"/>
    <w:rsid w:val="004022F0"/>
    <w:rsid w:val="00407CA4"/>
    <w:rsid w:val="00416EA5"/>
    <w:rsid w:val="00422822"/>
    <w:rsid w:val="00427064"/>
    <w:rsid w:val="0047622E"/>
    <w:rsid w:val="004952B6"/>
    <w:rsid w:val="004B2A59"/>
    <w:rsid w:val="004B569D"/>
    <w:rsid w:val="004C0291"/>
    <w:rsid w:val="004C0F77"/>
    <w:rsid w:val="004D0431"/>
    <w:rsid w:val="004D0911"/>
    <w:rsid w:val="004E522B"/>
    <w:rsid w:val="004F067D"/>
    <w:rsid w:val="005061D2"/>
    <w:rsid w:val="00523E6A"/>
    <w:rsid w:val="0053165C"/>
    <w:rsid w:val="005429E7"/>
    <w:rsid w:val="00543D5D"/>
    <w:rsid w:val="00563669"/>
    <w:rsid w:val="00564A46"/>
    <w:rsid w:val="0057195F"/>
    <w:rsid w:val="0058362B"/>
    <w:rsid w:val="005838EF"/>
    <w:rsid w:val="0058793D"/>
    <w:rsid w:val="005A6122"/>
    <w:rsid w:val="005C246B"/>
    <w:rsid w:val="005C25C2"/>
    <w:rsid w:val="005D539E"/>
    <w:rsid w:val="005F1EC1"/>
    <w:rsid w:val="006317BC"/>
    <w:rsid w:val="00646D4D"/>
    <w:rsid w:val="00667E1A"/>
    <w:rsid w:val="006702A0"/>
    <w:rsid w:val="00682573"/>
    <w:rsid w:val="00684F53"/>
    <w:rsid w:val="0068773D"/>
    <w:rsid w:val="00690A6F"/>
    <w:rsid w:val="006936A5"/>
    <w:rsid w:val="00694EE4"/>
    <w:rsid w:val="006B0FF7"/>
    <w:rsid w:val="006C105A"/>
    <w:rsid w:val="006C1723"/>
    <w:rsid w:val="006C1E55"/>
    <w:rsid w:val="006D78E7"/>
    <w:rsid w:val="007040E1"/>
    <w:rsid w:val="00706522"/>
    <w:rsid w:val="00707BF1"/>
    <w:rsid w:val="00714091"/>
    <w:rsid w:val="0073120F"/>
    <w:rsid w:val="00737F5F"/>
    <w:rsid w:val="00744092"/>
    <w:rsid w:val="00797D81"/>
    <w:rsid w:val="007B3808"/>
    <w:rsid w:val="007C42BE"/>
    <w:rsid w:val="007E0B84"/>
    <w:rsid w:val="007F4606"/>
    <w:rsid w:val="008000E4"/>
    <w:rsid w:val="0082278B"/>
    <w:rsid w:val="00822C76"/>
    <w:rsid w:val="00827C45"/>
    <w:rsid w:val="008673CF"/>
    <w:rsid w:val="00871B64"/>
    <w:rsid w:val="00883A4E"/>
    <w:rsid w:val="00891B8C"/>
    <w:rsid w:val="00892076"/>
    <w:rsid w:val="008B792B"/>
    <w:rsid w:val="008D7868"/>
    <w:rsid w:val="008F311C"/>
    <w:rsid w:val="00916D25"/>
    <w:rsid w:val="0093438B"/>
    <w:rsid w:val="0095307E"/>
    <w:rsid w:val="00957914"/>
    <w:rsid w:val="00982856"/>
    <w:rsid w:val="0098504C"/>
    <w:rsid w:val="0099062C"/>
    <w:rsid w:val="009A1E5E"/>
    <w:rsid w:val="009A3B91"/>
    <w:rsid w:val="009B771D"/>
    <w:rsid w:val="009C17EB"/>
    <w:rsid w:val="009C3AE3"/>
    <w:rsid w:val="009D5120"/>
    <w:rsid w:val="009F0DC8"/>
    <w:rsid w:val="009F2C28"/>
    <w:rsid w:val="009F5000"/>
    <w:rsid w:val="009F51B9"/>
    <w:rsid w:val="00A13E81"/>
    <w:rsid w:val="00A41E33"/>
    <w:rsid w:val="00A545C8"/>
    <w:rsid w:val="00A74178"/>
    <w:rsid w:val="00A7429B"/>
    <w:rsid w:val="00A83FC6"/>
    <w:rsid w:val="00A928C5"/>
    <w:rsid w:val="00AA3E3A"/>
    <w:rsid w:val="00AB56E4"/>
    <w:rsid w:val="00AC68E3"/>
    <w:rsid w:val="00AD7A17"/>
    <w:rsid w:val="00AE0B01"/>
    <w:rsid w:val="00B3285D"/>
    <w:rsid w:val="00B44211"/>
    <w:rsid w:val="00B86764"/>
    <w:rsid w:val="00B90914"/>
    <w:rsid w:val="00BB651F"/>
    <w:rsid w:val="00BC58AD"/>
    <w:rsid w:val="00BD21CE"/>
    <w:rsid w:val="00BD4E45"/>
    <w:rsid w:val="00BD6934"/>
    <w:rsid w:val="00BF5A2D"/>
    <w:rsid w:val="00C5717A"/>
    <w:rsid w:val="00C754F1"/>
    <w:rsid w:val="00C80A0E"/>
    <w:rsid w:val="00C87482"/>
    <w:rsid w:val="00CB60DC"/>
    <w:rsid w:val="00CC6285"/>
    <w:rsid w:val="00CD27B1"/>
    <w:rsid w:val="00CE43AB"/>
    <w:rsid w:val="00CE7AEE"/>
    <w:rsid w:val="00D003C6"/>
    <w:rsid w:val="00D41B66"/>
    <w:rsid w:val="00D44EAC"/>
    <w:rsid w:val="00D53F93"/>
    <w:rsid w:val="00D572A8"/>
    <w:rsid w:val="00D671FE"/>
    <w:rsid w:val="00D7370D"/>
    <w:rsid w:val="00D73FF1"/>
    <w:rsid w:val="00DA13E2"/>
    <w:rsid w:val="00DA5110"/>
    <w:rsid w:val="00DB22A4"/>
    <w:rsid w:val="00DD7179"/>
    <w:rsid w:val="00DE0C69"/>
    <w:rsid w:val="00DE2C57"/>
    <w:rsid w:val="00DF0AD1"/>
    <w:rsid w:val="00E1382D"/>
    <w:rsid w:val="00E445B5"/>
    <w:rsid w:val="00E537B0"/>
    <w:rsid w:val="00E76EE0"/>
    <w:rsid w:val="00EA3319"/>
    <w:rsid w:val="00EA34F2"/>
    <w:rsid w:val="00EB25F0"/>
    <w:rsid w:val="00EB76A9"/>
    <w:rsid w:val="00EE618C"/>
    <w:rsid w:val="00F123A6"/>
    <w:rsid w:val="00F16058"/>
    <w:rsid w:val="00F21343"/>
    <w:rsid w:val="00F32268"/>
    <w:rsid w:val="00F767AC"/>
    <w:rsid w:val="00F8243C"/>
    <w:rsid w:val="00F84839"/>
    <w:rsid w:val="00F87F63"/>
    <w:rsid w:val="00F973EC"/>
    <w:rsid w:val="00FC145A"/>
    <w:rsid w:val="00FD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84"/>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7E0B84"/>
  </w:style>
  <w:style w:type="paragraph" w:customStyle="1" w:styleId="Style2">
    <w:name w:val="Style2"/>
    <w:basedOn w:val="Normal"/>
    <w:uiPriority w:val="99"/>
    <w:rsid w:val="007E0B84"/>
  </w:style>
  <w:style w:type="paragraph" w:customStyle="1" w:styleId="Style3">
    <w:name w:val="Style3"/>
    <w:basedOn w:val="Normal"/>
    <w:uiPriority w:val="99"/>
    <w:rsid w:val="007E0B84"/>
  </w:style>
  <w:style w:type="paragraph" w:customStyle="1" w:styleId="Style4">
    <w:name w:val="Style4"/>
    <w:basedOn w:val="Normal"/>
    <w:uiPriority w:val="99"/>
    <w:rsid w:val="007E0B84"/>
  </w:style>
  <w:style w:type="paragraph" w:customStyle="1" w:styleId="Style5">
    <w:name w:val="Style5"/>
    <w:basedOn w:val="Normal"/>
    <w:uiPriority w:val="99"/>
    <w:rsid w:val="007E0B84"/>
  </w:style>
  <w:style w:type="paragraph" w:customStyle="1" w:styleId="Style6">
    <w:name w:val="Style6"/>
    <w:basedOn w:val="Normal"/>
    <w:uiPriority w:val="99"/>
    <w:rsid w:val="007E0B84"/>
  </w:style>
  <w:style w:type="paragraph" w:customStyle="1" w:styleId="Style7">
    <w:name w:val="Style7"/>
    <w:basedOn w:val="Normal"/>
    <w:uiPriority w:val="99"/>
    <w:rsid w:val="007E0B84"/>
  </w:style>
  <w:style w:type="paragraph" w:customStyle="1" w:styleId="Style8">
    <w:name w:val="Style8"/>
    <w:basedOn w:val="Normal"/>
    <w:uiPriority w:val="99"/>
    <w:rsid w:val="007E0B84"/>
  </w:style>
  <w:style w:type="paragraph" w:customStyle="1" w:styleId="Style9">
    <w:name w:val="Style9"/>
    <w:basedOn w:val="Normal"/>
    <w:uiPriority w:val="99"/>
    <w:rsid w:val="007E0B84"/>
  </w:style>
  <w:style w:type="paragraph" w:customStyle="1" w:styleId="Style10">
    <w:name w:val="Style10"/>
    <w:basedOn w:val="Normal"/>
    <w:uiPriority w:val="99"/>
    <w:rsid w:val="007E0B84"/>
  </w:style>
  <w:style w:type="paragraph" w:customStyle="1" w:styleId="Style11">
    <w:name w:val="Style11"/>
    <w:basedOn w:val="Normal"/>
    <w:uiPriority w:val="99"/>
    <w:rsid w:val="007E0B84"/>
  </w:style>
  <w:style w:type="paragraph" w:customStyle="1" w:styleId="Style12">
    <w:name w:val="Style12"/>
    <w:basedOn w:val="Normal"/>
    <w:uiPriority w:val="99"/>
    <w:rsid w:val="007E0B84"/>
  </w:style>
  <w:style w:type="paragraph" w:customStyle="1" w:styleId="Style13">
    <w:name w:val="Style13"/>
    <w:basedOn w:val="Normal"/>
    <w:uiPriority w:val="99"/>
    <w:rsid w:val="007E0B84"/>
  </w:style>
  <w:style w:type="paragraph" w:customStyle="1" w:styleId="Style14">
    <w:name w:val="Style14"/>
    <w:basedOn w:val="Normal"/>
    <w:uiPriority w:val="99"/>
    <w:rsid w:val="007E0B84"/>
  </w:style>
  <w:style w:type="paragraph" w:customStyle="1" w:styleId="Style15">
    <w:name w:val="Style15"/>
    <w:basedOn w:val="Normal"/>
    <w:uiPriority w:val="99"/>
    <w:rsid w:val="007E0B84"/>
  </w:style>
  <w:style w:type="paragraph" w:customStyle="1" w:styleId="Style16">
    <w:name w:val="Style16"/>
    <w:basedOn w:val="Normal"/>
    <w:uiPriority w:val="99"/>
    <w:rsid w:val="007E0B84"/>
  </w:style>
  <w:style w:type="paragraph" w:customStyle="1" w:styleId="Style17">
    <w:name w:val="Style17"/>
    <w:basedOn w:val="Normal"/>
    <w:uiPriority w:val="99"/>
    <w:rsid w:val="007E0B84"/>
  </w:style>
  <w:style w:type="paragraph" w:customStyle="1" w:styleId="Style18">
    <w:name w:val="Style18"/>
    <w:basedOn w:val="Normal"/>
    <w:uiPriority w:val="99"/>
    <w:rsid w:val="007E0B84"/>
  </w:style>
  <w:style w:type="paragraph" w:customStyle="1" w:styleId="Style19">
    <w:name w:val="Style19"/>
    <w:basedOn w:val="Normal"/>
    <w:uiPriority w:val="99"/>
    <w:rsid w:val="007E0B84"/>
  </w:style>
  <w:style w:type="paragraph" w:customStyle="1" w:styleId="Style20">
    <w:name w:val="Style20"/>
    <w:basedOn w:val="Normal"/>
    <w:uiPriority w:val="99"/>
    <w:rsid w:val="007E0B84"/>
  </w:style>
  <w:style w:type="paragraph" w:customStyle="1" w:styleId="Style21">
    <w:name w:val="Style21"/>
    <w:basedOn w:val="Normal"/>
    <w:uiPriority w:val="99"/>
    <w:rsid w:val="007E0B84"/>
  </w:style>
  <w:style w:type="paragraph" w:customStyle="1" w:styleId="Style22">
    <w:name w:val="Style22"/>
    <w:basedOn w:val="Normal"/>
    <w:uiPriority w:val="99"/>
    <w:rsid w:val="007E0B84"/>
  </w:style>
  <w:style w:type="paragraph" w:customStyle="1" w:styleId="Style23">
    <w:name w:val="Style23"/>
    <w:basedOn w:val="Normal"/>
    <w:uiPriority w:val="99"/>
    <w:rsid w:val="007E0B84"/>
  </w:style>
  <w:style w:type="paragraph" w:customStyle="1" w:styleId="Style24">
    <w:name w:val="Style24"/>
    <w:basedOn w:val="Normal"/>
    <w:uiPriority w:val="99"/>
    <w:rsid w:val="007E0B84"/>
  </w:style>
  <w:style w:type="paragraph" w:customStyle="1" w:styleId="Style25">
    <w:name w:val="Style25"/>
    <w:basedOn w:val="Normal"/>
    <w:uiPriority w:val="99"/>
    <w:rsid w:val="007E0B84"/>
  </w:style>
  <w:style w:type="paragraph" w:customStyle="1" w:styleId="Style26">
    <w:name w:val="Style26"/>
    <w:basedOn w:val="Normal"/>
    <w:uiPriority w:val="99"/>
    <w:rsid w:val="007E0B84"/>
  </w:style>
  <w:style w:type="paragraph" w:customStyle="1" w:styleId="Style27">
    <w:name w:val="Style27"/>
    <w:basedOn w:val="Normal"/>
    <w:uiPriority w:val="99"/>
    <w:rsid w:val="007E0B84"/>
  </w:style>
  <w:style w:type="paragraph" w:customStyle="1" w:styleId="Style28">
    <w:name w:val="Style28"/>
    <w:basedOn w:val="Normal"/>
    <w:uiPriority w:val="99"/>
    <w:rsid w:val="007E0B84"/>
  </w:style>
  <w:style w:type="paragraph" w:customStyle="1" w:styleId="Style29">
    <w:name w:val="Style29"/>
    <w:basedOn w:val="Normal"/>
    <w:uiPriority w:val="99"/>
    <w:rsid w:val="007E0B84"/>
  </w:style>
  <w:style w:type="paragraph" w:customStyle="1" w:styleId="Style30">
    <w:name w:val="Style30"/>
    <w:basedOn w:val="Normal"/>
    <w:uiPriority w:val="99"/>
    <w:rsid w:val="007E0B84"/>
  </w:style>
  <w:style w:type="paragraph" w:customStyle="1" w:styleId="Style31">
    <w:name w:val="Style31"/>
    <w:basedOn w:val="Normal"/>
    <w:uiPriority w:val="99"/>
    <w:rsid w:val="007E0B84"/>
  </w:style>
  <w:style w:type="paragraph" w:customStyle="1" w:styleId="Style32">
    <w:name w:val="Style32"/>
    <w:basedOn w:val="Normal"/>
    <w:uiPriority w:val="99"/>
    <w:rsid w:val="007E0B84"/>
  </w:style>
  <w:style w:type="paragraph" w:customStyle="1" w:styleId="Style33">
    <w:name w:val="Style33"/>
    <w:basedOn w:val="Normal"/>
    <w:uiPriority w:val="99"/>
    <w:rsid w:val="007E0B84"/>
  </w:style>
  <w:style w:type="paragraph" w:customStyle="1" w:styleId="Style34">
    <w:name w:val="Style34"/>
    <w:basedOn w:val="Normal"/>
    <w:uiPriority w:val="99"/>
    <w:rsid w:val="007E0B84"/>
  </w:style>
  <w:style w:type="paragraph" w:customStyle="1" w:styleId="Style35">
    <w:name w:val="Style35"/>
    <w:basedOn w:val="Normal"/>
    <w:uiPriority w:val="99"/>
    <w:rsid w:val="007E0B84"/>
  </w:style>
  <w:style w:type="paragraph" w:customStyle="1" w:styleId="Style36">
    <w:name w:val="Style36"/>
    <w:basedOn w:val="Normal"/>
    <w:uiPriority w:val="99"/>
    <w:rsid w:val="007E0B84"/>
  </w:style>
  <w:style w:type="paragraph" w:customStyle="1" w:styleId="Style37">
    <w:name w:val="Style37"/>
    <w:basedOn w:val="Normal"/>
    <w:uiPriority w:val="99"/>
    <w:rsid w:val="007E0B84"/>
  </w:style>
  <w:style w:type="paragraph" w:customStyle="1" w:styleId="Style38">
    <w:name w:val="Style38"/>
    <w:basedOn w:val="Normal"/>
    <w:uiPriority w:val="99"/>
    <w:rsid w:val="007E0B84"/>
  </w:style>
  <w:style w:type="paragraph" w:customStyle="1" w:styleId="Style39">
    <w:name w:val="Style39"/>
    <w:basedOn w:val="Normal"/>
    <w:uiPriority w:val="99"/>
    <w:rsid w:val="007E0B84"/>
  </w:style>
  <w:style w:type="paragraph" w:customStyle="1" w:styleId="Style40">
    <w:name w:val="Style40"/>
    <w:basedOn w:val="Normal"/>
    <w:uiPriority w:val="99"/>
    <w:rsid w:val="007E0B84"/>
  </w:style>
  <w:style w:type="paragraph" w:customStyle="1" w:styleId="Style41">
    <w:name w:val="Style41"/>
    <w:basedOn w:val="Normal"/>
    <w:uiPriority w:val="99"/>
    <w:rsid w:val="007E0B84"/>
  </w:style>
  <w:style w:type="paragraph" w:customStyle="1" w:styleId="Style42">
    <w:name w:val="Style42"/>
    <w:basedOn w:val="Normal"/>
    <w:uiPriority w:val="99"/>
    <w:rsid w:val="007E0B84"/>
  </w:style>
  <w:style w:type="paragraph" w:customStyle="1" w:styleId="Style43">
    <w:name w:val="Style43"/>
    <w:basedOn w:val="Normal"/>
    <w:uiPriority w:val="99"/>
    <w:rsid w:val="007E0B84"/>
  </w:style>
  <w:style w:type="paragraph" w:customStyle="1" w:styleId="Style44">
    <w:name w:val="Style44"/>
    <w:basedOn w:val="Normal"/>
    <w:uiPriority w:val="99"/>
    <w:rsid w:val="007E0B84"/>
  </w:style>
  <w:style w:type="paragraph" w:customStyle="1" w:styleId="Style45">
    <w:name w:val="Style45"/>
    <w:basedOn w:val="Normal"/>
    <w:uiPriority w:val="99"/>
    <w:rsid w:val="007E0B84"/>
  </w:style>
  <w:style w:type="paragraph" w:customStyle="1" w:styleId="Style46">
    <w:name w:val="Style46"/>
    <w:basedOn w:val="Normal"/>
    <w:uiPriority w:val="99"/>
    <w:rsid w:val="007E0B84"/>
  </w:style>
  <w:style w:type="paragraph" w:customStyle="1" w:styleId="Style47">
    <w:name w:val="Style47"/>
    <w:basedOn w:val="Normal"/>
    <w:uiPriority w:val="99"/>
    <w:rsid w:val="007E0B84"/>
  </w:style>
  <w:style w:type="paragraph" w:customStyle="1" w:styleId="Style48">
    <w:name w:val="Style48"/>
    <w:basedOn w:val="Normal"/>
    <w:uiPriority w:val="99"/>
    <w:rsid w:val="007E0B84"/>
  </w:style>
  <w:style w:type="paragraph" w:customStyle="1" w:styleId="Style49">
    <w:name w:val="Style49"/>
    <w:basedOn w:val="Normal"/>
    <w:uiPriority w:val="99"/>
    <w:rsid w:val="007E0B84"/>
  </w:style>
  <w:style w:type="paragraph" w:customStyle="1" w:styleId="Style50">
    <w:name w:val="Style50"/>
    <w:basedOn w:val="Normal"/>
    <w:uiPriority w:val="99"/>
    <w:rsid w:val="007E0B84"/>
  </w:style>
  <w:style w:type="character" w:customStyle="1" w:styleId="FontStyle52">
    <w:name w:val="Font Style52"/>
    <w:basedOn w:val="DefaultParagraphFont"/>
    <w:uiPriority w:val="99"/>
    <w:rsid w:val="007E0B84"/>
    <w:rPr>
      <w:rFonts w:ascii="Times New Roman" w:hAnsi="Times New Roman" w:cs="Times New Roman"/>
      <w:sz w:val="30"/>
      <w:szCs w:val="30"/>
    </w:rPr>
  </w:style>
  <w:style w:type="character" w:customStyle="1" w:styleId="FontStyle53">
    <w:name w:val="Font Style53"/>
    <w:basedOn w:val="DefaultParagraphFont"/>
    <w:uiPriority w:val="99"/>
    <w:rsid w:val="007E0B84"/>
    <w:rPr>
      <w:rFonts w:ascii="Times New Roman" w:hAnsi="Times New Roman" w:cs="Times New Roman"/>
      <w:b/>
      <w:bCs/>
      <w:sz w:val="24"/>
      <w:szCs w:val="24"/>
    </w:rPr>
  </w:style>
  <w:style w:type="character" w:customStyle="1" w:styleId="FontStyle54">
    <w:name w:val="Font Style54"/>
    <w:basedOn w:val="DefaultParagraphFont"/>
    <w:uiPriority w:val="99"/>
    <w:rsid w:val="007E0B84"/>
    <w:rPr>
      <w:rFonts w:ascii="Times New Roman" w:hAnsi="Times New Roman" w:cs="Times New Roman"/>
      <w:sz w:val="24"/>
      <w:szCs w:val="24"/>
    </w:rPr>
  </w:style>
  <w:style w:type="character" w:customStyle="1" w:styleId="FontStyle55">
    <w:name w:val="Font Style55"/>
    <w:basedOn w:val="DefaultParagraphFont"/>
    <w:uiPriority w:val="99"/>
    <w:rsid w:val="007E0B84"/>
    <w:rPr>
      <w:rFonts w:ascii="Times New Roman" w:hAnsi="Times New Roman" w:cs="Times New Roman"/>
      <w:sz w:val="48"/>
      <w:szCs w:val="48"/>
    </w:rPr>
  </w:style>
  <w:style w:type="character" w:customStyle="1" w:styleId="FontStyle56">
    <w:name w:val="Font Style56"/>
    <w:basedOn w:val="DefaultParagraphFont"/>
    <w:uiPriority w:val="99"/>
    <w:rsid w:val="007E0B84"/>
    <w:rPr>
      <w:rFonts w:ascii="Times New Roman" w:hAnsi="Times New Roman" w:cs="Times New Roman"/>
      <w:b/>
      <w:bCs/>
      <w:i/>
      <w:iCs/>
      <w:sz w:val="18"/>
      <w:szCs w:val="18"/>
    </w:rPr>
  </w:style>
  <w:style w:type="character" w:customStyle="1" w:styleId="FontStyle57">
    <w:name w:val="Font Style57"/>
    <w:basedOn w:val="DefaultParagraphFont"/>
    <w:uiPriority w:val="99"/>
    <w:rsid w:val="007E0B84"/>
    <w:rPr>
      <w:rFonts w:ascii="Times New Roman" w:hAnsi="Times New Roman" w:cs="Times New Roman"/>
      <w:b/>
      <w:bCs/>
      <w:sz w:val="14"/>
      <w:szCs w:val="14"/>
    </w:rPr>
  </w:style>
  <w:style w:type="character" w:customStyle="1" w:styleId="FontStyle58">
    <w:name w:val="Font Style58"/>
    <w:basedOn w:val="DefaultParagraphFont"/>
    <w:uiPriority w:val="99"/>
    <w:rsid w:val="007E0B84"/>
    <w:rPr>
      <w:rFonts w:ascii="Times New Roman" w:hAnsi="Times New Roman" w:cs="Times New Roman"/>
      <w:sz w:val="18"/>
      <w:szCs w:val="18"/>
    </w:rPr>
  </w:style>
  <w:style w:type="character" w:customStyle="1" w:styleId="FontStyle59">
    <w:name w:val="Font Style59"/>
    <w:basedOn w:val="DefaultParagraphFont"/>
    <w:uiPriority w:val="99"/>
    <w:rsid w:val="007E0B84"/>
    <w:rPr>
      <w:rFonts w:ascii="Franklin Gothic Medium" w:hAnsi="Franklin Gothic Medium" w:cs="Franklin Gothic Medium"/>
      <w:b/>
      <w:bCs/>
      <w:sz w:val="18"/>
      <w:szCs w:val="18"/>
    </w:rPr>
  </w:style>
  <w:style w:type="character" w:customStyle="1" w:styleId="FontStyle60">
    <w:name w:val="Font Style60"/>
    <w:basedOn w:val="DefaultParagraphFont"/>
    <w:uiPriority w:val="99"/>
    <w:rsid w:val="007E0B84"/>
    <w:rPr>
      <w:rFonts w:ascii="Times New Roman" w:hAnsi="Times New Roman" w:cs="Times New Roman"/>
      <w:b/>
      <w:bCs/>
      <w:sz w:val="12"/>
      <w:szCs w:val="12"/>
    </w:rPr>
  </w:style>
  <w:style w:type="character" w:customStyle="1" w:styleId="FontStyle61">
    <w:name w:val="Font Style61"/>
    <w:basedOn w:val="DefaultParagraphFont"/>
    <w:uiPriority w:val="99"/>
    <w:rsid w:val="007E0B84"/>
    <w:rPr>
      <w:rFonts w:ascii="Times New Roman" w:hAnsi="Times New Roman" w:cs="Times New Roman"/>
      <w:b/>
      <w:bCs/>
      <w:sz w:val="18"/>
      <w:szCs w:val="18"/>
    </w:rPr>
  </w:style>
  <w:style w:type="character" w:customStyle="1" w:styleId="FontStyle62">
    <w:name w:val="Font Style62"/>
    <w:basedOn w:val="DefaultParagraphFont"/>
    <w:uiPriority w:val="99"/>
    <w:rsid w:val="007E0B84"/>
    <w:rPr>
      <w:rFonts w:ascii="Times New Roman" w:hAnsi="Times New Roman" w:cs="Times New Roman"/>
      <w:b/>
      <w:bCs/>
      <w:i/>
      <w:iCs/>
      <w:sz w:val="12"/>
      <w:szCs w:val="12"/>
    </w:rPr>
  </w:style>
  <w:style w:type="character" w:customStyle="1" w:styleId="FontStyle63">
    <w:name w:val="Font Style63"/>
    <w:basedOn w:val="DefaultParagraphFont"/>
    <w:uiPriority w:val="99"/>
    <w:rsid w:val="007E0B84"/>
    <w:rPr>
      <w:rFonts w:ascii="Times New Roman" w:hAnsi="Times New Roman" w:cs="Times New Roman"/>
      <w:i/>
      <w:iCs/>
      <w:sz w:val="24"/>
      <w:szCs w:val="24"/>
    </w:rPr>
  </w:style>
  <w:style w:type="character" w:customStyle="1" w:styleId="FontStyle64">
    <w:name w:val="Font Style64"/>
    <w:basedOn w:val="DefaultParagraphFont"/>
    <w:uiPriority w:val="99"/>
    <w:rsid w:val="007E0B84"/>
    <w:rPr>
      <w:rFonts w:ascii="Times New Roman" w:hAnsi="Times New Roman" w:cs="Times New Roman"/>
      <w:b/>
      <w:bCs/>
      <w:smallCaps/>
      <w:sz w:val="12"/>
      <w:szCs w:val="12"/>
    </w:rPr>
  </w:style>
  <w:style w:type="character" w:customStyle="1" w:styleId="FontStyle65">
    <w:name w:val="Font Style65"/>
    <w:basedOn w:val="DefaultParagraphFont"/>
    <w:uiPriority w:val="99"/>
    <w:rsid w:val="007E0B84"/>
    <w:rPr>
      <w:rFonts w:ascii="Franklin Gothic Medium" w:hAnsi="Franklin Gothic Medium" w:cs="Franklin Gothic Medium"/>
      <w:smallCaps/>
      <w:sz w:val="16"/>
      <w:szCs w:val="16"/>
    </w:rPr>
  </w:style>
  <w:style w:type="character" w:customStyle="1" w:styleId="FontStyle66">
    <w:name w:val="Font Style66"/>
    <w:basedOn w:val="DefaultParagraphFont"/>
    <w:uiPriority w:val="99"/>
    <w:rsid w:val="007E0B84"/>
    <w:rPr>
      <w:rFonts w:ascii="Times New Roman" w:hAnsi="Times New Roman" w:cs="Times New Roman"/>
      <w:b/>
      <w:bCs/>
      <w:spacing w:val="10"/>
      <w:sz w:val="18"/>
      <w:szCs w:val="18"/>
    </w:rPr>
  </w:style>
  <w:style w:type="character" w:customStyle="1" w:styleId="FontStyle67">
    <w:name w:val="Font Style67"/>
    <w:basedOn w:val="DefaultParagraphFont"/>
    <w:uiPriority w:val="99"/>
    <w:rsid w:val="007E0B84"/>
    <w:rPr>
      <w:rFonts w:ascii="Times New Roman" w:hAnsi="Times New Roman" w:cs="Times New Roman"/>
      <w:b/>
      <w:bCs/>
      <w:smallCaps/>
      <w:sz w:val="18"/>
      <w:szCs w:val="18"/>
    </w:rPr>
  </w:style>
  <w:style w:type="character" w:customStyle="1" w:styleId="FontStyle68">
    <w:name w:val="Font Style68"/>
    <w:basedOn w:val="DefaultParagraphFont"/>
    <w:uiPriority w:val="99"/>
    <w:rsid w:val="007E0B84"/>
    <w:rPr>
      <w:rFonts w:ascii="Courier New" w:hAnsi="Courier New" w:cs="Courier New"/>
      <w:sz w:val="60"/>
      <w:szCs w:val="60"/>
    </w:rPr>
  </w:style>
  <w:style w:type="character" w:customStyle="1" w:styleId="FontStyle69">
    <w:name w:val="Font Style69"/>
    <w:basedOn w:val="DefaultParagraphFont"/>
    <w:uiPriority w:val="99"/>
    <w:rsid w:val="007E0B84"/>
    <w:rPr>
      <w:rFonts w:ascii="Times New Roman" w:hAnsi="Times New Roman" w:cs="Times New Roman"/>
      <w:b/>
      <w:bCs/>
      <w:smallCaps/>
      <w:sz w:val="18"/>
      <w:szCs w:val="18"/>
    </w:rPr>
  </w:style>
  <w:style w:type="character" w:customStyle="1" w:styleId="FontStyle70">
    <w:name w:val="Font Style70"/>
    <w:basedOn w:val="DefaultParagraphFont"/>
    <w:uiPriority w:val="99"/>
    <w:rsid w:val="007E0B84"/>
    <w:rPr>
      <w:rFonts w:ascii="Times New Roman" w:hAnsi="Times New Roman" w:cs="Times New Roman"/>
      <w:b/>
      <w:bCs/>
      <w:i/>
      <w:iCs/>
      <w:sz w:val="14"/>
      <w:szCs w:val="14"/>
    </w:rPr>
  </w:style>
  <w:style w:type="character" w:customStyle="1" w:styleId="FontStyle71">
    <w:name w:val="Font Style71"/>
    <w:basedOn w:val="DefaultParagraphFont"/>
    <w:uiPriority w:val="99"/>
    <w:rsid w:val="007E0B84"/>
    <w:rPr>
      <w:rFonts w:ascii="Times New Roman" w:hAnsi="Times New Roman" w:cs="Times New Roman"/>
      <w:i/>
      <w:iCs/>
      <w:spacing w:val="20"/>
      <w:sz w:val="18"/>
      <w:szCs w:val="18"/>
    </w:rPr>
  </w:style>
  <w:style w:type="character" w:customStyle="1" w:styleId="FontStyle72">
    <w:name w:val="Font Style72"/>
    <w:basedOn w:val="DefaultParagraphFont"/>
    <w:uiPriority w:val="99"/>
    <w:rsid w:val="007E0B84"/>
    <w:rPr>
      <w:rFonts w:ascii="Times New Roman" w:hAnsi="Times New Roman" w:cs="Times New Roman"/>
      <w:b/>
      <w:bCs/>
      <w:sz w:val="14"/>
      <w:szCs w:val="14"/>
    </w:rPr>
  </w:style>
  <w:style w:type="character" w:customStyle="1" w:styleId="FontStyle73">
    <w:name w:val="Font Style73"/>
    <w:basedOn w:val="DefaultParagraphFont"/>
    <w:uiPriority w:val="99"/>
    <w:rsid w:val="007E0B84"/>
    <w:rPr>
      <w:rFonts w:ascii="Times New Roman" w:hAnsi="Times New Roman" w:cs="Times New Roman"/>
      <w:sz w:val="18"/>
      <w:szCs w:val="18"/>
    </w:rPr>
  </w:style>
  <w:style w:type="character" w:customStyle="1" w:styleId="FontStyle74">
    <w:name w:val="Font Style74"/>
    <w:basedOn w:val="DefaultParagraphFont"/>
    <w:uiPriority w:val="99"/>
    <w:rsid w:val="007E0B84"/>
    <w:rPr>
      <w:rFonts w:ascii="Times New Roman" w:hAnsi="Times New Roman" w:cs="Times New Roman"/>
      <w:b/>
      <w:bCs/>
      <w:sz w:val="14"/>
      <w:szCs w:val="14"/>
    </w:rPr>
  </w:style>
  <w:style w:type="character" w:customStyle="1" w:styleId="FontStyle75">
    <w:name w:val="Font Style75"/>
    <w:basedOn w:val="DefaultParagraphFont"/>
    <w:uiPriority w:val="99"/>
    <w:rsid w:val="007E0B84"/>
    <w:rPr>
      <w:rFonts w:ascii="Times New Roman" w:hAnsi="Times New Roman" w:cs="Times New Roman"/>
      <w:b/>
      <w:bCs/>
      <w:smallCaps/>
      <w:sz w:val="14"/>
      <w:szCs w:val="14"/>
    </w:rPr>
  </w:style>
  <w:style w:type="character" w:customStyle="1" w:styleId="FontStyle76">
    <w:name w:val="Font Style76"/>
    <w:basedOn w:val="DefaultParagraphFont"/>
    <w:uiPriority w:val="99"/>
    <w:rsid w:val="007E0B84"/>
    <w:rPr>
      <w:rFonts w:ascii="Courier New" w:hAnsi="Courier New" w:cs="Courier New"/>
      <w:b/>
      <w:bCs/>
      <w:i/>
      <w:iCs/>
      <w:sz w:val="24"/>
      <w:szCs w:val="24"/>
    </w:rPr>
  </w:style>
  <w:style w:type="character" w:customStyle="1" w:styleId="FontStyle77">
    <w:name w:val="Font Style77"/>
    <w:basedOn w:val="DefaultParagraphFont"/>
    <w:uiPriority w:val="99"/>
    <w:rsid w:val="007E0B84"/>
    <w:rPr>
      <w:rFonts w:ascii="Book Antiqua" w:hAnsi="Book Antiqua" w:cs="Book Antiqua"/>
      <w:b/>
      <w:bCs/>
      <w:i/>
      <w:iCs/>
      <w:spacing w:val="10"/>
      <w:sz w:val="14"/>
      <w:szCs w:val="14"/>
    </w:rPr>
  </w:style>
  <w:style w:type="character" w:customStyle="1" w:styleId="FontStyle78">
    <w:name w:val="Font Style78"/>
    <w:basedOn w:val="DefaultParagraphFont"/>
    <w:uiPriority w:val="99"/>
    <w:rsid w:val="007E0B84"/>
    <w:rPr>
      <w:rFonts w:ascii="Georgia" w:hAnsi="Georgia" w:cs="Georgia"/>
      <w:b/>
      <w:bCs/>
      <w:sz w:val="16"/>
      <w:szCs w:val="16"/>
    </w:rPr>
  </w:style>
  <w:style w:type="character" w:customStyle="1" w:styleId="FontStyle79">
    <w:name w:val="Font Style79"/>
    <w:basedOn w:val="DefaultParagraphFont"/>
    <w:uiPriority w:val="99"/>
    <w:rsid w:val="007E0B84"/>
    <w:rPr>
      <w:rFonts w:ascii="Franklin Gothic Medium" w:hAnsi="Franklin Gothic Medium" w:cs="Franklin Gothic Medium"/>
      <w:i/>
      <w:iCs/>
      <w:smallCaps/>
      <w:sz w:val="16"/>
      <w:szCs w:val="16"/>
    </w:rPr>
  </w:style>
  <w:style w:type="character" w:customStyle="1" w:styleId="FontStyle80">
    <w:name w:val="Font Style80"/>
    <w:basedOn w:val="DefaultParagraphFont"/>
    <w:uiPriority w:val="99"/>
    <w:rsid w:val="007E0B84"/>
    <w:rPr>
      <w:rFonts w:ascii="Times New Roman" w:hAnsi="Times New Roman" w:cs="Times New Roman"/>
      <w:b/>
      <w:bCs/>
      <w:smallCaps/>
      <w:spacing w:val="20"/>
      <w:sz w:val="16"/>
      <w:szCs w:val="16"/>
    </w:rPr>
  </w:style>
  <w:style w:type="paragraph" w:styleId="Header">
    <w:name w:val="header"/>
    <w:basedOn w:val="Normal"/>
    <w:link w:val="HeaderChar"/>
    <w:uiPriority w:val="99"/>
    <w:semiHidden/>
    <w:unhideWhenUsed/>
    <w:rsid w:val="0020323B"/>
    <w:pPr>
      <w:tabs>
        <w:tab w:val="center" w:pos="4680"/>
        <w:tab w:val="right" w:pos="9360"/>
      </w:tabs>
    </w:pPr>
  </w:style>
  <w:style w:type="character" w:customStyle="1" w:styleId="HeaderChar">
    <w:name w:val="Header Char"/>
    <w:basedOn w:val="DefaultParagraphFont"/>
    <w:link w:val="Header"/>
    <w:uiPriority w:val="99"/>
    <w:semiHidden/>
    <w:rsid w:val="0020323B"/>
    <w:rPr>
      <w:rFonts w:hAnsi="Times New Roman"/>
      <w:sz w:val="24"/>
      <w:szCs w:val="24"/>
    </w:rPr>
  </w:style>
  <w:style w:type="paragraph" w:styleId="Footer">
    <w:name w:val="footer"/>
    <w:basedOn w:val="Normal"/>
    <w:link w:val="FooterChar"/>
    <w:uiPriority w:val="99"/>
    <w:semiHidden/>
    <w:unhideWhenUsed/>
    <w:rsid w:val="0020323B"/>
    <w:pPr>
      <w:tabs>
        <w:tab w:val="center" w:pos="4680"/>
        <w:tab w:val="right" w:pos="9360"/>
      </w:tabs>
    </w:pPr>
  </w:style>
  <w:style w:type="character" w:customStyle="1" w:styleId="FooterChar">
    <w:name w:val="Footer Char"/>
    <w:basedOn w:val="DefaultParagraphFont"/>
    <w:link w:val="Footer"/>
    <w:uiPriority w:val="99"/>
    <w:semiHidden/>
    <w:rsid w:val="0020323B"/>
    <w:rPr>
      <w:rFonts w:hAnsi="Times New Roman"/>
      <w:sz w:val="24"/>
      <w:szCs w:val="24"/>
    </w:rPr>
  </w:style>
  <w:style w:type="paragraph" w:styleId="BalloonText">
    <w:name w:val="Balloon Text"/>
    <w:basedOn w:val="Normal"/>
    <w:link w:val="BalloonTextChar"/>
    <w:uiPriority w:val="99"/>
    <w:semiHidden/>
    <w:unhideWhenUsed/>
    <w:rsid w:val="0020323B"/>
    <w:rPr>
      <w:rFonts w:ascii="Tahoma" w:hAnsi="Tahoma" w:cs="Tahoma"/>
      <w:sz w:val="16"/>
      <w:szCs w:val="16"/>
    </w:rPr>
  </w:style>
  <w:style w:type="character" w:customStyle="1" w:styleId="BalloonTextChar">
    <w:name w:val="Balloon Text Char"/>
    <w:basedOn w:val="DefaultParagraphFont"/>
    <w:link w:val="BalloonText"/>
    <w:uiPriority w:val="99"/>
    <w:semiHidden/>
    <w:rsid w:val="00203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371</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5</cp:revision>
  <dcterms:created xsi:type="dcterms:W3CDTF">2017-04-04T05:08:00Z</dcterms:created>
  <dcterms:modified xsi:type="dcterms:W3CDTF">2017-07-11T23:36:00Z</dcterms:modified>
</cp:coreProperties>
</file>