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064" w:rsidRDefault="00427064" w:rsidP="00322A64">
      <w:pPr>
        <w:pBdr>
          <w:top w:val="single" w:sz="4" w:space="1" w:color="auto"/>
        </w:pBdr>
        <w:spacing w:before="8000" w:after="360"/>
        <w:ind w:left="3312" w:right="3312"/>
        <w:jc w:val="center"/>
        <w:rPr>
          <w:b/>
          <w:sz w:val="22"/>
        </w:rPr>
      </w:pPr>
    </w:p>
    <w:p w:rsidR="00363333" w:rsidRPr="00427064" w:rsidRDefault="00363333" w:rsidP="00427064">
      <w:pPr>
        <w:jc w:val="center"/>
        <w:rPr>
          <w:sz w:val="36"/>
        </w:rPr>
      </w:pPr>
      <w:r w:rsidRPr="00427064">
        <w:rPr>
          <w:sz w:val="36"/>
        </w:rPr>
        <w:t>POST AND TELEGRAPH RATES.</w:t>
      </w:r>
    </w:p>
    <w:p w:rsidR="00427064" w:rsidRPr="008C40D3" w:rsidRDefault="00427064" w:rsidP="003F10C6">
      <w:pPr>
        <w:pBdr>
          <w:bottom w:val="single" w:sz="4" w:space="1" w:color="auto"/>
        </w:pBdr>
        <w:spacing w:before="120" w:after="120"/>
        <w:ind w:left="3888" w:right="3888"/>
        <w:jc w:val="center"/>
        <w:rPr>
          <w:b/>
        </w:rPr>
      </w:pPr>
    </w:p>
    <w:p w:rsidR="00CE7AEE" w:rsidRPr="00CF4AB6" w:rsidRDefault="00B90914" w:rsidP="00427064">
      <w:pPr>
        <w:jc w:val="center"/>
        <w:rPr>
          <w:sz w:val="28"/>
        </w:rPr>
      </w:pPr>
      <w:r w:rsidRPr="00CF4AB6">
        <w:rPr>
          <w:b/>
          <w:sz w:val="28"/>
        </w:rPr>
        <w:t>No. 16 of 1923.</w:t>
      </w:r>
    </w:p>
    <w:p w:rsidR="00363333" w:rsidRPr="00427064" w:rsidRDefault="00363333" w:rsidP="00427064">
      <w:pPr>
        <w:spacing w:before="120" w:after="120"/>
        <w:ind w:left="432" w:hanging="432"/>
        <w:jc w:val="center"/>
        <w:rPr>
          <w:sz w:val="26"/>
        </w:rPr>
      </w:pPr>
      <w:r w:rsidRPr="00427064">
        <w:rPr>
          <w:sz w:val="26"/>
        </w:rPr>
        <w:t xml:space="preserve">An Act to amend the </w:t>
      </w:r>
      <w:r w:rsidR="00B90914" w:rsidRPr="00427064">
        <w:rPr>
          <w:i/>
          <w:sz w:val="26"/>
        </w:rPr>
        <w:t>Post and Telegraph Ra</w:t>
      </w:r>
      <w:r w:rsidR="00427064" w:rsidRPr="00427064">
        <w:rPr>
          <w:i/>
          <w:sz w:val="26"/>
        </w:rPr>
        <w:t>t</w:t>
      </w:r>
      <w:r w:rsidR="00B90914" w:rsidRPr="00427064">
        <w:rPr>
          <w:i/>
          <w:sz w:val="26"/>
        </w:rPr>
        <w:t>es Act</w:t>
      </w:r>
      <w:r w:rsidR="00B90914" w:rsidRPr="00427064">
        <w:rPr>
          <w:sz w:val="26"/>
        </w:rPr>
        <w:t xml:space="preserve"> </w:t>
      </w:r>
      <w:r w:rsidRPr="00427064">
        <w:rPr>
          <w:sz w:val="26"/>
        </w:rPr>
        <w:t>1902-1920.</w:t>
      </w:r>
    </w:p>
    <w:p w:rsidR="00363333" w:rsidRPr="00427064" w:rsidRDefault="00363333" w:rsidP="0021047F">
      <w:pPr>
        <w:spacing w:after="120"/>
        <w:ind w:left="432" w:right="288" w:hanging="432"/>
        <w:jc w:val="right"/>
        <w:rPr>
          <w:sz w:val="26"/>
        </w:rPr>
      </w:pPr>
      <w:r w:rsidRPr="00427064">
        <w:rPr>
          <w:sz w:val="26"/>
        </w:rPr>
        <w:t>[Assented to 1st September, 1923.]</w:t>
      </w:r>
    </w:p>
    <w:p w:rsidR="00363333" w:rsidRPr="00E26834" w:rsidRDefault="00363333" w:rsidP="00F32268">
      <w:pPr>
        <w:jc w:val="both"/>
        <w:rPr>
          <w:sz w:val="22"/>
          <w:szCs w:val="22"/>
        </w:rPr>
      </w:pPr>
      <w:r w:rsidRPr="00E26834">
        <w:rPr>
          <w:sz w:val="22"/>
          <w:szCs w:val="22"/>
        </w:rPr>
        <w:t>BE it enacted by the King</w:t>
      </w:r>
      <w:r w:rsidR="00B0346E" w:rsidRPr="00E26834">
        <w:rPr>
          <w:sz w:val="22"/>
          <w:szCs w:val="22"/>
        </w:rPr>
        <w:t>’</w:t>
      </w:r>
      <w:r w:rsidRPr="00E26834">
        <w:rPr>
          <w:sz w:val="22"/>
          <w:szCs w:val="22"/>
        </w:rPr>
        <w:t>s Most Excellent Majesty, the Senate, and the House of Representatives of the Common</w:t>
      </w:r>
      <w:r w:rsidR="0026331F" w:rsidRPr="00E26834">
        <w:rPr>
          <w:sz w:val="22"/>
          <w:szCs w:val="22"/>
        </w:rPr>
        <w:t>wealth of Australia, as follows</w:t>
      </w:r>
      <w:r w:rsidRPr="00E26834">
        <w:rPr>
          <w:sz w:val="22"/>
          <w:szCs w:val="22"/>
        </w:rPr>
        <w:t>:—</w:t>
      </w:r>
    </w:p>
    <w:p w:rsidR="00CE7AEE" w:rsidRPr="00427064" w:rsidRDefault="00B90914" w:rsidP="0050646A">
      <w:pPr>
        <w:widowControl/>
        <w:spacing w:before="120" w:after="60"/>
        <w:jc w:val="both"/>
        <w:rPr>
          <w:b/>
          <w:sz w:val="20"/>
        </w:rPr>
      </w:pPr>
      <w:r w:rsidRPr="00427064">
        <w:rPr>
          <w:b/>
          <w:sz w:val="20"/>
        </w:rPr>
        <w:t>Short title and citation.</w:t>
      </w:r>
    </w:p>
    <w:p w:rsidR="00363333" w:rsidRPr="009A1E5E" w:rsidRDefault="00363333" w:rsidP="009C3BDD">
      <w:pPr>
        <w:widowControl/>
        <w:tabs>
          <w:tab w:val="left" w:pos="630"/>
          <w:tab w:val="left" w:pos="1260"/>
        </w:tabs>
        <w:ind w:firstLine="432"/>
        <w:jc w:val="both"/>
        <w:rPr>
          <w:sz w:val="22"/>
        </w:rPr>
      </w:pPr>
      <w:r w:rsidRPr="009A1E5E">
        <w:rPr>
          <w:sz w:val="22"/>
        </w:rPr>
        <w:t>1.—(1.)</w:t>
      </w:r>
      <w:r w:rsidR="00427064">
        <w:rPr>
          <w:sz w:val="22"/>
        </w:rPr>
        <w:tab/>
      </w:r>
      <w:r w:rsidRPr="009A1E5E">
        <w:rPr>
          <w:sz w:val="22"/>
        </w:rPr>
        <w:t xml:space="preserve">This Act may be cited as the </w:t>
      </w:r>
      <w:r w:rsidR="00B90914" w:rsidRPr="009A1E5E">
        <w:rPr>
          <w:i/>
          <w:sz w:val="22"/>
        </w:rPr>
        <w:t>Post and Telegraph Rates Act</w:t>
      </w:r>
      <w:r w:rsidR="00B90914" w:rsidRPr="007040E1">
        <w:t xml:space="preserve"> </w:t>
      </w:r>
      <w:r w:rsidRPr="009A1E5E">
        <w:rPr>
          <w:sz w:val="22"/>
        </w:rPr>
        <w:t>1923.</w:t>
      </w:r>
    </w:p>
    <w:p w:rsidR="00363333" w:rsidRPr="009A1E5E" w:rsidRDefault="00363333" w:rsidP="0050646A">
      <w:pPr>
        <w:widowControl/>
        <w:tabs>
          <w:tab w:val="left" w:pos="907"/>
        </w:tabs>
        <w:ind w:firstLine="432"/>
        <w:jc w:val="both"/>
        <w:rPr>
          <w:sz w:val="22"/>
        </w:rPr>
      </w:pPr>
      <w:r w:rsidRPr="009A1E5E">
        <w:rPr>
          <w:sz w:val="22"/>
        </w:rPr>
        <w:t>(2.)</w:t>
      </w:r>
      <w:r w:rsidR="00427064">
        <w:rPr>
          <w:sz w:val="22"/>
        </w:rPr>
        <w:tab/>
      </w:r>
      <w:r w:rsidRPr="009A1E5E">
        <w:rPr>
          <w:sz w:val="22"/>
        </w:rPr>
        <w:t xml:space="preserve">The </w:t>
      </w:r>
      <w:r w:rsidR="00B90914" w:rsidRPr="009A1E5E">
        <w:rPr>
          <w:i/>
          <w:sz w:val="22"/>
        </w:rPr>
        <w:t xml:space="preserve">Post and Telegraph Rates Act </w:t>
      </w:r>
      <w:r w:rsidRPr="009A1E5E">
        <w:rPr>
          <w:sz w:val="22"/>
        </w:rPr>
        <w:t>1902–1920 is in this Act referred to as the Principal Act.</w:t>
      </w:r>
    </w:p>
    <w:p w:rsidR="00363333" w:rsidRPr="009A1E5E" w:rsidRDefault="00363333" w:rsidP="0050646A">
      <w:pPr>
        <w:widowControl/>
        <w:tabs>
          <w:tab w:val="left" w:pos="907"/>
        </w:tabs>
        <w:ind w:firstLine="432"/>
        <w:jc w:val="both"/>
        <w:rPr>
          <w:sz w:val="22"/>
        </w:rPr>
      </w:pPr>
      <w:r w:rsidRPr="009A1E5E">
        <w:rPr>
          <w:sz w:val="22"/>
        </w:rPr>
        <w:t>(3.)</w:t>
      </w:r>
      <w:r w:rsidR="00427064">
        <w:rPr>
          <w:sz w:val="22"/>
        </w:rPr>
        <w:tab/>
      </w:r>
      <w:r w:rsidRPr="009A1E5E">
        <w:rPr>
          <w:sz w:val="22"/>
        </w:rPr>
        <w:t xml:space="preserve">The Principal Act, as amended by this Act, may be cited as the </w:t>
      </w:r>
      <w:r w:rsidR="00B90914" w:rsidRPr="009A1E5E">
        <w:rPr>
          <w:i/>
          <w:sz w:val="22"/>
        </w:rPr>
        <w:t xml:space="preserve">Post and Telegraph Rates Act </w:t>
      </w:r>
      <w:r w:rsidRPr="009A1E5E">
        <w:rPr>
          <w:sz w:val="22"/>
        </w:rPr>
        <w:t>1902-1923.</w:t>
      </w:r>
    </w:p>
    <w:p w:rsidR="00CE7AEE" w:rsidRPr="00427064" w:rsidRDefault="009A1E5E" w:rsidP="00CD1B17">
      <w:pPr>
        <w:widowControl/>
        <w:spacing w:after="60"/>
        <w:jc w:val="both"/>
        <w:rPr>
          <w:b/>
          <w:sz w:val="20"/>
        </w:rPr>
      </w:pPr>
      <w:r>
        <w:rPr>
          <w:sz w:val="22"/>
        </w:rPr>
        <w:br w:type="page"/>
      </w:r>
      <w:r w:rsidR="00B90914" w:rsidRPr="00427064">
        <w:rPr>
          <w:b/>
          <w:sz w:val="20"/>
        </w:rPr>
        <w:lastRenderedPageBreak/>
        <w:t>Commencement.</w:t>
      </w:r>
    </w:p>
    <w:p w:rsidR="00363333" w:rsidRPr="009A1E5E" w:rsidRDefault="00B90914" w:rsidP="00CD1B17">
      <w:pPr>
        <w:widowControl/>
        <w:tabs>
          <w:tab w:val="left" w:pos="720"/>
        </w:tabs>
        <w:ind w:firstLine="432"/>
        <w:jc w:val="both"/>
        <w:rPr>
          <w:sz w:val="22"/>
        </w:rPr>
      </w:pPr>
      <w:r w:rsidRPr="009A1E5E">
        <w:rPr>
          <w:b/>
          <w:sz w:val="22"/>
        </w:rPr>
        <w:t>2.</w:t>
      </w:r>
      <w:r w:rsidR="00427064">
        <w:rPr>
          <w:sz w:val="22"/>
        </w:rPr>
        <w:tab/>
      </w:r>
      <w:r w:rsidR="00363333" w:rsidRPr="009A1E5E">
        <w:rPr>
          <w:sz w:val="22"/>
        </w:rPr>
        <w:t>This Act shall commence on a date to be fixed by proclamation.</w:t>
      </w:r>
    </w:p>
    <w:p w:rsidR="00CE7AEE" w:rsidRPr="00427064" w:rsidRDefault="0026331F" w:rsidP="00CD1B17">
      <w:pPr>
        <w:widowControl/>
        <w:spacing w:before="120" w:after="60"/>
        <w:jc w:val="both"/>
        <w:rPr>
          <w:b/>
          <w:sz w:val="20"/>
        </w:rPr>
      </w:pPr>
      <w:r>
        <w:rPr>
          <w:b/>
          <w:sz w:val="20"/>
        </w:rPr>
        <w:t>Part I.—</w:t>
      </w:r>
      <w:r w:rsidR="00B90914" w:rsidRPr="00427064">
        <w:rPr>
          <w:b/>
          <w:sz w:val="20"/>
        </w:rPr>
        <w:t>Newspapers.</w:t>
      </w:r>
    </w:p>
    <w:p w:rsidR="00363333" w:rsidRPr="009A1E5E" w:rsidRDefault="00B90914" w:rsidP="00CD1B17">
      <w:pPr>
        <w:widowControl/>
        <w:tabs>
          <w:tab w:val="left" w:pos="720"/>
        </w:tabs>
        <w:spacing w:after="120"/>
        <w:ind w:firstLine="432"/>
        <w:jc w:val="both"/>
        <w:rPr>
          <w:sz w:val="22"/>
        </w:rPr>
      </w:pPr>
      <w:r w:rsidRPr="009A1E5E">
        <w:rPr>
          <w:b/>
          <w:sz w:val="22"/>
        </w:rPr>
        <w:t>3.</w:t>
      </w:r>
      <w:r w:rsidR="00427064">
        <w:rPr>
          <w:b/>
          <w:sz w:val="22"/>
        </w:rPr>
        <w:tab/>
      </w:r>
      <w:r w:rsidR="00363333" w:rsidRPr="009A1E5E">
        <w:rPr>
          <w:sz w:val="22"/>
        </w:rPr>
        <w:t>Part I. of the First Schedule to the Principal Act is amended by omitting therefrom the words—</w:t>
      </w:r>
    </w:p>
    <w:tbl>
      <w:tblPr>
        <w:tblW w:w="5000" w:type="pct"/>
        <w:tblCellMar>
          <w:left w:w="40" w:type="dxa"/>
          <w:right w:w="40" w:type="dxa"/>
        </w:tblCellMar>
        <w:tblLook w:val="0000" w:firstRow="0" w:lastRow="0" w:firstColumn="0" w:lastColumn="0" w:noHBand="0" w:noVBand="0"/>
      </w:tblPr>
      <w:tblGrid>
        <w:gridCol w:w="4478"/>
        <w:gridCol w:w="4631"/>
      </w:tblGrid>
      <w:tr w:rsidR="00363333" w:rsidRPr="00847A2F" w:rsidTr="00427064">
        <w:trPr>
          <w:trHeight w:val="470"/>
        </w:trPr>
        <w:tc>
          <w:tcPr>
            <w:tcW w:w="2458" w:type="pct"/>
            <w:tcBorders>
              <w:top w:val="nil"/>
              <w:left w:val="nil"/>
              <w:bottom w:val="nil"/>
              <w:right w:val="nil"/>
            </w:tcBorders>
          </w:tcPr>
          <w:p w:rsidR="00363333" w:rsidRPr="00847A2F" w:rsidRDefault="00B0346E" w:rsidP="00CD1B17">
            <w:pPr>
              <w:ind w:left="432" w:hanging="432"/>
              <w:jc w:val="both"/>
              <w:rPr>
                <w:sz w:val="22"/>
              </w:rPr>
            </w:pPr>
            <w:r>
              <w:rPr>
                <w:sz w:val="22"/>
              </w:rPr>
              <w:t>“</w:t>
            </w:r>
            <w:r w:rsidR="00363333" w:rsidRPr="00847A2F">
              <w:rPr>
                <w:sz w:val="22"/>
              </w:rPr>
              <w:t>On other newspapers posted within the Commonwealth for delivery therein</w:t>
            </w:r>
          </w:p>
        </w:tc>
        <w:tc>
          <w:tcPr>
            <w:tcW w:w="2542" w:type="pct"/>
            <w:tcBorders>
              <w:top w:val="nil"/>
              <w:left w:val="nil"/>
              <w:bottom w:val="nil"/>
              <w:right w:val="nil"/>
            </w:tcBorders>
          </w:tcPr>
          <w:p w:rsidR="00363333" w:rsidRPr="00847A2F" w:rsidRDefault="00363333" w:rsidP="00CD1B17">
            <w:pPr>
              <w:ind w:left="432" w:hanging="432"/>
              <w:jc w:val="both"/>
              <w:rPr>
                <w:sz w:val="22"/>
              </w:rPr>
            </w:pPr>
            <w:r w:rsidRPr="00847A2F">
              <w:rPr>
                <w:sz w:val="22"/>
              </w:rPr>
              <w:t xml:space="preserve">For each newspaper—One penny per ten ounces or part of ten ounces </w:t>
            </w:r>
            <w:r w:rsidR="00B0346E">
              <w:rPr>
                <w:sz w:val="22"/>
              </w:rPr>
              <w:t>“</w:t>
            </w:r>
          </w:p>
        </w:tc>
      </w:tr>
    </w:tbl>
    <w:p w:rsidR="00363333" w:rsidRPr="009A1E5E" w:rsidRDefault="00363333" w:rsidP="00CD1B17">
      <w:pPr>
        <w:spacing w:before="120" w:after="120"/>
        <w:jc w:val="both"/>
        <w:rPr>
          <w:sz w:val="22"/>
        </w:rPr>
      </w:pPr>
      <w:r w:rsidRPr="009A1E5E">
        <w:rPr>
          <w:sz w:val="22"/>
        </w:rPr>
        <w:t>and inserting in their stead the words—</w:t>
      </w:r>
    </w:p>
    <w:tbl>
      <w:tblPr>
        <w:tblW w:w="5000" w:type="pct"/>
        <w:tblCellMar>
          <w:left w:w="40" w:type="dxa"/>
          <w:right w:w="40" w:type="dxa"/>
        </w:tblCellMar>
        <w:tblLook w:val="0000" w:firstRow="0" w:lastRow="0" w:firstColumn="0" w:lastColumn="0" w:noHBand="0" w:noVBand="0"/>
      </w:tblPr>
      <w:tblGrid>
        <w:gridCol w:w="4290"/>
        <w:gridCol w:w="4819"/>
      </w:tblGrid>
      <w:tr w:rsidR="00363333" w:rsidRPr="00847A2F" w:rsidTr="00427064">
        <w:trPr>
          <w:trHeight w:val="1200"/>
        </w:trPr>
        <w:tc>
          <w:tcPr>
            <w:tcW w:w="2355" w:type="pct"/>
            <w:tcBorders>
              <w:top w:val="nil"/>
              <w:left w:val="nil"/>
              <w:bottom w:val="nil"/>
              <w:right w:val="nil"/>
            </w:tcBorders>
          </w:tcPr>
          <w:p w:rsidR="00363333" w:rsidRPr="00847A2F" w:rsidRDefault="00B0346E" w:rsidP="00CD1B17">
            <w:pPr>
              <w:ind w:left="432" w:hanging="432"/>
              <w:jc w:val="both"/>
              <w:rPr>
                <w:sz w:val="22"/>
              </w:rPr>
            </w:pPr>
            <w:r>
              <w:rPr>
                <w:sz w:val="22"/>
              </w:rPr>
              <w:t>“</w:t>
            </w:r>
            <w:r w:rsidR="00363333" w:rsidRPr="00847A2F">
              <w:rPr>
                <w:sz w:val="22"/>
              </w:rPr>
              <w:t>On newspapers, printed and published in Australia, posted (otherwise than</w:t>
            </w:r>
            <w:bookmarkStart w:id="0" w:name="_GoBack"/>
            <w:bookmarkEnd w:id="0"/>
            <w:r w:rsidR="00363333" w:rsidRPr="00847A2F">
              <w:rPr>
                <w:sz w:val="22"/>
              </w:rPr>
              <w:t xml:space="preserve"> as specified in the foregoing provisions of this Part) within the Commonwealth for delivery therein</w:t>
            </w:r>
          </w:p>
        </w:tc>
        <w:tc>
          <w:tcPr>
            <w:tcW w:w="2645" w:type="pct"/>
            <w:tcBorders>
              <w:top w:val="nil"/>
              <w:left w:val="nil"/>
              <w:bottom w:val="nil"/>
              <w:right w:val="nil"/>
            </w:tcBorders>
          </w:tcPr>
          <w:p w:rsidR="00363333" w:rsidRPr="00847A2F" w:rsidRDefault="00363333" w:rsidP="0026331F">
            <w:pPr>
              <w:ind w:left="432" w:hanging="432"/>
              <w:jc w:val="both"/>
              <w:rPr>
                <w:sz w:val="22"/>
              </w:rPr>
            </w:pPr>
            <w:r w:rsidRPr="00847A2F">
              <w:rPr>
                <w:sz w:val="22"/>
              </w:rPr>
              <w:t>For each newspaper—One penny per ten ounces or part of ten ounces, provided that the postage on a package containing more than one newspaper shall not be higher than that chargeable on a package of printed papers of the same weight</w:t>
            </w:r>
            <w:r w:rsidR="0026331F">
              <w:rPr>
                <w:sz w:val="22"/>
              </w:rPr>
              <w:t>”</w:t>
            </w:r>
            <w:r w:rsidRPr="00847A2F">
              <w:rPr>
                <w:sz w:val="22"/>
              </w:rPr>
              <w:t>.</w:t>
            </w:r>
          </w:p>
        </w:tc>
      </w:tr>
    </w:tbl>
    <w:p w:rsidR="00CE7AEE" w:rsidRPr="00937B58" w:rsidRDefault="00B90914" w:rsidP="00CD1B17">
      <w:pPr>
        <w:widowControl/>
        <w:spacing w:before="120" w:after="60"/>
        <w:jc w:val="both"/>
        <w:rPr>
          <w:b/>
          <w:sz w:val="20"/>
        </w:rPr>
      </w:pPr>
      <w:r w:rsidRPr="00E26834">
        <w:rPr>
          <w:b/>
          <w:sz w:val="20"/>
        </w:rPr>
        <w:t>Part</w:t>
      </w:r>
      <w:r w:rsidRPr="00937B58">
        <w:rPr>
          <w:b/>
          <w:sz w:val="20"/>
        </w:rPr>
        <w:t xml:space="preserve"> II.—</w:t>
      </w:r>
      <w:r w:rsidRPr="00937B58">
        <w:rPr>
          <w:b/>
          <w:smallCaps/>
          <w:sz w:val="20"/>
        </w:rPr>
        <w:t>P</w:t>
      </w:r>
      <w:r w:rsidR="0026331F" w:rsidRPr="0026331F">
        <w:rPr>
          <w:b/>
          <w:sz w:val="20"/>
        </w:rPr>
        <w:t>ostal articles.</w:t>
      </w:r>
    </w:p>
    <w:p w:rsidR="00363333" w:rsidRDefault="00B90914" w:rsidP="00CD1B17">
      <w:pPr>
        <w:widowControl/>
        <w:tabs>
          <w:tab w:val="left" w:pos="720"/>
        </w:tabs>
        <w:ind w:firstLine="432"/>
        <w:jc w:val="both"/>
        <w:rPr>
          <w:sz w:val="22"/>
        </w:rPr>
      </w:pPr>
      <w:r w:rsidRPr="009A1E5E">
        <w:rPr>
          <w:b/>
          <w:sz w:val="22"/>
        </w:rPr>
        <w:t>4.</w:t>
      </w:r>
      <w:r w:rsidR="00427064">
        <w:rPr>
          <w:sz w:val="22"/>
        </w:rPr>
        <w:tab/>
      </w:r>
      <w:r w:rsidR="00363333" w:rsidRPr="009A1E5E">
        <w:rPr>
          <w:sz w:val="22"/>
        </w:rPr>
        <w:t>Part II. of the First Schedule to the Principal Act is repealed and the follo</w:t>
      </w:r>
      <w:r w:rsidR="0026331F">
        <w:rPr>
          <w:sz w:val="22"/>
        </w:rPr>
        <w:t>wing Part inserted in its stead</w:t>
      </w:r>
      <w:r w:rsidR="00363333" w:rsidRPr="009A1E5E">
        <w:rPr>
          <w:sz w:val="22"/>
        </w:rPr>
        <w:t>:—</w:t>
      </w:r>
    </w:p>
    <w:p w:rsidR="00427064" w:rsidRPr="0026331F" w:rsidRDefault="00427064" w:rsidP="00427064">
      <w:pPr>
        <w:spacing w:before="240" w:after="120"/>
        <w:jc w:val="center"/>
      </w:pPr>
      <w:r w:rsidRPr="0026331F">
        <w:rPr>
          <w:smallCaps/>
        </w:rPr>
        <w:t>Part II.—Postal Articles.</w:t>
      </w:r>
    </w:p>
    <w:tbl>
      <w:tblPr>
        <w:tblW w:w="5000" w:type="pct"/>
        <w:tblCellMar>
          <w:left w:w="40" w:type="dxa"/>
          <w:right w:w="40" w:type="dxa"/>
        </w:tblCellMar>
        <w:tblLook w:val="0000" w:firstRow="0" w:lastRow="0" w:firstColumn="0" w:lastColumn="0" w:noHBand="0" w:noVBand="0"/>
      </w:tblPr>
      <w:tblGrid>
        <w:gridCol w:w="5429"/>
        <w:gridCol w:w="3680"/>
      </w:tblGrid>
      <w:tr w:rsidR="00363333" w:rsidRPr="00847A2F" w:rsidTr="006702A0">
        <w:trPr>
          <w:trHeight w:val="20"/>
        </w:trPr>
        <w:tc>
          <w:tcPr>
            <w:tcW w:w="2980" w:type="pct"/>
            <w:tcBorders>
              <w:top w:val="single" w:sz="6" w:space="0" w:color="auto"/>
              <w:left w:val="nil"/>
              <w:bottom w:val="single" w:sz="6" w:space="0" w:color="auto"/>
              <w:right w:val="single" w:sz="6" w:space="0" w:color="auto"/>
            </w:tcBorders>
            <w:vAlign w:val="center"/>
          </w:tcPr>
          <w:p w:rsidR="00363333" w:rsidRPr="00847A2F" w:rsidRDefault="00363333" w:rsidP="00427064">
            <w:pPr>
              <w:jc w:val="center"/>
              <w:rPr>
                <w:sz w:val="22"/>
              </w:rPr>
            </w:pPr>
            <w:r w:rsidRPr="00847A2F">
              <w:rPr>
                <w:sz w:val="22"/>
              </w:rPr>
              <w:t>First Column.</w:t>
            </w:r>
          </w:p>
          <w:p w:rsidR="00363333" w:rsidRPr="00847A2F" w:rsidRDefault="00427064" w:rsidP="00427064">
            <w:pPr>
              <w:jc w:val="center"/>
              <w:rPr>
                <w:sz w:val="22"/>
              </w:rPr>
            </w:pPr>
            <w:r w:rsidRPr="00847A2F">
              <w:rPr>
                <w:sz w:val="22"/>
              </w:rPr>
              <w:t>—</w:t>
            </w:r>
          </w:p>
          <w:p w:rsidR="00363333" w:rsidRPr="00847A2F" w:rsidRDefault="00B90914" w:rsidP="00427064">
            <w:pPr>
              <w:jc w:val="center"/>
              <w:rPr>
                <w:sz w:val="22"/>
              </w:rPr>
            </w:pPr>
            <w:r w:rsidRPr="00847A2F">
              <w:rPr>
                <w:smallCaps/>
                <w:sz w:val="22"/>
              </w:rPr>
              <w:t>Postal Articles.</w:t>
            </w:r>
          </w:p>
        </w:tc>
        <w:tc>
          <w:tcPr>
            <w:tcW w:w="2020" w:type="pct"/>
            <w:tcBorders>
              <w:top w:val="single" w:sz="6" w:space="0" w:color="auto"/>
              <w:left w:val="single" w:sz="6" w:space="0" w:color="auto"/>
              <w:bottom w:val="single" w:sz="6" w:space="0" w:color="auto"/>
              <w:right w:val="nil"/>
            </w:tcBorders>
            <w:vAlign w:val="center"/>
          </w:tcPr>
          <w:p w:rsidR="00363333" w:rsidRPr="00847A2F" w:rsidRDefault="00363333" w:rsidP="00427064">
            <w:pPr>
              <w:jc w:val="center"/>
              <w:rPr>
                <w:sz w:val="22"/>
              </w:rPr>
            </w:pPr>
            <w:r w:rsidRPr="00847A2F">
              <w:rPr>
                <w:sz w:val="22"/>
              </w:rPr>
              <w:t>Second Column.</w:t>
            </w:r>
          </w:p>
          <w:p w:rsidR="00427064" w:rsidRPr="00847A2F" w:rsidRDefault="00427064" w:rsidP="00427064">
            <w:pPr>
              <w:jc w:val="center"/>
              <w:rPr>
                <w:smallCaps/>
                <w:sz w:val="22"/>
              </w:rPr>
            </w:pPr>
            <w:r w:rsidRPr="00847A2F">
              <w:rPr>
                <w:smallCaps/>
                <w:sz w:val="22"/>
              </w:rPr>
              <w:t>—</w:t>
            </w:r>
          </w:p>
          <w:p w:rsidR="00363333" w:rsidRPr="00847A2F" w:rsidRDefault="00B90914" w:rsidP="00427064">
            <w:pPr>
              <w:jc w:val="center"/>
              <w:rPr>
                <w:sz w:val="22"/>
              </w:rPr>
            </w:pPr>
            <w:r w:rsidRPr="00847A2F">
              <w:rPr>
                <w:smallCaps/>
                <w:sz w:val="22"/>
              </w:rPr>
              <w:t>Rates of Postage.</w:t>
            </w:r>
          </w:p>
        </w:tc>
      </w:tr>
      <w:tr w:rsidR="00363333" w:rsidRPr="00847A2F" w:rsidTr="006702A0">
        <w:trPr>
          <w:trHeight w:val="20"/>
        </w:trPr>
        <w:tc>
          <w:tcPr>
            <w:tcW w:w="2980" w:type="pct"/>
            <w:tcBorders>
              <w:top w:val="single" w:sz="6" w:space="0" w:color="auto"/>
              <w:left w:val="nil"/>
              <w:bottom w:val="nil"/>
              <w:right w:val="single" w:sz="6" w:space="0" w:color="auto"/>
            </w:tcBorders>
          </w:tcPr>
          <w:p w:rsidR="00363333" w:rsidRPr="00847A2F" w:rsidRDefault="00363333" w:rsidP="008110CA">
            <w:pPr>
              <w:tabs>
                <w:tab w:val="right" w:leader="dot" w:pos="5220"/>
              </w:tabs>
              <w:spacing w:before="120" w:after="60"/>
              <w:jc w:val="both"/>
              <w:rPr>
                <w:sz w:val="22"/>
              </w:rPr>
            </w:pPr>
            <w:r w:rsidRPr="00847A2F">
              <w:rPr>
                <w:sz w:val="22"/>
              </w:rPr>
              <w:t>Letters</w:t>
            </w:r>
            <w:r w:rsidR="006702A0" w:rsidRPr="00847A2F">
              <w:rPr>
                <w:sz w:val="22"/>
              </w:rPr>
              <w:tab/>
            </w:r>
          </w:p>
        </w:tc>
        <w:tc>
          <w:tcPr>
            <w:tcW w:w="2020" w:type="pct"/>
            <w:tcBorders>
              <w:top w:val="single" w:sz="6" w:space="0" w:color="auto"/>
              <w:left w:val="single" w:sz="6" w:space="0" w:color="auto"/>
              <w:bottom w:val="nil"/>
              <w:right w:val="nil"/>
            </w:tcBorders>
          </w:tcPr>
          <w:p w:rsidR="00363333" w:rsidRPr="00847A2F" w:rsidRDefault="00363333" w:rsidP="0026331F">
            <w:pPr>
              <w:spacing w:before="120" w:after="60"/>
              <w:jc w:val="both"/>
              <w:rPr>
                <w:sz w:val="22"/>
              </w:rPr>
            </w:pPr>
            <w:r w:rsidRPr="00847A2F">
              <w:rPr>
                <w:sz w:val="22"/>
              </w:rPr>
              <w:t>1½d. per 1 oz.</w:t>
            </w:r>
          </w:p>
        </w:tc>
      </w:tr>
      <w:tr w:rsidR="00363333" w:rsidRPr="00847A2F" w:rsidTr="006702A0">
        <w:trPr>
          <w:trHeight w:val="20"/>
        </w:trPr>
        <w:tc>
          <w:tcPr>
            <w:tcW w:w="2980" w:type="pct"/>
            <w:tcBorders>
              <w:top w:val="nil"/>
              <w:left w:val="nil"/>
              <w:bottom w:val="nil"/>
              <w:right w:val="single" w:sz="6" w:space="0" w:color="auto"/>
            </w:tcBorders>
          </w:tcPr>
          <w:p w:rsidR="00363333" w:rsidRPr="00847A2F" w:rsidRDefault="00363333" w:rsidP="008110CA">
            <w:pPr>
              <w:tabs>
                <w:tab w:val="right" w:leader="dot" w:pos="5220"/>
              </w:tabs>
              <w:spacing w:before="60" w:after="60"/>
              <w:jc w:val="both"/>
              <w:rPr>
                <w:sz w:val="22"/>
              </w:rPr>
            </w:pPr>
            <w:r w:rsidRPr="00847A2F">
              <w:rPr>
                <w:sz w:val="22"/>
              </w:rPr>
              <w:t>Letter Cards</w:t>
            </w:r>
            <w:r w:rsidR="006702A0" w:rsidRPr="00847A2F">
              <w:rPr>
                <w:sz w:val="22"/>
              </w:rPr>
              <w:tab/>
            </w:r>
          </w:p>
        </w:tc>
        <w:tc>
          <w:tcPr>
            <w:tcW w:w="2020" w:type="pct"/>
            <w:tcBorders>
              <w:top w:val="nil"/>
              <w:left w:val="single" w:sz="6" w:space="0" w:color="auto"/>
              <w:bottom w:val="nil"/>
              <w:right w:val="nil"/>
            </w:tcBorders>
          </w:tcPr>
          <w:p w:rsidR="00363333" w:rsidRPr="00847A2F" w:rsidRDefault="00363333" w:rsidP="006702A0">
            <w:pPr>
              <w:spacing w:before="60" w:after="60"/>
              <w:jc w:val="both"/>
              <w:rPr>
                <w:sz w:val="22"/>
              </w:rPr>
            </w:pPr>
            <w:r w:rsidRPr="00847A2F">
              <w:rPr>
                <w:sz w:val="22"/>
              </w:rPr>
              <w:t>Single, l½d. each</w:t>
            </w:r>
          </w:p>
          <w:p w:rsidR="00363333" w:rsidRPr="00847A2F" w:rsidRDefault="00363333" w:rsidP="006702A0">
            <w:pPr>
              <w:spacing w:before="60" w:after="60"/>
              <w:jc w:val="both"/>
              <w:rPr>
                <w:sz w:val="22"/>
              </w:rPr>
            </w:pPr>
            <w:r w:rsidRPr="00847A2F">
              <w:rPr>
                <w:sz w:val="22"/>
              </w:rPr>
              <w:t>Reply, l½d. each half</w:t>
            </w:r>
          </w:p>
        </w:tc>
      </w:tr>
      <w:tr w:rsidR="00363333" w:rsidRPr="00847A2F" w:rsidTr="006702A0">
        <w:trPr>
          <w:trHeight w:val="20"/>
        </w:trPr>
        <w:tc>
          <w:tcPr>
            <w:tcW w:w="2980" w:type="pct"/>
            <w:tcBorders>
              <w:top w:val="nil"/>
              <w:left w:val="nil"/>
              <w:bottom w:val="nil"/>
              <w:right w:val="single" w:sz="6" w:space="0" w:color="auto"/>
            </w:tcBorders>
          </w:tcPr>
          <w:p w:rsidR="00363333" w:rsidRPr="00847A2F" w:rsidRDefault="00363333" w:rsidP="008110CA">
            <w:pPr>
              <w:tabs>
                <w:tab w:val="right" w:leader="dot" w:pos="5220"/>
              </w:tabs>
              <w:spacing w:before="60" w:after="60"/>
              <w:jc w:val="both"/>
              <w:rPr>
                <w:sz w:val="22"/>
              </w:rPr>
            </w:pPr>
            <w:r w:rsidRPr="00847A2F">
              <w:rPr>
                <w:sz w:val="22"/>
              </w:rPr>
              <w:t>Post Cards</w:t>
            </w:r>
            <w:r w:rsidR="006702A0" w:rsidRPr="00847A2F">
              <w:rPr>
                <w:sz w:val="22"/>
              </w:rPr>
              <w:tab/>
            </w:r>
          </w:p>
        </w:tc>
        <w:tc>
          <w:tcPr>
            <w:tcW w:w="2020" w:type="pct"/>
            <w:tcBorders>
              <w:top w:val="nil"/>
              <w:left w:val="single" w:sz="6" w:space="0" w:color="auto"/>
              <w:bottom w:val="nil"/>
              <w:right w:val="nil"/>
            </w:tcBorders>
          </w:tcPr>
          <w:p w:rsidR="00363333" w:rsidRPr="00847A2F" w:rsidRDefault="00363333" w:rsidP="006702A0">
            <w:pPr>
              <w:spacing w:before="60" w:after="60"/>
              <w:jc w:val="both"/>
              <w:rPr>
                <w:sz w:val="22"/>
              </w:rPr>
            </w:pPr>
            <w:r w:rsidRPr="00847A2F">
              <w:rPr>
                <w:sz w:val="22"/>
              </w:rPr>
              <w:t>Single, 1d. each</w:t>
            </w:r>
          </w:p>
          <w:p w:rsidR="00363333" w:rsidRPr="00847A2F" w:rsidRDefault="00363333" w:rsidP="00D04653">
            <w:pPr>
              <w:spacing w:before="60" w:after="60"/>
              <w:jc w:val="both"/>
              <w:rPr>
                <w:sz w:val="22"/>
              </w:rPr>
            </w:pPr>
            <w:r w:rsidRPr="00847A2F">
              <w:rPr>
                <w:sz w:val="22"/>
              </w:rPr>
              <w:t xml:space="preserve">Reply, </w:t>
            </w:r>
            <w:r w:rsidR="00D04653">
              <w:rPr>
                <w:sz w:val="22"/>
              </w:rPr>
              <w:t>1</w:t>
            </w:r>
            <w:r w:rsidRPr="00847A2F">
              <w:rPr>
                <w:sz w:val="22"/>
              </w:rPr>
              <w:t>d. each half</w:t>
            </w:r>
          </w:p>
        </w:tc>
      </w:tr>
      <w:tr w:rsidR="00363333" w:rsidRPr="00847A2F" w:rsidTr="006702A0">
        <w:trPr>
          <w:trHeight w:val="20"/>
        </w:trPr>
        <w:tc>
          <w:tcPr>
            <w:tcW w:w="2980" w:type="pct"/>
            <w:tcBorders>
              <w:top w:val="nil"/>
              <w:left w:val="nil"/>
              <w:bottom w:val="nil"/>
              <w:right w:val="single" w:sz="6" w:space="0" w:color="auto"/>
            </w:tcBorders>
          </w:tcPr>
          <w:p w:rsidR="00363333" w:rsidRPr="00847A2F" w:rsidRDefault="00363333" w:rsidP="00CD1B17">
            <w:pPr>
              <w:spacing w:before="60" w:after="60"/>
              <w:ind w:left="288" w:hanging="288"/>
              <w:jc w:val="both"/>
              <w:rPr>
                <w:sz w:val="22"/>
              </w:rPr>
            </w:pPr>
            <w:r w:rsidRPr="00847A2F">
              <w:rPr>
                <w:sz w:val="22"/>
              </w:rPr>
              <w:t>Commercial papers, patterns, samples, and merchandise, as prescribed</w:t>
            </w:r>
          </w:p>
        </w:tc>
        <w:tc>
          <w:tcPr>
            <w:tcW w:w="2020" w:type="pct"/>
            <w:tcBorders>
              <w:top w:val="nil"/>
              <w:left w:val="single" w:sz="6" w:space="0" w:color="auto"/>
              <w:bottom w:val="nil"/>
              <w:right w:val="nil"/>
            </w:tcBorders>
          </w:tcPr>
          <w:p w:rsidR="00363333" w:rsidRPr="00847A2F" w:rsidRDefault="00D04653" w:rsidP="006702A0">
            <w:pPr>
              <w:spacing w:before="60" w:after="60"/>
              <w:jc w:val="both"/>
              <w:rPr>
                <w:sz w:val="22"/>
              </w:rPr>
            </w:pPr>
            <w:r>
              <w:rPr>
                <w:sz w:val="22"/>
              </w:rPr>
              <w:t>1</w:t>
            </w:r>
            <w:r w:rsidR="00363333" w:rsidRPr="00847A2F">
              <w:rPr>
                <w:sz w:val="22"/>
              </w:rPr>
              <w:t>d. per 2 oz. or part of 2 oz.</w:t>
            </w:r>
          </w:p>
        </w:tc>
      </w:tr>
      <w:tr w:rsidR="00363333" w:rsidRPr="00847A2F" w:rsidTr="006702A0">
        <w:trPr>
          <w:trHeight w:val="20"/>
        </w:trPr>
        <w:tc>
          <w:tcPr>
            <w:tcW w:w="2980" w:type="pct"/>
            <w:tcBorders>
              <w:top w:val="nil"/>
              <w:left w:val="nil"/>
              <w:bottom w:val="nil"/>
              <w:right w:val="single" w:sz="6" w:space="0" w:color="auto"/>
            </w:tcBorders>
          </w:tcPr>
          <w:p w:rsidR="00363333" w:rsidRPr="00847A2F" w:rsidRDefault="00363333" w:rsidP="00CD1B17">
            <w:pPr>
              <w:spacing w:before="60" w:after="60"/>
              <w:ind w:left="288" w:hanging="288"/>
              <w:jc w:val="both"/>
              <w:rPr>
                <w:sz w:val="22"/>
              </w:rPr>
            </w:pPr>
            <w:r w:rsidRPr="00847A2F">
              <w:rPr>
                <w:sz w:val="22"/>
              </w:rPr>
              <w:t>Printed papers (including books, magazines and newspapers not wholly set up and printed in Australia), as prescribed</w:t>
            </w:r>
          </w:p>
        </w:tc>
        <w:tc>
          <w:tcPr>
            <w:tcW w:w="2020" w:type="pct"/>
            <w:tcBorders>
              <w:top w:val="nil"/>
              <w:left w:val="single" w:sz="6" w:space="0" w:color="auto"/>
              <w:bottom w:val="nil"/>
              <w:right w:val="nil"/>
            </w:tcBorders>
          </w:tcPr>
          <w:p w:rsidR="00363333" w:rsidRPr="00847A2F" w:rsidRDefault="00D04653" w:rsidP="006702A0">
            <w:pPr>
              <w:spacing w:before="60" w:after="60"/>
              <w:jc w:val="both"/>
              <w:rPr>
                <w:sz w:val="22"/>
              </w:rPr>
            </w:pPr>
            <w:r>
              <w:rPr>
                <w:sz w:val="22"/>
              </w:rPr>
              <w:t>1</w:t>
            </w:r>
            <w:r w:rsidR="00363333" w:rsidRPr="00847A2F">
              <w:rPr>
                <w:sz w:val="22"/>
              </w:rPr>
              <w:t>d. per 4 oz. or part of 4 oz.</w:t>
            </w:r>
          </w:p>
        </w:tc>
      </w:tr>
      <w:tr w:rsidR="00363333" w:rsidRPr="00847A2F" w:rsidTr="006702A0">
        <w:trPr>
          <w:trHeight w:val="20"/>
        </w:trPr>
        <w:tc>
          <w:tcPr>
            <w:tcW w:w="2980" w:type="pct"/>
            <w:tcBorders>
              <w:top w:val="nil"/>
              <w:left w:val="nil"/>
              <w:bottom w:val="nil"/>
              <w:right w:val="single" w:sz="6" w:space="0" w:color="auto"/>
            </w:tcBorders>
          </w:tcPr>
          <w:p w:rsidR="00363333" w:rsidRPr="00847A2F" w:rsidRDefault="00363333" w:rsidP="00F17401">
            <w:pPr>
              <w:spacing w:before="60" w:after="60"/>
              <w:ind w:left="288" w:hanging="288"/>
              <w:jc w:val="both"/>
              <w:rPr>
                <w:sz w:val="22"/>
              </w:rPr>
            </w:pPr>
            <w:r w:rsidRPr="00847A2F">
              <w:rPr>
                <w:sz w:val="22"/>
              </w:rPr>
              <w:t>Books printed in Australia, except as pr</w:t>
            </w:r>
            <w:r w:rsidR="00F17401">
              <w:rPr>
                <w:sz w:val="22"/>
              </w:rPr>
              <w:t>e</w:t>
            </w:r>
            <w:r w:rsidRPr="00847A2F">
              <w:rPr>
                <w:sz w:val="22"/>
              </w:rPr>
              <w:t>scribed</w:t>
            </w:r>
          </w:p>
        </w:tc>
        <w:tc>
          <w:tcPr>
            <w:tcW w:w="2020" w:type="pct"/>
            <w:tcBorders>
              <w:top w:val="nil"/>
              <w:left w:val="single" w:sz="6" w:space="0" w:color="auto"/>
              <w:bottom w:val="nil"/>
              <w:right w:val="nil"/>
            </w:tcBorders>
          </w:tcPr>
          <w:p w:rsidR="00363333" w:rsidRPr="00847A2F" w:rsidRDefault="00D04653" w:rsidP="006702A0">
            <w:pPr>
              <w:spacing w:before="60" w:after="60"/>
              <w:jc w:val="both"/>
              <w:rPr>
                <w:sz w:val="22"/>
              </w:rPr>
            </w:pPr>
            <w:r>
              <w:rPr>
                <w:sz w:val="22"/>
              </w:rPr>
              <w:t>1</w:t>
            </w:r>
            <w:r w:rsidR="00363333" w:rsidRPr="00847A2F">
              <w:rPr>
                <w:sz w:val="22"/>
              </w:rPr>
              <w:t>d. per 8 oz. or part of 8 oz.</w:t>
            </w:r>
          </w:p>
        </w:tc>
      </w:tr>
      <w:tr w:rsidR="00363333" w:rsidRPr="00847A2F" w:rsidTr="006702A0">
        <w:trPr>
          <w:trHeight w:val="20"/>
        </w:trPr>
        <w:tc>
          <w:tcPr>
            <w:tcW w:w="2980" w:type="pct"/>
            <w:tcBorders>
              <w:top w:val="nil"/>
              <w:left w:val="nil"/>
              <w:bottom w:val="nil"/>
              <w:right w:val="single" w:sz="6" w:space="0" w:color="auto"/>
            </w:tcBorders>
          </w:tcPr>
          <w:p w:rsidR="00363333" w:rsidRPr="00847A2F" w:rsidRDefault="00363333" w:rsidP="00CD1B17">
            <w:pPr>
              <w:spacing w:before="60" w:after="60"/>
              <w:ind w:left="288" w:hanging="288"/>
              <w:jc w:val="both"/>
              <w:rPr>
                <w:sz w:val="22"/>
              </w:rPr>
            </w:pPr>
            <w:r w:rsidRPr="00847A2F">
              <w:rPr>
                <w:sz w:val="22"/>
              </w:rPr>
              <w:t>Magazines, reviews, and other similar publications, wholly set up and printed in Australia, and published for sale in numbers at intervals not exceeding three months and posted in covers each containing not more than one magazine, review or publication</w:t>
            </w:r>
          </w:p>
        </w:tc>
        <w:tc>
          <w:tcPr>
            <w:tcW w:w="2020" w:type="pct"/>
            <w:tcBorders>
              <w:top w:val="nil"/>
              <w:left w:val="single" w:sz="6" w:space="0" w:color="auto"/>
              <w:bottom w:val="nil"/>
              <w:right w:val="nil"/>
            </w:tcBorders>
          </w:tcPr>
          <w:p w:rsidR="00363333" w:rsidRPr="00847A2F" w:rsidRDefault="00D04653" w:rsidP="006702A0">
            <w:pPr>
              <w:spacing w:before="60" w:after="60"/>
              <w:jc w:val="both"/>
              <w:rPr>
                <w:sz w:val="22"/>
              </w:rPr>
            </w:pPr>
            <w:r>
              <w:rPr>
                <w:sz w:val="22"/>
              </w:rPr>
              <w:t>1</w:t>
            </w:r>
            <w:r w:rsidR="00363333" w:rsidRPr="00847A2F">
              <w:rPr>
                <w:sz w:val="22"/>
              </w:rPr>
              <w:t>d. per 8 oz. or part of 8 oz.</w:t>
            </w:r>
          </w:p>
        </w:tc>
      </w:tr>
      <w:tr w:rsidR="00363333" w:rsidRPr="00847A2F" w:rsidTr="006702A0">
        <w:trPr>
          <w:trHeight w:val="20"/>
        </w:trPr>
        <w:tc>
          <w:tcPr>
            <w:tcW w:w="2980" w:type="pct"/>
            <w:tcBorders>
              <w:top w:val="nil"/>
              <w:left w:val="nil"/>
              <w:bottom w:val="nil"/>
              <w:right w:val="single" w:sz="6" w:space="0" w:color="auto"/>
            </w:tcBorders>
          </w:tcPr>
          <w:p w:rsidR="00363333" w:rsidRPr="00847A2F" w:rsidRDefault="00363333" w:rsidP="00CD1B17">
            <w:pPr>
              <w:spacing w:before="60" w:after="60"/>
              <w:ind w:left="288" w:hanging="288"/>
              <w:jc w:val="both"/>
              <w:rPr>
                <w:sz w:val="22"/>
              </w:rPr>
            </w:pPr>
            <w:r w:rsidRPr="00847A2F">
              <w:rPr>
                <w:sz w:val="22"/>
              </w:rPr>
              <w:t>Catalogues wholly set up and printed in Australia</w:t>
            </w:r>
          </w:p>
        </w:tc>
        <w:tc>
          <w:tcPr>
            <w:tcW w:w="2020" w:type="pct"/>
            <w:tcBorders>
              <w:top w:val="nil"/>
              <w:left w:val="single" w:sz="6" w:space="0" w:color="auto"/>
              <w:bottom w:val="nil"/>
              <w:right w:val="nil"/>
            </w:tcBorders>
          </w:tcPr>
          <w:p w:rsidR="00363333" w:rsidRPr="00847A2F" w:rsidRDefault="00D04653" w:rsidP="006702A0">
            <w:pPr>
              <w:spacing w:before="60" w:after="60"/>
              <w:jc w:val="both"/>
              <w:rPr>
                <w:sz w:val="22"/>
              </w:rPr>
            </w:pPr>
            <w:r>
              <w:rPr>
                <w:sz w:val="22"/>
              </w:rPr>
              <w:t>1</w:t>
            </w:r>
            <w:r w:rsidR="00363333" w:rsidRPr="00847A2F">
              <w:rPr>
                <w:sz w:val="22"/>
              </w:rPr>
              <w:t>d. per 4 oz. or part of 4 oz.</w:t>
            </w:r>
          </w:p>
        </w:tc>
      </w:tr>
      <w:tr w:rsidR="00363333" w:rsidRPr="00847A2F" w:rsidTr="006702A0">
        <w:trPr>
          <w:trHeight w:val="20"/>
        </w:trPr>
        <w:tc>
          <w:tcPr>
            <w:tcW w:w="2980" w:type="pct"/>
            <w:tcBorders>
              <w:top w:val="nil"/>
              <w:left w:val="nil"/>
              <w:bottom w:val="single" w:sz="6" w:space="0" w:color="auto"/>
              <w:right w:val="single" w:sz="6" w:space="0" w:color="auto"/>
            </w:tcBorders>
          </w:tcPr>
          <w:p w:rsidR="00363333" w:rsidRPr="00847A2F" w:rsidRDefault="00B90914" w:rsidP="00CD1B17">
            <w:pPr>
              <w:spacing w:before="60" w:after="60"/>
              <w:ind w:left="288" w:hanging="288"/>
              <w:jc w:val="both"/>
              <w:rPr>
                <w:sz w:val="22"/>
              </w:rPr>
            </w:pPr>
            <w:r w:rsidRPr="00847A2F">
              <w:rPr>
                <w:i/>
                <w:sz w:val="22"/>
              </w:rPr>
              <w:t xml:space="preserve">Hansard, </w:t>
            </w:r>
            <w:r w:rsidR="00363333" w:rsidRPr="00847A2F">
              <w:rPr>
                <w:sz w:val="22"/>
              </w:rPr>
              <w:t>that is, reports of Parliamentary debates printed and published by the authority of the Commonwealth or of a State</w:t>
            </w:r>
          </w:p>
        </w:tc>
        <w:tc>
          <w:tcPr>
            <w:tcW w:w="2020" w:type="pct"/>
            <w:tcBorders>
              <w:top w:val="nil"/>
              <w:left w:val="single" w:sz="6" w:space="0" w:color="auto"/>
              <w:bottom w:val="single" w:sz="6" w:space="0" w:color="auto"/>
              <w:right w:val="nil"/>
            </w:tcBorders>
          </w:tcPr>
          <w:p w:rsidR="00363333" w:rsidRPr="00847A2F" w:rsidRDefault="00D04653" w:rsidP="006702A0">
            <w:pPr>
              <w:spacing w:before="60" w:after="60"/>
              <w:jc w:val="both"/>
              <w:rPr>
                <w:sz w:val="22"/>
              </w:rPr>
            </w:pPr>
            <w:r>
              <w:rPr>
                <w:sz w:val="22"/>
              </w:rPr>
              <w:t>1</w:t>
            </w:r>
            <w:r w:rsidR="00363333" w:rsidRPr="00847A2F">
              <w:rPr>
                <w:sz w:val="22"/>
              </w:rPr>
              <w:t>d. per 12 oz. or part of 12 oz.</w:t>
            </w:r>
          </w:p>
        </w:tc>
      </w:tr>
    </w:tbl>
    <w:p w:rsidR="00363333" w:rsidRPr="009A1E5E" w:rsidRDefault="00363333" w:rsidP="00A94855">
      <w:pPr>
        <w:jc w:val="center"/>
        <w:rPr>
          <w:sz w:val="22"/>
        </w:rPr>
      </w:pPr>
    </w:p>
    <w:sectPr w:rsidR="00363333" w:rsidRPr="009A1E5E" w:rsidSect="00A961C5">
      <w:headerReference w:type="even" r:id="rId8"/>
      <w:headerReference w:type="default" r:id="rId9"/>
      <w:footerReference w:type="even" r:id="rId10"/>
      <w:footerReference w:type="default" r:id="rId11"/>
      <w:headerReference w:type="first" r:id="rId12"/>
      <w:footerReference w:type="first" r:id="rId13"/>
      <w:pgSz w:w="11909" w:h="16834" w:code="9"/>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8AA" w:rsidRDefault="00AC78AA">
      <w:r>
        <w:separator/>
      </w:r>
    </w:p>
  </w:endnote>
  <w:endnote w:type="continuationSeparator" w:id="0">
    <w:p w:rsidR="00AC78AA" w:rsidRDefault="00AC7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E7" w:rsidRDefault="00B021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E7" w:rsidRDefault="00B021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E7" w:rsidRDefault="00B021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8AA" w:rsidRDefault="00AC78AA">
      <w:r>
        <w:separator/>
      </w:r>
    </w:p>
  </w:footnote>
  <w:footnote w:type="continuationSeparator" w:id="0">
    <w:p w:rsidR="00AC78AA" w:rsidRDefault="00AC78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1A7" w:rsidRPr="005261A7" w:rsidRDefault="00573B50" w:rsidP="00B021E7">
    <w:pPr>
      <w:pStyle w:val="Header"/>
      <w:tabs>
        <w:tab w:val="clear" w:pos="4680"/>
        <w:tab w:val="clear" w:pos="9360"/>
        <w:tab w:val="center" w:pos="5040"/>
        <w:tab w:val="left" w:pos="8550"/>
      </w:tabs>
      <w:rPr>
        <w:sz w:val="20"/>
        <w:szCs w:val="20"/>
      </w:rPr>
    </w:pPr>
    <w:r>
      <w:rPr>
        <w:sz w:val="20"/>
        <w:szCs w:val="20"/>
      </w:rPr>
      <w:t>No. 16.</w:t>
    </w:r>
    <w:r w:rsidR="005261A7" w:rsidRPr="005261A7">
      <w:rPr>
        <w:i/>
        <w:sz w:val="20"/>
        <w:szCs w:val="20"/>
      </w:rPr>
      <w:tab/>
      <w:t>Post and Telegraph Rates.</w:t>
    </w:r>
    <w:r w:rsidR="004B6966" w:rsidRPr="00573B50">
      <w:rPr>
        <w:sz w:val="20"/>
        <w:szCs w:val="20"/>
      </w:rPr>
      <w:tab/>
    </w:r>
    <w:r w:rsidR="005261A7" w:rsidRPr="005261A7">
      <w:rPr>
        <w:sz w:val="20"/>
        <w:szCs w:val="20"/>
      </w:rPr>
      <w:t>1923.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1A7" w:rsidRDefault="005261A7" w:rsidP="005261A7">
    <w:pPr>
      <w:pStyle w:val="Header"/>
      <w:tabs>
        <w:tab w:val="clear" w:pos="4680"/>
        <w:tab w:val="clear" w:pos="9360"/>
        <w:tab w:val="center" w:pos="4514"/>
      </w:tabs>
    </w:pPr>
    <w:r>
      <w:t>[Type text]</w:t>
    </w:r>
    <w:r>
      <w:tab/>
      <w:t>[Type text] [Type text]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E7" w:rsidRDefault="00B021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defaultTabStop w:val="720"/>
  <w:evenAndOddHeader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126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CE7AEE"/>
    <w:rsid w:val="0000391D"/>
    <w:rsid w:val="00012F02"/>
    <w:rsid w:val="00061DD1"/>
    <w:rsid w:val="00062647"/>
    <w:rsid w:val="000762EA"/>
    <w:rsid w:val="000907C2"/>
    <w:rsid w:val="000D01B3"/>
    <w:rsid w:val="000E3288"/>
    <w:rsid w:val="000F7FF7"/>
    <w:rsid w:val="00126687"/>
    <w:rsid w:val="0013701A"/>
    <w:rsid w:val="00141752"/>
    <w:rsid w:val="00181E83"/>
    <w:rsid w:val="001956DC"/>
    <w:rsid w:val="001A0EC0"/>
    <w:rsid w:val="001B3DF5"/>
    <w:rsid w:val="001D4E42"/>
    <w:rsid w:val="001F42E8"/>
    <w:rsid w:val="001F6CC6"/>
    <w:rsid w:val="00200DD1"/>
    <w:rsid w:val="00204BB5"/>
    <w:rsid w:val="0021047F"/>
    <w:rsid w:val="002131F3"/>
    <w:rsid w:val="0026331F"/>
    <w:rsid w:val="002875C9"/>
    <w:rsid w:val="00290E8E"/>
    <w:rsid w:val="002A5A66"/>
    <w:rsid w:val="002C1B4E"/>
    <w:rsid w:val="002D1445"/>
    <w:rsid w:val="002E2B02"/>
    <w:rsid w:val="002E3425"/>
    <w:rsid w:val="002E70D2"/>
    <w:rsid w:val="00302D70"/>
    <w:rsid w:val="00322A64"/>
    <w:rsid w:val="00343E61"/>
    <w:rsid w:val="00363333"/>
    <w:rsid w:val="00387745"/>
    <w:rsid w:val="003947AB"/>
    <w:rsid w:val="003A0D67"/>
    <w:rsid w:val="003A3BA1"/>
    <w:rsid w:val="003A57D3"/>
    <w:rsid w:val="003C7AFC"/>
    <w:rsid w:val="003E4616"/>
    <w:rsid w:val="003F10C6"/>
    <w:rsid w:val="003F6F96"/>
    <w:rsid w:val="004022F0"/>
    <w:rsid w:val="00407CA4"/>
    <w:rsid w:val="00416EA5"/>
    <w:rsid w:val="00417ED6"/>
    <w:rsid w:val="00422822"/>
    <w:rsid w:val="00427064"/>
    <w:rsid w:val="0044716F"/>
    <w:rsid w:val="0047622E"/>
    <w:rsid w:val="004B08C0"/>
    <w:rsid w:val="004B2A59"/>
    <w:rsid w:val="004B6966"/>
    <w:rsid w:val="004C0291"/>
    <w:rsid w:val="004D0431"/>
    <w:rsid w:val="004E522B"/>
    <w:rsid w:val="005061D2"/>
    <w:rsid w:val="0050646A"/>
    <w:rsid w:val="00523E6A"/>
    <w:rsid w:val="005261A7"/>
    <w:rsid w:val="0053165C"/>
    <w:rsid w:val="005429E7"/>
    <w:rsid w:val="00563669"/>
    <w:rsid w:val="00573B50"/>
    <w:rsid w:val="0058362B"/>
    <w:rsid w:val="005838EF"/>
    <w:rsid w:val="005A6122"/>
    <w:rsid w:val="005C246B"/>
    <w:rsid w:val="005C25C2"/>
    <w:rsid w:val="005D539E"/>
    <w:rsid w:val="005E5255"/>
    <w:rsid w:val="005F07E2"/>
    <w:rsid w:val="00611291"/>
    <w:rsid w:val="00663FD5"/>
    <w:rsid w:val="00667E1A"/>
    <w:rsid w:val="006702A0"/>
    <w:rsid w:val="00682573"/>
    <w:rsid w:val="0068773D"/>
    <w:rsid w:val="006936A5"/>
    <w:rsid w:val="00694EE4"/>
    <w:rsid w:val="006B0FF7"/>
    <w:rsid w:val="006C1723"/>
    <w:rsid w:val="006D78E7"/>
    <w:rsid w:val="007040E1"/>
    <w:rsid w:val="00707BF1"/>
    <w:rsid w:val="0073120F"/>
    <w:rsid w:val="00737F5F"/>
    <w:rsid w:val="0076777D"/>
    <w:rsid w:val="00797D81"/>
    <w:rsid w:val="007C42BE"/>
    <w:rsid w:val="008000E4"/>
    <w:rsid w:val="008110CA"/>
    <w:rsid w:val="0082278B"/>
    <w:rsid w:val="00822C76"/>
    <w:rsid w:val="00847A2F"/>
    <w:rsid w:val="008522D3"/>
    <w:rsid w:val="008673CF"/>
    <w:rsid w:val="00871B64"/>
    <w:rsid w:val="00883A4E"/>
    <w:rsid w:val="00892076"/>
    <w:rsid w:val="008B792B"/>
    <w:rsid w:val="008C40D3"/>
    <w:rsid w:val="008D7868"/>
    <w:rsid w:val="008E20E3"/>
    <w:rsid w:val="009054D6"/>
    <w:rsid w:val="0093438B"/>
    <w:rsid w:val="00937B58"/>
    <w:rsid w:val="00941E46"/>
    <w:rsid w:val="00957914"/>
    <w:rsid w:val="00981187"/>
    <w:rsid w:val="009839EA"/>
    <w:rsid w:val="0098504C"/>
    <w:rsid w:val="009910FC"/>
    <w:rsid w:val="009A1E5E"/>
    <w:rsid w:val="009A3B91"/>
    <w:rsid w:val="009B2349"/>
    <w:rsid w:val="009B771D"/>
    <w:rsid w:val="009C17EB"/>
    <w:rsid w:val="009C3AE3"/>
    <w:rsid w:val="009C3BDD"/>
    <w:rsid w:val="009C63B0"/>
    <w:rsid w:val="009D5120"/>
    <w:rsid w:val="009F0DC8"/>
    <w:rsid w:val="009F2C28"/>
    <w:rsid w:val="009F5000"/>
    <w:rsid w:val="00A13C87"/>
    <w:rsid w:val="00A13E81"/>
    <w:rsid w:val="00A41E33"/>
    <w:rsid w:val="00A517DA"/>
    <w:rsid w:val="00A545C8"/>
    <w:rsid w:val="00A74178"/>
    <w:rsid w:val="00A7429B"/>
    <w:rsid w:val="00A83FC6"/>
    <w:rsid w:val="00A94855"/>
    <w:rsid w:val="00A961C5"/>
    <w:rsid w:val="00AA3E3A"/>
    <w:rsid w:val="00AC78AA"/>
    <w:rsid w:val="00AD7A17"/>
    <w:rsid w:val="00B015F4"/>
    <w:rsid w:val="00B021E7"/>
    <w:rsid w:val="00B0346E"/>
    <w:rsid w:val="00B17573"/>
    <w:rsid w:val="00B20406"/>
    <w:rsid w:val="00B3285D"/>
    <w:rsid w:val="00B86764"/>
    <w:rsid w:val="00B90914"/>
    <w:rsid w:val="00BB651F"/>
    <w:rsid w:val="00BC58AD"/>
    <w:rsid w:val="00BD4E45"/>
    <w:rsid w:val="00BD6934"/>
    <w:rsid w:val="00BF5A2D"/>
    <w:rsid w:val="00C5717A"/>
    <w:rsid w:val="00C754F1"/>
    <w:rsid w:val="00CB0AF7"/>
    <w:rsid w:val="00CB60DC"/>
    <w:rsid w:val="00CB6A2B"/>
    <w:rsid w:val="00CC6285"/>
    <w:rsid w:val="00CD1B17"/>
    <w:rsid w:val="00CD27B1"/>
    <w:rsid w:val="00CE43AB"/>
    <w:rsid w:val="00CE7AEE"/>
    <w:rsid w:val="00CF4AB6"/>
    <w:rsid w:val="00D003C6"/>
    <w:rsid w:val="00D04653"/>
    <w:rsid w:val="00D128C3"/>
    <w:rsid w:val="00D1568F"/>
    <w:rsid w:val="00D41B66"/>
    <w:rsid w:val="00D44EAC"/>
    <w:rsid w:val="00D53F93"/>
    <w:rsid w:val="00D572A8"/>
    <w:rsid w:val="00D671FE"/>
    <w:rsid w:val="00D7370D"/>
    <w:rsid w:val="00DA13E2"/>
    <w:rsid w:val="00DA5110"/>
    <w:rsid w:val="00DB22A4"/>
    <w:rsid w:val="00DD7179"/>
    <w:rsid w:val="00DE2C57"/>
    <w:rsid w:val="00DF0AD1"/>
    <w:rsid w:val="00E1382D"/>
    <w:rsid w:val="00E26834"/>
    <w:rsid w:val="00E445B5"/>
    <w:rsid w:val="00E537B0"/>
    <w:rsid w:val="00E76EE0"/>
    <w:rsid w:val="00E92714"/>
    <w:rsid w:val="00EA34F2"/>
    <w:rsid w:val="00EA544D"/>
    <w:rsid w:val="00EA6C8B"/>
    <w:rsid w:val="00EB25F0"/>
    <w:rsid w:val="00EE618C"/>
    <w:rsid w:val="00F123A6"/>
    <w:rsid w:val="00F16058"/>
    <w:rsid w:val="00F17401"/>
    <w:rsid w:val="00F209B4"/>
    <w:rsid w:val="00F21343"/>
    <w:rsid w:val="00F32268"/>
    <w:rsid w:val="00F767AC"/>
    <w:rsid w:val="00F8243C"/>
    <w:rsid w:val="00FC1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5F4"/>
    <w:pPr>
      <w:widowControl w:val="0"/>
      <w:autoSpaceDE w:val="0"/>
      <w:autoSpaceDN w:val="0"/>
      <w:adjustRightInd w:val="0"/>
    </w:pPr>
    <w:rPr>
      <w:rFonts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B015F4"/>
  </w:style>
  <w:style w:type="paragraph" w:customStyle="1" w:styleId="Style2">
    <w:name w:val="Style2"/>
    <w:basedOn w:val="Normal"/>
    <w:uiPriority w:val="99"/>
    <w:rsid w:val="00B015F4"/>
  </w:style>
  <w:style w:type="paragraph" w:customStyle="1" w:styleId="Style3">
    <w:name w:val="Style3"/>
    <w:basedOn w:val="Normal"/>
    <w:uiPriority w:val="99"/>
    <w:rsid w:val="00B015F4"/>
  </w:style>
  <w:style w:type="paragraph" w:customStyle="1" w:styleId="Style4">
    <w:name w:val="Style4"/>
    <w:basedOn w:val="Normal"/>
    <w:uiPriority w:val="99"/>
    <w:rsid w:val="00B015F4"/>
  </w:style>
  <w:style w:type="paragraph" w:customStyle="1" w:styleId="Style5">
    <w:name w:val="Style5"/>
    <w:basedOn w:val="Normal"/>
    <w:uiPriority w:val="99"/>
    <w:rsid w:val="00B015F4"/>
  </w:style>
  <w:style w:type="paragraph" w:customStyle="1" w:styleId="Style6">
    <w:name w:val="Style6"/>
    <w:basedOn w:val="Normal"/>
    <w:uiPriority w:val="99"/>
    <w:rsid w:val="00B015F4"/>
  </w:style>
  <w:style w:type="paragraph" w:customStyle="1" w:styleId="Style7">
    <w:name w:val="Style7"/>
    <w:basedOn w:val="Normal"/>
    <w:uiPriority w:val="99"/>
    <w:rsid w:val="00B015F4"/>
  </w:style>
  <w:style w:type="paragraph" w:customStyle="1" w:styleId="Style8">
    <w:name w:val="Style8"/>
    <w:basedOn w:val="Normal"/>
    <w:uiPriority w:val="99"/>
    <w:rsid w:val="00B015F4"/>
  </w:style>
  <w:style w:type="paragraph" w:customStyle="1" w:styleId="Style9">
    <w:name w:val="Style9"/>
    <w:basedOn w:val="Normal"/>
    <w:uiPriority w:val="99"/>
    <w:rsid w:val="00B015F4"/>
  </w:style>
  <w:style w:type="paragraph" w:customStyle="1" w:styleId="Style10">
    <w:name w:val="Style10"/>
    <w:basedOn w:val="Normal"/>
    <w:uiPriority w:val="99"/>
    <w:rsid w:val="00B015F4"/>
  </w:style>
  <w:style w:type="paragraph" w:customStyle="1" w:styleId="Style11">
    <w:name w:val="Style11"/>
    <w:basedOn w:val="Normal"/>
    <w:uiPriority w:val="99"/>
    <w:rsid w:val="00B015F4"/>
  </w:style>
  <w:style w:type="paragraph" w:customStyle="1" w:styleId="Style12">
    <w:name w:val="Style12"/>
    <w:basedOn w:val="Normal"/>
    <w:uiPriority w:val="99"/>
    <w:rsid w:val="00B015F4"/>
  </w:style>
  <w:style w:type="paragraph" w:customStyle="1" w:styleId="Style13">
    <w:name w:val="Style13"/>
    <w:basedOn w:val="Normal"/>
    <w:uiPriority w:val="99"/>
    <w:rsid w:val="00B015F4"/>
  </w:style>
  <w:style w:type="paragraph" w:customStyle="1" w:styleId="Style14">
    <w:name w:val="Style14"/>
    <w:basedOn w:val="Normal"/>
    <w:uiPriority w:val="99"/>
    <w:rsid w:val="00B015F4"/>
  </w:style>
  <w:style w:type="paragraph" w:customStyle="1" w:styleId="Style15">
    <w:name w:val="Style15"/>
    <w:basedOn w:val="Normal"/>
    <w:uiPriority w:val="99"/>
    <w:rsid w:val="00B015F4"/>
  </w:style>
  <w:style w:type="paragraph" w:customStyle="1" w:styleId="Style16">
    <w:name w:val="Style16"/>
    <w:basedOn w:val="Normal"/>
    <w:uiPriority w:val="99"/>
    <w:rsid w:val="00B015F4"/>
  </w:style>
  <w:style w:type="paragraph" w:customStyle="1" w:styleId="Style17">
    <w:name w:val="Style17"/>
    <w:basedOn w:val="Normal"/>
    <w:uiPriority w:val="99"/>
    <w:rsid w:val="00B015F4"/>
  </w:style>
  <w:style w:type="paragraph" w:customStyle="1" w:styleId="Style18">
    <w:name w:val="Style18"/>
    <w:basedOn w:val="Normal"/>
    <w:uiPriority w:val="99"/>
    <w:rsid w:val="00B015F4"/>
  </w:style>
  <w:style w:type="paragraph" w:customStyle="1" w:styleId="Style19">
    <w:name w:val="Style19"/>
    <w:basedOn w:val="Normal"/>
    <w:uiPriority w:val="99"/>
    <w:rsid w:val="00B015F4"/>
  </w:style>
  <w:style w:type="paragraph" w:customStyle="1" w:styleId="Style20">
    <w:name w:val="Style20"/>
    <w:basedOn w:val="Normal"/>
    <w:uiPriority w:val="99"/>
    <w:rsid w:val="00B015F4"/>
  </w:style>
  <w:style w:type="paragraph" w:customStyle="1" w:styleId="Style21">
    <w:name w:val="Style21"/>
    <w:basedOn w:val="Normal"/>
    <w:uiPriority w:val="99"/>
    <w:rsid w:val="00B015F4"/>
  </w:style>
  <w:style w:type="paragraph" w:customStyle="1" w:styleId="Style22">
    <w:name w:val="Style22"/>
    <w:basedOn w:val="Normal"/>
    <w:uiPriority w:val="99"/>
    <w:rsid w:val="00B015F4"/>
  </w:style>
  <w:style w:type="paragraph" w:customStyle="1" w:styleId="Style23">
    <w:name w:val="Style23"/>
    <w:basedOn w:val="Normal"/>
    <w:uiPriority w:val="99"/>
    <w:rsid w:val="00B015F4"/>
  </w:style>
  <w:style w:type="paragraph" w:customStyle="1" w:styleId="Style24">
    <w:name w:val="Style24"/>
    <w:basedOn w:val="Normal"/>
    <w:uiPriority w:val="99"/>
    <w:rsid w:val="00B015F4"/>
  </w:style>
  <w:style w:type="paragraph" w:customStyle="1" w:styleId="Style25">
    <w:name w:val="Style25"/>
    <w:basedOn w:val="Normal"/>
    <w:uiPriority w:val="99"/>
    <w:rsid w:val="00B015F4"/>
  </w:style>
  <w:style w:type="paragraph" w:customStyle="1" w:styleId="Style26">
    <w:name w:val="Style26"/>
    <w:basedOn w:val="Normal"/>
    <w:uiPriority w:val="99"/>
    <w:rsid w:val="00B015F4"/>
  </w:style>
  <w:style w:type="paragraph" w:customStyle="1" w:styleId="Style27">
    <w:name w:val="Style27"/>
    <w:basedOn w:val="Normal"/>
    <w:uiPriority w:val="99"/>
    <w:rsid w:val="00B015F4"/>
  </w:style>
  <w:style w:type="paragraph" w:customStyle="1" w:styleId="Style28">
    <w:name w:val="Style28"/>
    <w:basedOn w:val="Normal"/>
    <w:uiPriority w:val="99"/>
    <w:rsid w:val="00B015F4"/>
  </w:style>
  <w:style w:type="paragraph" w:customStyle="1" w:styleId="Style29">
    <w:name w:val="Style29"/>
    <w:basedOn w:val="Normal"/>
    <w:uiPriority w:val="99"/>
    <w:rsid w:val="00B015F4"/>
  </w:style>
  <w:style w:type="paragraph" w:customStyle="1" w:styleId="Style30">
    <w:name w:val="Style30"/>
    <w:basedOn w:val="Normal"/>
    <w:uiPriority w:val="99"/>
    <w:rsid w:val="00B015F4"/>
  </w:style>
  <w:style w:type="paragraph" w:customStyle="1" w:styleId="Style31">
    <w:name w:val="Style31"/>
    <w:basedOn w:val="Normal"/>
    <w:uiPriority w:val="99"/>
    <w:rsid w:val="00B015F4"/>
  </w:style>
  <w:style w:type="paragraph" w:customStyle="1" w:styleId="Style32">
    <w:name w:val="Style32"/>
    <w:basedOn w:val="Normal"/>
    <w:uiPriority w:val="99"/>
    <w:rsid w:val="00B015F4"/>
  </w:style>
  <w:style w:type="paragraph" w:customStyle="1" w:styleId="Style33">
    <w:name w:val="Style33"/>
    <w:basedOn w:val="Normal"/>
    <w:uiPriority w:val="99"/>
    <w:rsid w:val="00B015F4"/>
  </w:style>
  <w:style w:type="paragraph" w:customStyle="1" w:styleId="Style34">
    <w:name w:val="Style34"/>
    <w:basedOn w:val="Normal"/>
    <w:uiPriority w:val="99"/>
    <w:rsid w:val="00B015F4"/>
  </w:style>
  <w:style w:type="paragraph" w:customStyle="1" w:styleId="Style35">
    <w:name w:val="Style35"/>
    <w:basedOn w:val="Normal"/>
    <w:uiPriority w:val="99"/>
    <w:rsid w:val="00B015F4"/>
  </w:style>
  <w:style w:type="paragraph" w:customStyle="1" w:styleId="Style36">
    <w:name w:val="Style36"/>
    <w:basedOn w:val="Normal"/>
    <w:uiPriority w:val="99"/>
    <w:rsid w:val="00B015F4"/>
  </w:style>
  <w:style w:type="paragraph" w:customStyle="1" w:styleId="Style37">
    <w:name w:val="Style37"/>
    <w:basedOn w:val="Normal"/>
    <w:uiPriority w:val="99"/>
    <w:rsid w:val="00B015F4"/>
  </w:style>
  <w:style w:type="paragraph" w:customStyle="1" w:styleId="Style38">
    <w:name w:val="Style38"/>
    <w:basedOn w:val="Normal"/>
    <w:uiPriority w:val="99"/>
    <w:rsid w:val="00B015F4"/>
  </w:style>
  <w:style w:type="paragraph" w:customStyle="1" w:styleId="Style39">
    <w:name w:val="Style39"/>
    <w:basedOn w:val="Normal"/>
    <w:uiPriority w:val="99"/>
    <w:rsid w:val="00B015F4"/>
  </w:style>
  <w:style w:type="paragraph" w:customStyle="1" w:styleId="Style40">
    <w:name w:val="Style40"/>
    <w:basedOn w:val="Normal"/>
    <w:uiPriority w:val="99"/>
    <w:rsid w:val="00B015F4"/>
  </w:style>
  <w:style w:type="paragraph" w:customStyle="1" w:styleId="Style41">
    <w:name w:val="Style41"/>
    <w:basedOn w:val="Normal"/>
    <w:uiPriority w:val="99"/>
    <w:rsid w:val="00B015F4"/>
  </w:style>
  <w:style w:type="paragraph" w:customStyle="1" w:styleId="Style42">
    <w:name w:val="Style42"/>
    <w:basedOn w:val="Normal"/>
    <w:uiPriority w:val="99"/>
    <w:rsid w:val="00B015F4"/>
  </w:style>
  <w:style w:type="paragraph" w:customStyle="1" w:styleId="Style43">
    <w:name w:val="Style43"/>
    <w:basedOn w:val="Normal"/>
    <w:uiPriority w:val="99"/>
    <w:rsid w:val="00B015F4"/>
  </w:style>
  <w:style w:type="paragraph" w:customStyle="1" w:styleId="Style44">
    <w:name w:val="Style44"/>
    <w:basedOn w:val="Normal"/>
    <w:uiPriority w:val="99"/>
    <w:rsid w:val="00B015F4"/>
  </w:style>
  <w:style w:type="paragraph" w:customStyle="1" w:styleId="Style45">
    <w:name w:val="Style45"/>
    <w:basedOn w:val="Normal"/>
    <w:uiPriority w:val="99"/>
    <w:rsid w:val="00B015F4"/>
  </w:style>
  <w:style w:type="paragraph" w:customStyle="1" w:styleId="Style46">
    <w:name w:val="Style46"/>
    <w:basedOn w:val="Normal"/>
    <w:uiPriority w:val="99"/>
    <w:rsid w:val="00B015F4"/>
  </w:style>
  <w:style w:type="paragraph" w:customStyle="1" w:styleId="Style47">
    <w:name w:val="Style47"/>
    <w:basedOn w:val="Normal"/>
    <w:uiPriority w:val="99"/>
    <w:rsid w:val="00B015F4"/>
  </w:style>
  <w:style w:type="paragraph" w:customStyle="1" w:styleId="Style48">
    <w:name w:val="Style48"/>
    <w:basedOn w:val="Normal"/>
    <w:uiPriority w:val="99"/>
    <w:rsid w:val="00B015F4"/>
  </w:style>
  <w:style w:type="paragraph" w:customStyle="1" w:styleId="Style49">
    <w:name w:val="Style49"/>
    <w:basedOn w:val="Normal"/>
    <w:uiPriority w:val="99"/>
    <w:rsid w:val="00B015F4"/>
  </w:style>
  <w:style w:type="paragraph" w:customStyle="1" w:styleId="Style50">
    <w:name w:val="Style50"/>
    <w:basedOn w:val="Normal"/>
    <w:uiPriority w:val="99"/>
    <w:rsid w:val="00B015F4"/>
  </w:style>
  <w:style w:type="character" w:customStyle="1" w:styleId="FontStyle52">
    <w:name w:val="Font Style52"/>
    <w:basedOn w:val="DefaultParagraphFont"/>
    <w:uiPriority w:val="99"/>
    <w:rsid w:val="00B015F4"/>
    <w:rPr>
      <w:rFonts w:ascii="Times New Roman" w:hAnsi="Times New Roman" w:cs="Times New Roman"/>
      <w:sz w:val="30"/>
      <w:szCs w:val="30"/>
    </w:rPr>
  </w:style>
  <w:style w:type="character" w:customStyle="1" w:styleId="FontStyle53">
    <w:name w:val="Font Style53"/>
    <w:basedOn w:val="DefaultParagraphFont"/>
    <w:uiPriority w:val="99"/>
    <w:rsid w:val="00B015F4"/>
    <w:rPr>
      <w:rFonts w:ascii="Times New Roman" w:hAnsi="Times New Roman" w:cs="Times New Roman"/>
      <w:b/>
      <w:bCs/>
      <w:sz w:val="24"/>
      <w:szCs w:val="24"/>
    </w:rPr>
  </w:style>
  <w:style w:type="character" w:customStyle="1" w:styleId="FontStyle54">
    <w:name w:val="Font Style54"/>
    <w:basedOn w:val="DefaultParagraphFont"/>
    <w:uiPriority w:val="99"/>
    <w:rsid w:val="00B015F4"/>
    <w:rPr>
      <w:rFonts w:ascii="Times New Roman" w:hAnsi="Times New Roman" w:cs="Times New Roman"/>
      <w:sz w:val="24"/>
      <w:szCs w:val="24"/>
    </w:rPr>
  </w:style>
  <w:style w:type="character" w:customStyle="1" w:styleId="FontStyle55">
    <w:name w:val="Font Style55"/>
    <w:basedOn w:val="DefaultParagraphFont"/>
    <w:uiPriority w:val="99"/>
    <w:rsid w:val="00B015F4"/>
    <w:rPr>
      <w:rFonts w:ascii="Times New Roman" w:hAnsi="Times New Roman" w:cs="Times New Roman"/>
      <w:sz w:val="48"/>
      <w:szCs w:val="48"/>
    </w:rPr>
  </w:style>
  <w:style w:type="character" w:customStyle="1" w:styleId="FontStyle56">
    <w:name w:val="Font Style56"/>
    <w:basedOn w:val="DefaultParagraphFont"/>
    <w:uiPriority w:val="99"/>
    <w:rsid w:val="00B015F4"/>
    <w:rPr>
      <w:rFonts w:ascii="Times New Roman" w:hAnsi="Times New Roman" w:cs="Times New Roman"/>
      <w:b/>
      <w:bCs/>
      <w:i/>
      <w:iCs/>
      <w:sz w:val="18"/>
      <w:szCs w:val="18"/>
    </w:rPr>
  </w:style>
  <w:style w:type="character" w:customStyle="1" w:styleId="FontStyle57">
    <w:name w:val="Font Style57"/>
    <w:basedOn w:val="DefaultParagraphFont"/>
    <w:uiPriority w:val="99"/>
    <w:rsid w:val="00B015F4"/>
    <w:rPr>
      <w:rFonts w:ascii="Times New Roman" w:hAnsi="Times New Roman" w:cs="Times New Roman"/>
      <w:b/>
      <w:bCs/>
      <w:sz w:val="14"/>
      <w:szCs w:val="14"/>
    </w:rPr>
  </w:style>
  <w:style w:type="character" w:customStyle="1" w:styleId="FontStyle58">
    <w:name w:val="Font Style58"/>
    <w:basedOn w:val="DefaultParagraphFont"/>
    <w:uiPriority w:val="99"/>
    <w:rsid w:val="00B015F4"/>
    <w:rPr>
      <w:rFonts w:ascii="Times New Roman" w:hAnsi="Times New Roman" w:cs="Times New Roman"/>
      <w:sz w:val="18"/>
      <w:szCs w:val="18"/>
    </w:rPr>
  </w:style>
  <w:style w:type="character" w:customStyle="1" w:styleId="FontStyle59">
    <w:name w:val="Font Style59"/>
    <w:basedOn w:val="DefaultParagraphFont"/>
    <w:uiPriority w:val="99"/>
    <w:rsid w:val="00B015F4"/>
    <w:rPr>
      <w:rFonts w:ascii="Franklin Gothic Medium" w:hAnsi="Franklin Gothic Medium" w:cs="Franklin Gothic Medium"/>
      <w:b/>
      <w:bCs/>
      <w:sz w:val="18"/>
      <w:szCs w:val="18"/>
    </w:rPr>
  </w:style>
  <w:style w:type="character" w:customStyle="1" w:styleId="FontStyle60">
    <w:name w:val="Font Style60"/>
    <w:basedOn w:val="DefaultParagraphFont"/>
    <w:uiPriority w:val="99"/>
    <w:rsid w:val="00B015F4"/>
    <w:rPr>
      <w:rFonts w:ascii="Times New Roman" w:hAnsi="Times New Roman" w:cs="Times New Roman"/>
      <w:b/>
      <w:bCs/>
      <w:sz w:val="12"/>
      <w:szCs w:val="12"/>
    </w:rPr>
  </w:style>
  <w:style w:type="character" w:customStyle="1" w:styleId="FontStyle61">
    <w:name w:val="Font Style61"/>
    <w:basedOn w:val="DefaultParagraphFont"/>
    <w:uiPriority w:val="99"/>
    <w:rsid w:val="00B015F4"/>
    <w:rPr>
      <w:rFonts w:ascii="Times New Roman" w:hAnsi="Times New Roman" w:cs="Times New Roman"/>
      <w:b/>
      <w:bCs/>
      <w:sz w:val="18"/>
      <w:szCs w:val="18"/>
    </w:rPr>
  </w:style>
  <w:style w:type="character" w:customStyle="1" w:styleId="FontStyle62">
    <w:name w:val="Font Style62"/>
    <w:basedOn w:val="DefaultParagraphFont"/>
    <w:uiPriority w:val="99"/>
    <w:rsid w:val="00B015F4"/>
    <w:rPr>
      <w:rFonts w:ascii="Times New Roman" w:hAnsi="Times New Roman" w:cs="Times New Roman"/>
      <w:b/>
      <w:bCs/>
      <w:i/>
      <w:iCs/>
      <w:sz w:val="12"/>
      <w:szCs w:val="12"/>
    </w:rPr>
  </w:style>
  <w:style w:type="character" w:customStyle="1" w:styleId="FontStyle63">
    <w:name w:val="Font Style63"/>
    <w:basedOn w:val="DefaultParagraphFont"/>
    <w:uiPriority w:val="99"/>
    <w:rsid w:val="00B015F4"/>
    <w:rPr>
      <w:rFonts w:ascii="Times New Roman" w:hAnsi="Times New Roman" w:cs="Times New Roman"/>
      <w:i/>
      <w:iCs/>
      <w:sz w:val="24"/>
      <w:szCs w:val="24"/>
    </w:rPr>
  </w:style>
  <w:style w:type="character" w:customStyle="1" w:styleId="FontStyle64">
    <w:name w:val="Font Style64"/>
    <w:basedOn w:val="DefaultParagraphFont"/>
    <w:uiPriority w:val="99"/>
    <w:rsid w:val="00B015F4"/>
    <w:rPr>
      <w:rFonts w:ascii="Times New Roman" w:hAnsi="Times New Roman" w:cs="Times New Roman"/>
      <w:b/>
      <w:bCs/>
      <w:smallCaps/>
      <w:sz w:val="12"/>
      <w:szCs w:val="12"/>
    </w:rPr>
  </w:style>
  <w:style w:type="character" w:customStyle="1" w:styleId="FontStyle65">
    <w:name w:val="Font Style65"/>
    <w:basedOn w:val="DefaultParagraphFont"/>
    <w:uiPriority w:val="99"/>
    <w:rsid w:val="00B015F4"/>
    <w:rPr>
      <w:rFonts w:ascii="Franklin Gothic Medium" w:hAnsi="Franklin Gothic Medium" w:cs="Franklin Gothic Medium"/>
      <w:smallCaps/>
      <w:sz w:val="16"/>
      <w:szCs w:val="16"/>
    </w:rPr>
  </w:style>
  <w:style w:type="character" w:customStyle="1" w:styleId="FontStyle66">
    <w:name w:val="Font Style66"/>
    <w:basedOn w:val="DefaultParagraphFont"/>
    <w:uiPriority w:val="99"/>
    <w:rsid w:val="00B015F4"/>
    <w:rPr>
      <w:rFonts w:ascii="Times New Roman" w:hAnsi="Times New Roman" w:cs="Times New Roman"/>
      <w:b/>
      <w:bCs/>
      <w:spacing w:val="10"/>
      <w:sz w:val="18"/>
      <w:szCs w:val="18"/>
    </w:rPr>
  </w:style>
  <w:style w:type="character" w:customStyle="1" w:styleId="FontStyle67">
    <w:name w:val="Font Style67"/>
    <w:basedOn w:val="DefaultParagraphFont"/>
    <w:uiPriority w:val="99"/>
    <w:rsid w:val="00B015F4"/>
    <w:rPr>
      <w:rFonts w:ascii="Times New Roman" w:hAnsi="Times New Roman" w:cs="Times New Roman"/>
      <w:b/>
      <w:bCs/>
      <w:smallCaps/>
      <w:sz w:val="18"/>
      <w:szCs w:val="18"/>
    </w:rPr>
  </w:style>
  <w:style w:type="character" w:customStyle="1" w:styleId="FontStyle68">
    <w:name w:val="Font Style68"/>
    <w:basedOn w:val="DefaultParagraphFont"/>
    <w:uiPriority w:val="99"/>
    <w:rsid w:val="00B015F4"/>
    <w:rPr>
      <w:rFonts w:ascii="Courier New" w:hAnsi="Courier New" w:cs="Courier New"/>
      <w:sz w:val="60"/>
      <w:szCs w:val="60"/>
    </w:rPr>
  </w:style>
  <w:style w:type="character" w:customStyle="1" w:styleId="FontStyle69">
    <w:name w:val="Font Style69"/>
    <w:basedOn w:val="DefaultParagraphFont"/>
    <w:uiPriority w:val="99"/>
    <w:rsid w:val="00B015F4"/>
    <w:rPr>
      <w:rFonts w:ascii="Times New Roman" w:hAnsi="Times New Roman" w:cs="Times New Roman"/>
      <w:b/>
      <w:bCs/>
      <w:smallCaps/>
      <w:sz w:val="18"/>
      <w:szCs w:val="18"/>
    </w:rPr>
  </w:style>
  <w:style w:type="character" w:customStyle="1" w:styleId="FontStyle70">
    <w:name w:val="Font Style70"/>
    <w:basedOn w:val="DefaultParagraphFont"/>
    <w:uiPriority w:val="99"/>
    <w:rsid w:val="00B015F4"/>
    <w:rPr>
      <w:rFonts w:ascii="Times New Roman" w:hAnsi="Times New Roman" w:cs="Times New Roman"/>
      <w:b/>
      <w:bCs/>
      <w:i/>
      <w:iCs/>
      <w:sz w:val="14"/>
      <w:szCs w:val="14"/>
    </w:rPr>
  </w:style>
  <w:style w:type="character" w:customStyle="1" w:styleId="FontStyle71">
    <w:name w:val="Font Style71"/>
    <w:basedOn w:val="DefaultParagraphFont"/>
    <w:uiPriority w:val="99"/>
    <w:rsid w:val="00B015F4"/>
    <w:rPr>
      <w:rFonts w:ascii="Times New Roman" w:hAnsi="Times New Roman" w:cs="Times New Roman"/>
      <w:i/>
      <w:iCs/>
      <w:spacing w:val="20"/>
      <w:sz w:val="18"/>
      <w:szCs w:val="18"/>
    </w:rPr>
  </w:style>
  <w:style w:type="character" w:customStyle="1" w:styleId="FontStyle72">
    <w:name w:val="Font Style72"/>
    <w:basedOn w:val="DefaultParagraphFont"/>
    <w:uiPriority w:val="99"/>
    <w:rsid w:val="00B015F4"/>
    <w:rPr>
      <w:rFonts w:ascii="Times New Roman" w:hAnsi="Times New Roman" w:cs="Times New Roman"/>
      <w:b/>
      <w:bCs/>
      <w:sz w:val="14"/>
      <w:szCs w:val="14"/>
    </w:rPr>
  </w:style>
  <w:style w:type="character" w:customStyle="1" w:styleId="FontStyle73">
    <w:name w:val="Font Style73"/>
    <w:basedOn w:val="DefaultParagraphFont"/>
    <w:uiPriority w:val="99"/>
    <w:rsid w:val="00B015F4"/>
    <w:rPr>
      <w:rFonts w:ascii="Times New Roman" w:hAnsi="Times New Roman" w:cs="Times New Roman"/>
      <w:sz w:val="18"/>
      <w:szCs w:val="18"/>
    </w:rPr>
  </w:style>
  <w:style w:type="character" w:customStyle="1" w:styleId="FontStyle74">
    <w:name w:val="Font Style74"/>
    <w:basedOn w:val="DefaultParagraphFont"/>
    <w:uiPriority w:val="99"/>
    <w:rsid w:val="00B015F4"/>
    <w:rPr>
      <w:rFonts w:ascii="Times New Roman" w:hAnsi="Times New Roman" w:cs="Times New Roman"/>
      <w:b/>
      <w:bCs/>
      <w:sz w:val="14"/>
      <w:szCs w:val="14"/>
    </w:rPr>
  </w:style>
  <w:style w:type="character" w:customStyle="1" w:styleId="FontStyle75">
    <w:name w:val="Font Style75"/>
    <w:basedOn w:val="DefaultParagraphFont"/>
    <w:uiPriority w:val="99"/>
    <w:rsid w:val="00B015F4"/>
    <w:rPr>
      <w:rFonts w:ascii="Times New Roman" w:hAnsi="Times New Roman" w:cs="Times New Roman"/>
      <w:b/>
      <w:bCs/>
      <w:smallCaps/>
      <w:sz w:val="14"/>
      <w:szCs w:val="14"/>
    </w:rPr>
  </w:style>
  <w:style w:type="character" w:customStyle="1" w:styleId="FontStyle76">
    <w:name w:val="Font Style76"/>
    <w:basedOn w:val="DefaultParagraphFont"/>
    <w:uiPriority w:val="99"/>
    <w:rsid w:val="00B015F4"/>
    <w:rPr>
      <w:rFonts w:ascii="Courier New" w:hAnsi="Courier New" w:cs="Courier New"/>
      <w:b/>
      <w:bCs/>
      <w:i/>
      <w:iCs/>
      <w:sz w:val="24"/>
      <w:szCs w:val="24"/>
    </w:rPr>
  </w:style>
  <w:style w:type="character" w:customStyle="1" w:styleId="FontStyle77">
    <w:name w:val="Font Style77"/>
    <w:basedOn w:val="DefaultParagraphFont"/>
    <w:uiPriority w:val="99"/>
    <w:rsid w:val="00B015F4"/>
    <w:rPr>
      <w:rFonts w:ascii="Book Antiqua" w:hAnsi="Book Antiqua" w:cs="Book Antiqua"/>
      <w:b/>
      <w:bCs/>
      <w:i/>
      <w:iCs/>
      <w:spacing w:val="10"/>
      <w:sz w:val="14"/>
      <w:szCs w:val="14"/>
    </w:rPr>
  </w:style>
  <w:style w:type="character" w:customStyle="1" w:styleId="FontStyle78">
    <w:name w:val="Font Style78"/>
    <w:basedOn w:val="DefaultParagraphFont"/>
    <w:uiPriority w:val="99"/>
    <w:rsid w:val="00B015F4"/>
    <w:rPr>
      <w:rFonts w:ascii="Georgia" w:hAnsi="Georgia" w:cs="Georgia"/>
      <w:b/>
      <w:bCs/>
      <w:sz w:val="16"/>
      <w:szCs w:val="16"/>
    </w:rPr>
  </w:style>
  <w:style w:type="character" w:customStyle="1" w:styleId="FontStyle79">
    <w:name w:val="Font Style79"/>
    <w:basedOn w:val="DefaultParagraphFont"/>
    <w:uiPriority w:val="99"/>
    <w:rsid w:val="00B015F4"/>
    <w:rPr>
      <w:rFonts w:ascii="Franklin Gothic Medium" w:hAnsi="Franklin Gothic Medium" w:cs="Franklin Gothic Medium"/>
      <w:i/>
      <w:iCs/>
      <w:smallCaps/>
      <w:sz w:val="16"/>
      <w:szCs w:val="16"/>
    </w:rPr>
  </w:style>
  <w:style w:type="character" w:customStyle="1" w:styleId="FontStyle80">
    <w:name w:val="Font Style80"/>
    <w:basedOn w:val="DefaultParagraphFont"/>
    <w:uiPriority w:val="99"/>
    <w:rsid w:val="00B015F4"/>
    <w:rPr>
      <w:rFonts w:ascii="Times New Roman" w:hAnsi="Times New Roman" w:cs="Times New Roman"/>
      <w:b/>
      <w:bCs/>
      <w:smallCaps/>
      <w:spacing w:val="20"/>
      <w:sz w:val="16"/>
      <w:szCs w:val="16"/>
    </w:rPr>
  </w:style>
  <w:style w:type="paragraph" w:styleId="Header">
    <w:name w:val="header"/>
    <w:basedOn w:val="Normal"/>
    <w:link w:val="HeaderChar"/>
    <w:uiPriority w:val="99"/>
    <w:semiHidden/>
    <w:unhideWhenUsed/>
    <w:rsid w:val="005261A7"/>
    <w:pPr>
      <w:tabs>
        <w:tab w:val="center" w:pos="4680"/>
        <w:tab w:val="right" w:pos="9360"/>
      </w:tabs>
    </w:pPr>
  </w:style>
  <w:style w:type="character" w:customStyle="1" w:styleId="HeaderChar">
    <w:name w:val="Header Char"/>
    <w:basedOn w:val="DefaultParagraphFont"/>
    <w:link w:val="Header"/>
    <w:uiPriority w:val="99"/>
    <w:semiHidden/>
    <w:rsid w:val="005261A7"/>
    <w:rPr>
      <w:rFonts w:hAnsi="Times New Roman"/>
      <w:sz w:val="24"/>
      <w:szCs w:val="24"/>
    </w:rPr>
  </w:style>
  <w:style w:type="paragraph" w:styleId="Footer">
    <w:name w:val="footer"/>
    <w:basedOn w:val="Normal"/>
    <w:link w:val="FooterChar"/>
    <w:uiPriority w:val="99"/>
    <w:semiHidden/>
    <w:unhideWhenUsed/>
    <w:rsid w:val="005261A7"/>
    <w:pPr>
      <w:tabs>
        <w:tab w:val="center" w:pos="4680"/>
        <w:tab w:val="right" w:pos="9360"/>
      </w:tabs>
    </w:pPr>
  </w:style>
  <w:style w:type="character" w:customStyle="1" w:styleId="FooterChar">
    <w:name w:val="Footer Char"/>
    <w:basedOn w:val="DefaultParagraphFont"/>
    <w:link w:val="Footer"/>
    <w:uiPriority w:val="99"/>
    <w:semiHidden/>
    <w:rsid w:val="005261A7"/>
    <w:rPr>
      <w:rFonts w:hAnsi="Times New Roman"/>
      <w:sz w:val="24"/>
      <w:szCs w:val="24"/>
    </w:rPr>
  </w:style>
  <w:style w:type="paragraph" w:styleId="BalloonText">
    <w:name w:val="Balloon Text"/>
    <w:basedOn w:val="Normal"/>
    <w:link w:val="BalloonTextChar"/>
    <w:uiPriority w:val="99"/>
    <w:semiHidden/>
    <w:unhideWhenUsed/>
    <w:rsid w:val="005261A7"/>
    <w:rPr>
      <w:rFonts w:ascii="Tahoma" w:hAnsi="Tahoma" w:cs="Tahoma"/>
      <w:sz w:val="16"/>
      <w:szCs w:val="16"/>
    </w:rPr>
  </w:style>
  <w:style w:type="character" w:customStyle="1" w:styleId="BalloonTextChar">
    <w:name w:val="Balloon Text Char"/>
    <w:basedOn w:val="DefaultParagraphFont"/>
    <w:link w:val="BalloonText"/>
    <w:uiPriority w:val="99"/>
    <w:semiHidden/>
    <w:rsid w:val="005261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04D60-F421-4386-9D4F-1180A7B4E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452</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Harper, Michael</cp:lastModifiedBy>
  <cp:revision>35</cp:revision>
  <dcterms:created xsi:type="dcterms:W3CDTF">2017-04-04T05:08:00Z</dcterms:created>
  <dcterms:modified xsi:type="dcterms:W3CDTF">2017-07-11T23:35:00Z</dcterms:modified>
</cp:coreProperties>
</file>